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4a4aff"/>
          <w:sz w:val="72"/>
          <w:szCs w:val="72"/>
        </w:rPr>
        <w:t xml:space="preserve">MJN</w:t>
      </w:r>
    </w:p>
    <w:p>
      <w:pPr>
        <w:spacing w:before="0" w:after="80"/>
      </w:pPr>
      <w:r>
        <w:rPr>
          <w:rFonts w:ascii="Arial" w:cs="Arial" w:eastAsia="Arial" w:hAnsi="Arial"/>
          <w:b/>
          <w:bCs/>
          <w:color w:val="0f0f1a"/>
          <w:sz w:val="32"/>
          <w:szCs w:val="32"/>
        </w:rPr>
        <w:t xml:space="preserve">The iMaJiN Network Protocol</w:t>
      </w:r>
    </w:p>
    <w:p>
      <w:pPr>
        <w:spacing w:before="0" w:after="80"/>
      </w:pPr>
      <w:r>
        <w:rPr>
          <w:rFonts w:ascii="Arial" w:cs="Arial" w:eastAsia="Arial" w:hAnsi="Arial"/>
          <w:i/>
          <w:iCs/>
          <w:color w:val="6b6b8a"/>
          <w:sz w:val="22"/>
          <w:szCs w:val="22"/>
        </w:rPr>
        <w:t xml:space="preserve">Identity · Attribution · Settlement · Presence</w:t>
      </w:r>
    </w:p>
    <w:p>
      <w:pPr>
        <w:spacing w:before="0" w:after="400"/>
      </w:pPr>
      <w:r>
        <w:rPr>
          <w:rFonts w:ascii="Arial" w:cs="Arial" w:eastAsia="Arial" w:hAnsi="Arial"/>
          <w:color w:val="6b6b8a"/>
          <w:sz w:val="18"/>
          <w:szCs w:val="18"/>
        </w:rPr>
        <w:t xml:space="preserve">Protocol Specification v0.1  ·  February 2026  ·  DRAFT</w:t>
      </w:r>
    </w:p>
    <w:p>
      <w:pPr>
        <w:pBdr>
          <w:bottom w:val="single" w:color="ccccdd" w:sz="4" w:space="1"/>
        </w:pBdr>
        <w:spacing w:before="0" w:after="280"/>
      </w:pPr>
    </w:p>
    <w:p>
      <w:pPr>
        <w:pBdr>
          <w:left w:val="single" w:color="4a4aff" w:sz="12" w:space="12"/>
        </w:pBdr>
        <w:spacing w:before="240" w:after="240"/>
        <w:ind w:left="720" w:right="720"/>
      </w:pPr>
      <w:r>
        <w:rPr>
          <w:rFonts w:ascii="Arial" w:cs="Arial" w:eastAsia="Arial" w:hAnsi="Arial"/>
          <w:i/>
          <w:iCs/>
          <w:color w:val="6b6b8a"/>
          <w:sz w:val="24"/>
          <w:szCs w:val="24"/>
        </w:rPr>
        <w:t xml:space="preserve">HTTP moved documents. TCP/IP moved packets. Neither carried identity, attribution, consent, or value. MJN carries all four — natively, at the protocol layer.</w:t>
      </w:r>
    </w:p>
    <w:p>
      <w:pPr>
        <w:spacing w:before="160" w:after="0"/>
      </w:pPr>
    </w:p>
    <w:p>
      <w:pPr>
        <w:pStyle w:val="Heading1"/>
        <w:spacing w:before="480" w:after="160"/>
      </w:pPr>
      <w:r>
        <w:rPr>
          <w:rFonts w:ascii="Arial" w:cs="Arial" w:eastAsia="Arial" w:hAnsi="Arial"/>
          <w:b/>
          <w:bCs/>
          <w:color w:val="0f0f1a"/>
          <w:sz w:val="36"/>
          <w:szCs w:val="36"/>
        </w:rPr>
        <w:t xml:space="preserve">Abstract</w:t>
      </w:r>
    </w:p>
    <w:p>
      <w:pPr>
        <w:spacing w:before="0" w:after="180"/>
      </w:pPr>
      <w:r>
        <w:rPr>
          <w:rFonts w:ascii="Arial" w:cs="Arial" w:eastAsia="Arial" w:hAnsi="Arial"/>
          <w:color w:val="0f0f1a"/>
          <w:sz w:val="22"/>
          <w:szCs w:val="22"/>
        </w:rPr>
        <w:t xml:space="preserve">MJN is an open application-layer protocol that extends the existing internet stack with four capabilities the web was never designed to carry: sovereign identity, creative attribution, programmable consent, and automated value settlement.</w:t>
      </w:r>
    </w:p>
    <w:p>
      <w:pPr>
        <w:spacing w:before="0" w:after="180"/>
      </w:pPr>
      <w:r>
        <w:rPr>
          <w:rFonts w:ascii="Arial" w:cs="Arial" w:eastAsia="Arial" w:hAnsi="Arial"/>
          <w:color w:val="0f0f1a"/>
          <w:sz w:val="22"/>
          <w:szCs w:val="22"/>
        </w:rPr>
        <w:t xml:space="preserve">Like HTTP, MJN runs over TCP/IP and is transport-agnostic. Unlike HTTP, every MJN exchange carries a verified sender identity (DID), an attribution manifest (.fair), a consent declaration, and a settlement instruction. These are not optional headers — they are the protocol.</w:t>
      </w:r>
    </w:p>
    <w:p>
      <w:pPr>
        <w:spacing w:before="0" w:after="180"/>
      </w:pPr>
      <w:r>
        <w:rPr>
          <w:rFonts w:ascii="Arial" w:cs="Arial" w:eastAsia="Arial" w:hAnsi="Arial"/>
          <w:color w:val="0f0f1a"/>
          <w:sz w:val="22"/>
          <w:szCs w:val="22"/>
        </w:rPr>
        <w:t xml:space="preserve">MJN is governed by the MJN Foundation, a Swiss Stiftung. The protocol is open source. No entity owns it. Any implementation is a valid node.</w:t>
      </w:r>
    </w:p>
    <w:p>
      <w:pPr>
        <w:spacing w:before="160" w:after="0"/>
      </w:pPr>
    </w:p>
    <w:p>
      <w:pPr>
        <w:pBdr>
          <w:bottom w:val="single" w:color="ccccdd" w:sz="4" w:space="1"/>
        </w:pBdr>
        <w:spacing w:before="0" w:after="280"/>
      </w:pPr>
    </w:p>
    <w:p>
      <w:pPr>
        <w:pStyle w:val="Heading1"/>
        <w:spacing w:before="480" w:after="160"/>
      </w:pPr>
      <w:r>
        <w:rPr>
          <w:rFonts w:ascii="Arial" w:cs="Arial" w:eastAsia="Arial" w:hAnsi="Arial"/>
          <w:b/>
          <w:bCs/>
          <w:color w:val="0f0f1a"/>
          <w:sz w:val="36"/>
          <w:szCs w:val="36"/>
        </w:rPr>
        <w:t xml:space="preserve">The Problem</w:t>
      </w:r>
    </w:p>
    <w:p>
      <w:pPr>
        <w:spacing w:before="0" w:after="180"/>
      </w:pPr>
      <w:r>
        <w:rPr>
          <w:rFonts w:ascii="Arial" w:cs="Arial" w:eastAsia="Arial" w:hAnsi="Arial"/>
          <w:color w:val="0f0f1a"/>
          <w:sz w:val="22"/>
          <w:szCs w:val="22"/>
        </w:rPr>
        <w:t xml:space="preserve">The internet stack was designed to move information reliably between machines. It was not designed to answer four questions that every human exchange on the internet implicitly raises: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Question</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Current Answer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Who is actually sending this?</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Nobody knows. Email is spoofable. Accounts are fake. Identity is platform-issued and platform-revocable.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Whose creative work is in this?</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Unknown. Attribution data lives in external databases controlled by platforms, labels, and rights management systems with private interests.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Did the creator consent to this use?</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Implied, assumed, or buried in terms of service nobody reads. Consent is extracted, not given.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Who gets paid when value moves?</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Whoever owns the rails. Platforms extract a percentage from every exchange for being in the way.</w:t>
            </w:r>
          </w:p>
        </w:tc>
      </w:tr>
    </w:tbl>
    <w:p>
      <w:pPr>
        <w:spacing w:before="160" w:after="0"/>
      </w:pPr>
    </w:p>
    <w:p>
      <w:pPr>
        <w:spacing w:before="0" w:after="180"/>
      </w:pPr>
      <w:r>
        <w:rPr>
          <w:rFonts w:ascii="Arial" w:cs="Arial" w:eastAsia="Arial" w:hAnsi="Arial"/>
          <w:color w:val="0f0f1a"/>
          <w:sz w:val="22"/>
          <w:szCs w:val="22"/>
        </w:rPr>
        <w:t xml:space="preserve">The consequences are measured in trillions of dollars of value extracted from the humans who create it, and in the systematic destruction of trust infrastructure that functioning societies depend on.</w:t>
      </w:r>
    </w:p>
    <w:p>
      <w:pPr>
        <w:spacing w:before="0" w:after="180"/>
      </w:pPr>
      <w:r>
        <w:rPr>
          <w:rFonts w:ascii="Arial" w:cs="Arial" w:eastAsia="Arial" w:hAnsi="Arial"/>
          <w:color w:val="0f0f1a"/>
          <w:sz w:val="22"/>
          <w:szCs w:val="22"/>
        </w:rPr>
        <w:t xml:space="preserve">Three recent events made the cost undeniable: the distillation attacks on Anthropic and OpenAI by Chinese AI labs (February 2026), demonstrating industrial-scale extraction of human creative intelligence with no compensation; the collapse of local journalism infrastructure globally; and the AI training data crisis, in which the absence of attribution infrastructure made it impossible to compensate the humans whose work trained frontier models.</w:t>
      </w:r>
    </w:p>
    <w:p>
      <w:pPr>
        <w:spacing w:before="0" w:after="180"/>
      </w:pPr>
      <w:r>
        <w:rPr>
          <w:rFonts w:ascii="Arial" w:cs="Arial" w:eastAsia="Arial" w:hAnsi="Arial"/>
          <w:color w:val="0f0f1a"/>
          <w:sz w:val="22"/>
          <w:szCs w:val="22"/>
        </w:rPr>
        <w:t xml:space="preserve">These are not separate problems. They are the same problem at different scales: the internet has no native layer for identity, attribution, consent, or value. MJN builds that layer.</w:t>
      </w:r>
    </w:p>
    <w:p>
      <w:pPr>
        <w:spacing w:before="160" w:after="0"/>
      </w:pPr>
    </w:p>
    <w:p>
      <w:pPr>
        <w:pBdr>
          <w:bottom w:val="single" w:color="ccccdd" w:sz="4" w:space="1"/>
        </w:pBdr>
        <w:spacing w:before="0" w:after="280"/>
      </w:pPr>
    </w:p>
    <w:p>
      <w:pPr>
        <w:pStyle w:val="Heading1"/>
        <w:spacing w:before="480" w:after="160"/>
      </w:pPr>
      <w:r>
        <w:rPr>
          <w:rFonts w:ascii="Arial" w:cs="Arial" w:eastAsia="Arial" w:hAnsi="Arial"/>
          <w:b/>
          <w:bCs/>
          <w:color w:val="0f0f1a"/>
          <w:sz w:val="36"/>
          <w:szCs w:val="36"/>
        </w:rPr>
        <w:t xml:space="preserve">The Protocol</w:t>
      </w:r>
    </w:p>
    <w:p>
      <w:pPr>
        <w:pStyle w:val="Heading2"/>
        <w:spacing w:before="360" w:after="120"/>
      </w:pPr>
      <w:r>
        <w:rPr>
          <w:rFonts w:ascii="Arial" w:cs="Arial" w:eastAsia="Arial" w:hAnsi="Arial"/>
          <w:b/>
          <w:bCs/>
          <w:color w:val="4a4aff"/>
          <w:sz w:val="26"/>
          <w:szCs w:val="26"/>
        </w:rPr>
        <w:t xml:space="preserve">Stack Position</w:t>
      </w:r>
    </w:p>
    <w:p>
      <w:pPr>
        <w:spacing w:before="0" w:after="180"/>
      </w:pPr>
      <w:r>
        <w:rPr>
          <w:rFonts w:ascii="Arial" w:cs="Arial" w:eastAsia="Arial" w:hAnsi="Arial"/>
          <w:color w:val="0f0f1a"/>
          <w:sz w:val="22"/>
          <w:szCs w:val="22"/>
        </w:rPr>
        <w:t xml:space="preserve">MJN sits at the application layer, above TCP/IP and HTTP/WebSockets:</w:t>
      </w:r>
    </w:p>
    <w:p>
      <w:pPr>
        <w:spacing w:before="160" w:after="0"/>
      </w:pPr>
    </w:p>
    <w:p>
      <w:pPr>
        <w:spacing w:before="80" w:after="80"/>
        <w:ind w:left="720"/>
      </w:pPr>
      <w:r>
        <w:rPr>
          <w:rFonts w:ascii="Courier New" w:cs="Courier New" w:eastAsia="Courier New" w:hAnsi="Courier New"/>
          <w:color w:val="4a4aff"/>
          <w:sz w:val="20"/>
          <w:szCs w:val="20"/>
        </w:rPr>
        <w:t xml:space="preserve">MJN          ← identity + attribution + consent + settlement</w:t>
      </w:r>
    </w:p>
    <w:p>
      <w:pPr>
        <w:spacing w:before="80" w:after="80"/>
        <w:ind w:left="720"/>
      </w:pPr>
      <w:r>
        <w:rPr>
          <w:rFonts w:ascii="Courier New" w:cs="Courier New" w:eastAsia="Courier New" w:hAnsi="Courier New"/>
          <w:color w:val="4a4aff"/>
          <w:sz w:val="20"/>
          <w:szCs w:val="20"/>
        </w:rPr>
        <w:t xml:space="preserve">HTTP/WS      ← transport</w:t>
      </w:r>
    </w:p>
    <w:p>
      <w:pPr>
        <w:spacing w:before="80" w:after="80"/>
        <w:ind w:left="720"/>
      </w:pPr>
      <w:r>
        <w:rPr>
          <w:rFonts w:ascii="Courier New" w:cs="Courier New" w:eastAsia="Courier New" w:hAnsi="Courier New"/>
          <w:color w:val="4a4aff"/>
          <w:sz w:val="20"/>
          <w:szCs w:val="20"/>
        </w:rPr>
        <w:t xml:space="preserve">TCP/IP       ← packets</w:t>
      </w:r>
    </w:p>
    <w:p>
      <w:pPr>
        <w:spacing w:before="160" w:after="0"/>
      </w:pPr>
    </w:p>
    <w:p>
      <w:pPr>
        <w:spacing w:before="0" w:after="180"/>
      </w:pPr>
      <w:r>
        <w:rPr>
          <w:rFonts w:ascii="Arial" w:cs="Arial" w:eastAsia="Arial" w:hAnsi="Arial"/>
          <w:color w:val="0f0f1a"/>
          <w:sz w:val="22"/>
          <w:szCs w:val="22"/>
        </w:rPr>
        <w:t xml:space="preserve">MJN does not replace HTTP. It gives HTTP exchanges economic and social meaning. A request that carries an MJN header is a request from a verified identity, with attribution declared, consent given, and settlement instruction attached.</w:t>
      </w:r>
    </w:p>
    <w:p>
      <w:pPr>
        <w:pStyle w:val="Heading2"/>
        <w:spacing w:before="360" w:after="120"/>
      </w:pPr>
      <w:r>
        <w:rPr>
          <w:rFonts w:ascii="Arial" w:cs="Arial" w:eastAsia="Arial" w:hAnsi="Arial"/>
          <w:b/>
          <w:bCs/>
          <w:color w:val="4a4aff"/>
          <w:sz w:val="26"/>
          <w:szCs w:val="26"/>
        </w:rPr>
        <w:t xml:space="preserve">Four Protocol Primitives</w:t>
      </w:r>
    </w:p>
    <w:p>
      <w:pPr>
        <w:spacing w:before="240" w:after="80"/>
      </w:pPr>
      <w:r>
        <w:rPr>
          <w:rFonts w:ascii="Arial" w:cs="Arial" w:eastAsia="Arial" w:hAnsi="Arial"/>
          <w:b/>
          <w:bCs/>
          <w:color w:val="0f0f1a"/>
          <w:sz w:val="22"/>
          <w:szCs w:val="22"/>
        </w:rPr>
        <w:t xml:space="preserve">1. DID — Sovereign Identity</w:t>
      </w:r>
    </w:p>
    <w:p>
      <w:pPr>
        <w:spacing w:before="0" w:after="180"/>
      </w:pPr>
      <w:r>
        <w:rPr>
          <w:rFonts w:ascii="Arial" w:cs="Arial" w:eastAsia="Arial" w:hAnsi="Arial"/>
          <w:color w:val="0f0f1a"/>
          <w:sz w:val="22"/>
          <w:szCs w:val="22"/>
        </w:rPr>
        <w:t xml:space="preserve">Every MJN node has a Decentralized Identifier (DID). DIDs are cryptographically self-sovereign — they are not issued by platforms, not revocable by third parties, and not tied to any single infrastructure provider. A DID proves you are who you say you are without asking anyone's permission.</w:t>
      </w:r>
    </w:p>
    <w:p>
      <w:pPr>
        <w:spacing w:before="0" w:after="180"/>
      </w:pPr>
      <w:r>
        <w:rPr>
          <w:rFonts w:ascii="Arial" w:cs="Arial" w:eastAsia="Arial" w:hAnsi="Arial"/>
          <w:color w:val="0f0f1a"/>
          <w:sz w:val="22"/>
          <w:szCs w:val="22"/>
        </w:rPr>
        <w:t xml:space="preserve">MJN DIDs are compatible with the W3C DID Core specification. They are portable across implementations.</w:t>
      </w:r>
    </w:p>
    <w:p>
      <w:pPr>
        <w:spacing w:before="240" w:after="80"/>
      </w:pPr>
      <w:r>
        <w:rPr>
          <w:rFonts w:ascii="Arial" w:cs="Arial" w:eastAsia="Arial" w:hAnsi="Arial"/>
          <w:b/>
          <w:bCs/>
          <w:color w:val="0f0f1a"/>
          <w:sz w:val="22"/>
          <w:szCs w:val="22"/>
        </w:rPr>
        <w:t xml:space="preserve">2. .fair — Attribution Manifest</w:t>
      </w:r>
    </w:p>
    <w:p>
      <w:pPr>
        <w:spacing w:before="0" w:after="180"/>
      </w:pPr>
      <w:r>
        <w:rPr>
          <w:rFonts w:ascii="Arial" w:cs="Arial" w:eastAsia="Arial" w:hAnsi="Arial"/>
          <w:color w:val="0f0f1a"/>
          <w:sz w:val="22"/>
          <w:szCs w:val="22"/>
        </w:rPr>
        <w:t xml:space="preserve">Every piece of creative work that moves through the MJN network carries a .fair manifest: a cryptographically signed document embedded in the work itself — not in a platform database — that records the complete chain of human creative labor that produced it.</w:t>
      </w:r>
    </w:p>
    <w:p>
      <w:pPr>
        <w:spacing w:before="0" w:after="180"/>
      </w:pPr>
      <w:r>
        <w:rPr>
          <w:rFonts w:ascii="Arial" w:cs="Arial" w:eastAsia="Arial" w:hAnsi="Arial"/>
          <w:color w:val="0f0f1a"/>
          <w:sz w:val="22"/>
          <w:szCs w:val="22"/>
        </w:rPr>
        <w:t xml:space="preserve">The manifest carries: who made it, in what proportion, what prior work it derives from, what terms govern future use, and what compensation executes automatically when those terms are triggered. The manifest travels with the work. It is immutable. It is owned by nobody. It is verifiable by anyone.</w:t>
      </w:r>
    </w:p>
    <w:p>
      <w:pPr>
        <w:spacing w:before="240" w:after="80"/>
      </w:pPr>
      <w:r>
        <w:rPr>
          <w:rFonts w:ascii="Arial" w:cs="Arial" w:eastAsia="Arial" w:hAnsi="Arial"/>
          <w:b/>
          <w:bCs/>
          <w:color w:val="0f0f1a"/>
          <w:sz w:val="22"/>
          <w:szCs w:val="22"/>
        </w:rPr>
        <w:t xml:space="preserve">3. Consent Declaration</w:t>
      </w:r>
    </w:p>
    <w:p>
      <w:pPr>
        <w:spacing w:before="0" w:after="180"/>
      </w:pPr>
      <w:r>
        <w:rPr>
          <w:rFonts w:ascii="Arial" w:cs="Arial" w:eastAsia="Arial" w:hAnsi="Arial"/>
          <w:color w:val="0f0f1a"/>
          <w:sz w:val="22"/>
          <w:szCs w:val="22"/>
        </w:rPr>
        <w:t xml:space="preserve">Every MJN exchange includes a machine-readable consent declaration: what the sender permits the receiver to do with the content of this exchange. Consent is explicit, versioned, and cryptographically signed. It cannot be implied, assumed, or buried in terms of service.</w:t>
      </w:r>
    </w:p>
    <w:p>
      <w:pPr>
        <w:spacing w:before="0" w:after="180"/>
      </w:pPr>
      <w:r>
        <w:rPr>
          <w:rFonts w:ascii="Arial" w:cs="Arial" w:eastAsia="Arial" w:hAnsi="Arial"/>
          <w:color w:val="0f0f1a"/>
          <w:sz w:val="22"/>
          <w:szCs w:val="22"/>
        </w:rPr>
        <w:t xml:space="preserve">Consent declarations can be simple (read only) or complex (derive from, train on, redistribute under these terms). They execute automatically via the settlement layer when their conditions are met.</w:t>
      </w:r>
    </w:p>
    <w:p>
      <w:pPr>
        <w:spacing w:before="240" w:after="80"/>
      </w:pPr>
      <w:r>
        <w:rPr>
          <w:rFonts w:ascii="Arial" w:cs="Arial" w:eastAsia="Arial" w:hAnsi="Arial"/>
          <w:b/>
          <w:bCs/>
          <w:color w:val="0f0f1a"/>
          <w:sz w:val="22"/>
          <w:szCs w:val="22"/>
        </w:rPr>
        <w:t xml:space="preserve">4. Settlement Instruction</w:t>
      </w:r>
    </w:p>
    <w:p>
      <w:pPr>
        <w:spacing w:before="0" w:after="180"/>
      </w:pPr>
      <w:r>
        <w:rPr>
          <w:rFonts w:ascii="Arial" w:cs="Arial" w:eastAsia="Arial" w:hAnsi="Arial"/>
          <w:color w:val="0f0f1a"/>
          <w:sz w:val="22"/>
          <w:szCs w:val="22"/>
        </w:rPr>
        <w:t xml:space="preserve">Every MJN exchange that carries value includes a settlement instruction: who gets paid, in what proportion, through what mechanism, on what trigger. Settlement executes automatically via the MJN token layer. There is no platform in the middle taking a percentage. Value flows directly from the party consuming to the parties who created.</w:t>
      </w:r>
    </w:p>
    <w:p>
      <w:pPr>
        <w:pStyle w:val="Heading2"/>
        <w:spacing w:before="360" w:after="120"/>
      </w:pPr>
      <w:r>
        <w:rPr>
          <w:rFonts w:ascii="Arial" w:cs="Arial" w:eastAsia="Arial" w:hAnsi="Arial"/>
          <w:b/>
          <w:bCs/>
          <w:color w:val="4a4aff"/>
          <w:sz w:val="26"/>
          <w:szCs w:val="26"/>
        </w:rPr>
        <w:t xml:space="preserve">The MJN Token</w:t>
      </w:r>
    </w:p>
    <w:p>
      <w:pPr>
        <w:spacing w:before="0" w:after="180"/>
      </w:pPr>
      <w:r>
        <w:rPr>
          <w:rFonts w:ascii="Arial" w:cs="Arial" w:eastAsia="Arial" w:hAnsi="Arial"/>
          <w:color w:val="0f0f1a"/>
          <w:sz w:val="22"/>
          <w:szCs w:val="22"/>
        </w:rPr>
        <w:t xml:space="preserve">The MJN token is the settlement currency of the protocol. It is not a speculative asset — it is the mechanism by which value moves through the network's attribution chains. Every inference fee, every .fair contract execution, every consent-triggered payment settles in MJN tokens.</w:t>
      </w:r>
    </w:p>
    <w:p>
      <w:pPr>
        <w:spacing w:before="0" w:after="180"/>
      </w:pPr>
      <w:r>
        <w:rPr>
          <w:rFonts w:ascii="Arial" w:cs="Arial" w:eastAsia="Arial" w:hAnsi="Arial"/>
          <w:color w:val="0f0f1a"/>
          <w:sz w:val="22"/>
          <w:szCs w:val="22"/>
        </w:rPr>
        <w:t xml:space="preserve">Token holders are not betting on a company. They hold a claim on the economic activity of a protocol — the same relationship a holder of postal infrastructure bonds has to the mail, or a shareholder in a clearinghouse has to the transactions it settles.</w:t>
      </w:r>
    </w:p>
    <w:p>
      <w:pPr>
        <w:spacing w:before="0" w:after="180"/>
      </w:pPr>
      <w:r>
        <w:rPr>
          <w:rFonts w:ascii="Arial" w:cs="Arial" w:eastAsia="Arial" w:hAnsi="Arial"/>
          <w:color w:val="0f0f1a"/>
          <w:sz w:val="22"/>
          <w:szCs w:val="22"/>
        </w:rPr>
        <w:t xml:space="preserve">Token issuance is governed by the MJN Foundation under Swiss FINMA guidelines.</w:t>
      </w:r>
    </w:p>
    <w:p>
      <w:pPr>
        <w:spacing w:before="160" w:after="0"/>
      </w:pPr>
    </w:p>
    <w:p>
      <w:pPr>
        <w:pBdr>
          <w:bottom w:val="single" w:color="ccccdd" w:sz="4" w:space="1"/>
        </w:pBdr>
        <w:spacing w:before="0" w:after="280"/>
      </w:pPr>
    </w:p>
    <w:p>
      <w:pPr>
        <w:pStyle w:val="Heading1"/>
        <w:spacing w:before="480" w:after="160"/>
      </w:pPr>
      <w:r>
        <w:rPr>
          <w:rFonts w:ascii="Arial" w:cs="Arial" w:eastAsia="Arial" w:hAnsi="Arial"/>
          <w:b/>
          <w:bCs/>
          <w:color w:val="0f0f1a"/>
          <w:sz w:val="36"/>
          <w:szCs w:val="36"/>
        </w:rPr>
        <w:t xml:space="preserve">Reference Use Cases</w:t>
      </w:r>
    </w:p>
    <w:p>
      <w:pPr>
        <w:pStyle w:val="Heading2"/>
        <w:spacing w:before="360" w:after="120"/>
      </w:pPr>
      <w:r>
        <w:rPr>
          <w:rFonts w:ascii="Arial" w:cs="Arial" w:eastAsia="Arial" w:hAnsi="Arial"/>
          <w:b/>
          <w:bCs/>
          <w:color w:val="4a4aff"/>
          <w:sz w:val="26"/>
          <w:szCs w:val="26"/>
        </w:rPr>
        <w:t xml:space="preserve">AI Training Data Markets</w:t>
      </w:r>
    </w:p>
    <w:p>
      <w:pPr>
        <w:spacing w:before="0" w:after="180"/>
      </w:pPr>
      <w:r>
        <w:rPr>
          <w:rFonts w:ascii="Arial" w:cs="Arial" w:eastAsia="Arial" w:hAnsi="Arial"/>
          <w:color w:val="0f0f1a"/>
          <w:sz w:val="22"/>
          <w:szCs w:val="22"/>
        </w:rPr>
        <w:t xml:space="preserve">The Chinese labs that ran 16 million fraudulent exchanges against Claude in early 2026 were not criminals seeking to do harm. They were engineers solving a real problem: how do you train a frontier model when the best training data is locked behind a competitor's terms of service?</w:t>
      </w:r>
    </w:p>
    <w:p>
      <w:pPr>
        <w:spacing w:before="0" w:after="180"/>
      </w:pPr>
      <w:r>
        <w:rPr>
          <w:rFonts w:ascii="Arial" w:cs="Arial" w:eastAsia="Arial" w:hAnsi="Arial"/>
          <w:color w:val="0f0f1a"/>
          <w:sz w:val="22"/>
          <w:szCs w:val="22"/>
        </w:rPr>
        <w:t xml:space="preserve">MJN makes the legitimate version of this possible. A creator publishes their work with a .fair manifest that includes training consent terms and a price. An AI lab queries the work through MJN. The consent declaration executes. The settlement instruction pays the creator. The lab gets the training data. Nobody committed fraud. The creator got paid.</w:t>
      </w:r>
    </w:p>
    <w:p>
      <w:pPr>
        <w:spacing w:before="0" w:after="180"/>
      </w:pPr>
      <w:r>
        <w:rPr>
          <w:rFonts w:ascii="Arial" w:cs="Arial" w:eastAsia="Arial" w:hAnsi="Arial"/>
          <w:color w:val="0f0f1a"/>
          <w:sz w:val="22"/>
          <w:szCs w:val="22"/>
        </w:rPr>
        <w:t xml:space="preserve">At scale: every Claude conversation, every Substack article, every GitHub commit that carries a .fair manifest becomes part of a consented, attributed, compensated training data marketplace.</w:t>
      </w:r>
    </w:p>
    <w:p>
      <w:pPr>
        <w:pStyle w:val="Heading2"/>
        <w:spacing w:before="360" w:after="120"/>
      </w:pPr>
      <w:r>
        <w:rPr>
          <w:rFonts w:ascii="Arial" w:cs="Arial" w:eastAsia="Arial" w:hAnsi="Arial"/>
          <w:b/>
          <w:bCs/>
          <w:color w:val="4a4aff"/>
          <w:sz w:val="26"/>
          <w:szCs w:val="26"/>
        </w:rPr>
        <w:t xml:space="preserve">Platform Identity Layer</w:t>
      </w:r>
    </w:p>
    <w:p>
      <w:pPr>
        <w:spacing w:before="0" w:after="180"/>
      </w:pPr>
      <w:r>
        <w:rPr>
          <w:rFonts w:ascii="Arial" w:cs="Arial" w:eastAsia="Arial" w:hAnsi="Arial"/>
          <w:color w:val="0f0f1a"/>
          <w:sz w:val="22"/>
          <w:szCs w:val="22"/>
        </w:rPr>
        <w:t xml:space="preserve">Substack, 1Password, Anthropic, and DeepSeek are all holding pieces of the same identity that belongs to a single human. MJN connects them. A user's DID is their identity on all four platforms simultaneously. Their .fair manifest carries their attribution across all four. Their consent declaration governs what each platform can do with their presence. Their settlement instruction ensures value flows back to them from all four.</w:t>
      </w:r>
    </w:p>
    <w:p>
      <w:pPr>
        <w:spacing w:before="0" w:after="180"/>
      </w:pPr>
      <w:r>
        <w:rPr>
          <w:rFonts w:ascii="Arial" w:cs="Arial" w:eastAsia="Arial" w:hAnsi="Arial"/>
          <w:color w:val="0f0f1a"/>
          <w:sz w:val="22"/>
          <w:szCs w:val="22"/>
        </w:rPr>
        <w:t xml:space="preserve">Platforms implement MJN as an auth layer. They don't give up their users. They give their users sovereignty — and gain access to a trust graph that makes their platform more valuable than it was before.</w:t>
      </w:r>
    </w:p>
    <w:p>
      <w:pPr>
        <w:pStyle w:val="Heading2"/>
        <w:spacing w:before="360" w:after="120"/>
      </w:pPr>
      <w:r>
        <w:rPr>
          <w:rFonts w:ascii="Arial" w:cs="Arial" w:eastAsia="Arial" w:hAnsi="Arial"/>
          <w:b/>
          <w:bCs/>
          <w:color w:val="4a4aff"/>
          <w:sz w:val="26"/>
          <w:szCs w:val="26"/>
        </w:rPr>
        <w:t xml:space="preserve">Sovereign Publishing</w:t>
      </w:r>
    </w:p>
    <w:p>
      <w:pPr>
        <w:spacing w:before="0" w:after="180"/>
      </w:pPr>
      <w:r>
        <w:rPr>
          <w:rFonts w:ascii="Arial" w:cs="Arial" w:eastAsia="Arial" w:hAnsi="Arial"/>
          <w:color w:val="0f0f1a"/>
          <w:sz w:val="22"/>
          <w:szCs w:val="22"/>
        </w:rPr>
        <w:t xml:space="preserve">A journalist publishes an article with a .fair manifest. The manifest records: their DID as author, the sources they compensated, the prior work they built on, the terms governing reproduction, the price for full access, the price for inference against their body of work. The article can be syndicated anywhere on the internet. Every reproduction carries the manifest. Every inference pays the journalist. The platform that syndicates it earns a routing fee. The journalist earns the rest.</w:t>
      </w:r>
    </w:p>
    <w:p>
      <w:pPr>
        <w:spacing w:before="160" w:after="0"/>
      </w:pPr>
    </w:p>
    <w:p>
      <w:pPr>
        <w:pBdr>
          <w:bottom w:val="single" w:color="ccccdd" w:sz="4" w:space="1"/>
        </w:pBdr>
        <w:spacing w:before="0" w:after="280"/>
      </w:pPr>
    </w:p>
    <w:p>
      <w:pPr>
        <w:pStyle w:val="Heading1"/>
        <w:spacing w:before="480" w:after="160"/>
      </w:pPr>
      <w:r>
        <w:rPr>
          <w:rFonts w:ascii="Arial" w:cs="Arial" w:eastAsia="Arial" w:hAnsi="Arial"/>
          <w:b/>
          <w:bCs/>
          <w:color w:val="0f0f1a"/>
          <w:sz w:val="36"/>
          <w:szCs w:val="36"/>
        </w:rPr>
        <w:t xml:space="preserve">Governance</w:t>
      </w:r>
    </w:p>
    <w:p>
      <w:pPr>
        <w:spacing w:before="0" w:after="180"/>
      </w:pPr>
      <w:r>
        <w:rPr>
          <w:rFonts w:ascii="Arial" w:cs="Arial" w:eastAsia="Arial" w:hAnsi="Arial"/>
          <w:color w:val="0f0f1a"/>
          <w:sz w:val="22"/>
          <w:szCs w:val="22"/>
        </w:rPr>
        <w:t xml:space="preserve">MJN is governed by the MJN Foundation, a Swiss Stiftung incorporated in [Canton TBD]. The Foundation owns the protocol specification, the reference implementation, and the token treasury. It does not own implementations.</w:t>
      </w:r>
    </w:p>
    <w:p>
      <w:pPr>
        <w:spacing w:before="0" w:after="180"/>
      </w:pPr>
      <w:r>
        <w:rPr>
          <w:rFonts w:ascii="Arial" w:cs="Arial" w:eastAsia="Arial" w:hAnsi="Arial"/>
          <w:color w:val="0f0f1a"/>
          <w:sz w:val="22"/>
          <w:szCs w:val="22"/>
        </w:rPr>
        <w:t xml:space="preserve">The Foundation's mandate: maintain the protocol as open, neutral, non-extractive infrastructure. Any entity may implement MJN. No entity may capture it.</w:t>
      </w:r>
    </w:p>
    <w:p>
      <w:pPr>
        <w:spacing w:before="0" w:after="180"/>
      </w:pPr>
      <w:r>
        <w:rPr>
          <w:rFonts w:ascii="Arial" w:cs="Arial" w:eastAsia="Arial" w:hAnsi="Arial"/>
          <w:color w:val="0f0f1a"/>
          <w:sz w:val="22"/>
          <w:szCs w:val="22"/>
        </w:rPr>
        <w:t xml:space="preserve">Governance structure:</w:t>
      </w:r>
    </w:p>
    <w:p>
      <w:pPr>
        <w:spacing w:before="80" w:after="80"/>
        <w:ind w:left="720"/>
      </w:pPr>
      <w:r>
        <w:rPr>
          <w:rFonts w:ascii="Courier New" w:cs="Courier New" w:eastAsia="Courier New" w:hAnsi="Courier New"/>
          <w:color w:val="4a4aff"/>
          <w:sz w:val="20"/>
          <w:szCs w:val="20"/>
        </w:rPr>
        <w:t xml:space="preserve">Foundation Board     — protocol stewardship, token governance</w:t>
      </w:r>
    </w:p>
    <w:p>
      <w:pPr>
        <w:spacing w:before="80" w:after="80"/>
        <w:ind w:left="720"/>
      </w:pPr>
      <w:r>
        <w:rPr>
          <w:rFonts w:ascii="Courier New" w:cs="Courier New" w:eastAsia="Courier New" w:hAnsi="Courier New"/>
          <w:color w:val="4a4aff"/>
          <w:sz w:val="20"/>
          <w:szCs w:val="20"/>
        </w:rPr>
        <w:t xml:space="preserve">Technical Council    — specification development, RFC process</w:t>
      </w:r>
    </w:p>
    <w:p>
      <w:pPr>
        <w:spacing w:before="80" w:after="80"/>
        <w:ind w:left="720"/>
      </w:pPr>
      <w:r>
        <w:rPr>
          <w:rFonts w:ascii="Courier New" w:cs="Courier New" w:eastAsia="Courier New" w:hAnsi="Courier New"/>
          <w:color w:val="4a4aff"/>
          <w:sz w:val="20"/>
          <w:szCs w:val="20"/>
        </w:rPr>
        <w:t xml:space="preserve">Operator Registry    — node certification, interoperability</w:t>
      </w:r>
    </w:p>
    <w:p>
      <w:pPr>
        <w:spacing w:before="80" w:after="80"/>
        <w:ind w:left="720"/>
      </w:pPr>
      <w:r>
        <w:rPr>
          <w:rFonts w:ascii="Courier New" w:cs="Courier New" w:eastAsia="Courier New" w:hAnsi="Courier New"/>
          <w:color w:val="4a4aff"/>
          <w:sz w:val="20"/>
          <w:szCs w:val="20"/>
        </w:rPr>
        <w:t xml:space="preserve">Ryan Veteze (b0b)    — Lead Protocol Architect (contractor)</w:t>
      </w:r>
    </w:p>
    <w:p>
      <w:pPr>
        <w:spacing w:before="160" w:after="0"/>
      </w:pPr>
    </w:p>
    <w:p>
      <w:pPr>
        <w:spacing w:before="0" w:after="180"/>
      </w:pPr>
      <w:r>
        <w:rPr>
          <w:rFonts w:ascii="Arial" w:cs="Arial" w:eastAsia="Arial" w:hAnsi="Arial"/>
          <w:color w:val="0f0f1a"/>
          <w:sz w:val="22"/>
          <w:szCs w:val="22"/>
        </w:rPr>
        <w:t xml:space="preserve">The Foundation is explicitly designed to be captureable by neither US nor Chinese regulatory pressure. Sovereign infrastructure requires sovereign governance.</w:t>
      </w:r>
    </w:p>
    <w:p>
      <w:pPr>
        <w:spacing w:before="160" w:after="0"/>
      </w:pPr>
    </w:p>
    <w:p>
      <w:pPr>
        <w:pBdr>
          <w:bottom w:val="single" w:color="ccccdd" w:sz="4" w:space="1"/>
        </w:pBdr>
        <w:spacing w:before="0" w:after="280"/>
      </w:pPr>
    </w:p>
    <w:p>
      <w:pPr>
        <w:pStyle w:val="Heading1"/>
        <w:spacing w:before="480" w:after="160"/>
      </w:pPr>
      <w:r>
        <w:rPr>
          <w:rFonts w:ascii="Arial" w:cs="Arial" w:eastAsia="Arial" w:hAnsi="Arial"/>
          <w:b/>
          <w:bCs/>
          <w:color w:val="0f0f1a"/>
          <w:sz w:val="36"/>
          <w:szCs w:val="36"/>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Q1 2026</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Protocol v0.1 specification. MJN Foundation incorporation. April 1st: first party on MJN infrastructure (imajin.ai reference implementation).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Q2 2026</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Token structure and FINMA engagement. API SDK release. First platform integration conversations (Substack, 1Password, Anthropic).</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Q3 2026</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Foundation seed raise. First non-imajin node operators. Chinese lab engagement via neutral foundation channel.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ee" w:sz="1"/>
              <w:left w:val="single" w:color="ddddee" w:sz="1"/>
              <w:bottom w:val="single" w:color="ddddee" w:sz="1"/>
              <w:right w:val="single" w:color="ddddee" w:sz="1"/>
            </w:tcBorders>
            <w:shd w:fill="f8f8ff" w:val="clear"/>
            <w:tcMar>
              <w:top w:type="dxa" w:w="120"/>
              <w:left w:type="dxa" w:w="200"/>
              <w:bottom w:type="dxa" w:w="120"/>
              <w:right w:type="dxa" w:w="200"/>
            </w:tcMar>
          </w:tcPr>
          <w:p>
            <w:r>
              <w:rPr>
                <w:rFonts w:ascii="Arial" w:cs="Arial" w:eastAsia="Arial" w:hAnsi="Arial"/>
                <w:color w:val="0f0f1a"/>
                <w:sz w:val="20"/>
                <w:szCs w:val="20"/>
              </w:rPr>
              <w:t xml:space="preserve">Q4 2026</w:t>
            </w:r>
          </w:p>
        </w:tc>
        <w:tc>
          <w:tcPr>
            <w:tcW w:type="dxa" w:w="4800"/>
            <w:tcBorders>
              <w:top w:val="single" w:color="ddddee" w:sz="1"/>
              <w:left w:val="single" w:color="ddddee" w:sz="1"/>
              <w:bottom w:val="single" w:color="ddddee" w:sz="1"/>
              <w:right w:val="single" w:color="ddddee" w:sz="1"/>
            </w:tcBorders>
            <w:shd w:fill="f0f0ff" w:val="clear"/>
            <w:tcMar>
              <w:top w:type="dxa" w:w="120"/>
              <w:left w:type="dxa" w:w="200"/>
              <w:bottom w:type="dxa" w:w="120"/>
              <w:right w:type="dxa" w:w="200"/>
            </w:tcMar>
          </w:tcPr>
          <w:p>
            <w:r>
              <w:rPr>
                <w:rFonts w:ascii="Arial" w:cs="Arial" w:eastAsia="Arial" w:hAnsi="Arial"/>
                <w:color w:val="0f0f1a"/>
                <w:sz w:val="20"/>
                <w:szCs w:val="20"/>
              </w:rPr>
              <w:t xml:space="preserve">MJN v1.0 specification. First cross-platform .fair settlement. Open RFC process for community governance.</w:t>
            </w:r>
          </w:p>
        </w:tc>
      </w:tr>
    </w:tbl>
    <w:p>
      <w:pPr>
        <w:spacing w:before="160" w:after="0"/>
      </w:pPr>
    </w:p>
    <w:p>
      <w:pPr>
        <w:pBdr>
          <w:bottom w:val="single" w:color="ccccdd" w:sz="4" w:space="1"/>
        </w:pBdr>
        <w:spacing w:before="0" w:after="280"/>
      </w:pPr>
    </w:p>
    <w:p>
      <w:pPr>
        <w:pStyle w:val="Heading1"/>
        <w:spacing w:before="480" w:after="160"/>
      </w:pPr>
      <w:r>
        <w:rPr>
          <w:rFonts w:ascii="Arial" w:cs="Arial" w:eastAsia="Arial" w:hAnsi="Arial"/>
          <w:b/>
          <w:bCs/>
          <w:color w:val="0f0f1a"/>
          <w:sz w:val="36"/>
          <w:szCs w:val="36"/>
        </w:rPr>
        <w:t xml:space="preserve">Why Now</w:t>
      </w:r>
    </w:p>
    <w:p>
      <w:pPr>
        <w:spacing w:before="0" w:after="180"/>
      </w:pPr>
      <w:r>
        <w:rPr>
          <w:rFonts w:ascii="Arial" w:cs="Arial" w:eastAsia="Arial" w:hAnsi="Arial"/>
          <w:color w:val="0f0f1a"/>
          <w:sz w:val="22"/>
          <w:szCs w:val="22"/>
        </w:rPr>
        <w:t xml:space="preserve">The infrastructure argument is settled by history. Every communication technology that became essential became public infrastructure. Identity and payments are next. The arc is the same. The conclusion will be the same.</w:t>
      </w:r>
    </w:p>
    <w:p>
      <w:pPr>
        <w:spacing w:before="0" w:after="180"/>
      </w:pPr>
      <w:r>
        <w:rPr>
          <w:rFonts w:ascii="Arial" w:cs="Arial" w:eastAsia="Arial" w:hAnsi="Arial"/>
          <w:color w:val="0f0f1a"/>
          <w:sz w:val="22"/>
          <w:szCs w:val="22"/>
        </w:rPr>
        <w:t xml:space="preserve">The question is whether anyone builds it for the destination from the start — before the capture, before the extraction, before the thirty years of fighting to get back what should have been public in the first place.</w:t>
      </w:r>
    </w:p>
    <w:p>
      <w:pPr>
        <w:spacing w:before="0" w:after="180"/>
      </w:pPr>
      <w:r>
        <w:rPr>
          <w:rFonts w:ascii="Arial" w:cs="Arial" w:eastAsia="Arial" w:hAnsi="Arial"/>
          <w:color w:val="0f0f1a"/>
          <w:sz w:val="22"/>
          <w:szCs w:val="22"/>
        </w:rPr>
        <w:t xml:space="preserve">MJN is that attempt. Open by architecture. Sovereign by design. Non-extractive by the structure of the protocol itself.</w:t>
      </w:r>
    </w:p>
    <w:p>
      <w:pPr>
        <w:spacing w:before="0" w:after="180"/>
      </w:pPr>
      <w:r>
        <w:rPr>
          <w:rFonts w:ascii="Arial" w:cs="Arial" w:eastAsia="Arial" w:hAnsi="Arial"/>
          <w:color w:val="0f0f1a"/>
          <w:sz w:val="22"/>
          <w:szCs w:val="22"/>
        </w:rPr>
        <w:t xml:space="preserve">The internet never had a layer for identity, attribution, consent, or value. It does now.</w:t>
      </w:r>
    </w:p>
    <w:p>
      <w:pPr>
        <w:spacing w:before="160" w:after="0"/>
      </w:pPr>
    </w:p>
    <w:p>
      <w:pPr>
        <w:spacing w:before="320" w:after="80"/>
      </w:pPr>
      <w:r>
        <w:rPr>
          <w:rFonts w:ascii="Arial" w:cs="Arial" w:eastAsia="Arial" w:hAnsi="Arial"/>
          <w:i/>
          <w:iCs/>
          <w:color w:val="6b6b8a"/>
          <w:sz w:val="20"/>
          <w:szCs w:val="20"/>
        </w:rPr>
        <w:t xml:space="preserve">— Ryan Veteze (b0b), Protocol Author</w:t>
      </w:r>
    </w:p>
    <w:p>
      <w:pPr>
        <w:spacing w:before="0" w:after="0"/>
      </w:pPr>
      <w:r>
        <w:rPr>
          <w:rFonts w:ascii="Arial" w:cs="Arial" w:eastAsia="Arial" w:hAnsi="Arial"/>
          <w:color w:val="4a4aff"/>
          <w:sz w:val="18"/>
          <w:szCs w:val="18"/>
        </w:rPr>
        <w:t xml:space="preserve">ryan@imajin.ai  ·  imajin.ai  ·  github.com/ima-jin/imajin-ai</w:t>
      </w:r>
    </w:p>
    <w:sectPr>
      <w:footerReference w:type="default" r:id="rId6"/>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8a"/>
        <w:sz w:val="16"/>
        <w:szCs w:val="16"/>
      </w:rPr>
      <w:t xml:space="preserve">MJN Protocol  ·  imajin.ai  ·  Confidential Draft  ·  </w:t>
    </w:r>
    <w:r>
      <w:rPr>
        <w:rFonts w:ascii="Arial" w:cs="Arial" w:eastAsia="Arial" w:hAnsi="Arial"/>
        <w:color w:val="6b6b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f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0f1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4a4a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2026-02-25T21:40:55.241Z</dcterms:created>
  <dcterms:modified xsi:type="dcterms:W3CDTF">2026-02-25T21:40:55.242Z</dcterms:modified>
</cp:coreProperties>
</file>

<file path=docProps/custom.xml><?xml version="1.0" encoding="utf-8"?>
<Properties xmlns="http://schemas.openxmlformats.org/officeDocument/2006/custom-properties" xmlns:vt="http://schemas.openxmlformats.org/officeDocument/2006/docPropsVTypes"/>
</file>