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60" w:line="276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Экспертное заключение по проекту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c>
          <w:tcPr>
            <w:tcW w:type="dxa" w:w="3400"/>
            <w:tcBorders>
              <w:top w:val="single" w:color="B9B2E0" w:sz="4"/>
              <w:left w:val="single" w:color="B9B2E0" w:sz="4"/>
              <w:bottom w:val="single" w:color="B9B2E0" w:sz="4"/>
              <w:right w:val="single" w:color="B9B2E0" w:sz="4"/>
            </w:tcBorders>
            <w:shd w:fill="F1EF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Проект</w:t>
            </w:r>
          </w:p>
        </w:tc>
        <w:tc>
          <w:tcPr>
            <w:tcW w:type="dxa" w:w="6238"/>
            <w:tcBorders>
              <w:top w:val="single" w:color="B9B2E0" w:sz="4"/>
              <w:left w:val="single" w:color="B9B2E0" w:sz="4"/>
              <w:bottom w:val="single" w:color="B9B2E0" w:sz="4"/>
              <w:right w:val="single" w:color="B9B2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AI-агент для поиска ответов по внутренней документации и базам данных предприятия: помощник отдела техпродаж и сервиса</w:t>
            </w:r>
          </w:p>
        </w:tc>
      </w:tr>
      <w:tr>
        <w:tc>
          <w:tcPr>
            <w:tcW w:type="dxa" w:w="3400"/>
            <w:tcBorders>
              <w:top w:val="single" w:color="B9B2E0" w:sz="4"/>
              <w:left w:val="single" w:color="B9B2E0" w:sz="4"/>
              <w:bottom w:val="single" w:color="B9B2E0" w:sz="4"/>
              <w:right w:val="single" w:color="B9B2E0" w:sz="4"/>
            </w:tcBorders>
            <w:shd w:fill="F1EF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Задача партнера</w:t>
            </w:r>
          </w:p>
        </w:tc>
        <w:tc>
          <w:tcPr>
            <w:tcW w:type="dxa" w:w="6238"/>
            <w:tcBorders>
              <w:top w:val="single" w:color="B9B2E0" w:sz="4"/>
              <w:left w:val="single" w:color="B9B2E0" w:sz="4"/>
              <w:bottom w:val="single" w:color="B9B2E0" w:sz="4"/>
              <w:right w:val="single" w:color="B9B2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№ 34 «Эффективное использование AI-агентов для качественных и точных ответов, используя внутренние базы знаний и данных предприятия», ООО «НПВП «НаноТехноПром»</w:t>
            </w:r>
          </w:p>
        </w:tc>
      </w:tr>
      <w:tr>
        <w:tc>
          <w:tcPr>
            <w:tcW w:type="dxa" w:w="3400"/>
            <w:tcBorders>
              <w:top w:val="single" w:color="B9B2E0" w:sz="4"/>
              <w:left w:val="single" w:color="B9B2E0" w:sz="4"/>
              <w:bottom w:val="single" w:color="B9B2E0" w:sz="4"/>
              <w:right w:val="single" w:color="B9B2E0" w:sz="4"/>
            </w:tcBorders>
            <w:shd w:fill="F1EF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Команда</w:t>
            </w:r>
          </w:p>
        </w:tc>
        <w:tc>
          <w:tcPr>
            <w:tcW w:type="dxa" w:w="6238"/>
            <w:tcBorders>
              <w:top w:val="single" w:color="B9B2E0" w:sz="4"/>
              <w:left w:val="single" w:color="B9B2E0" w:sz="4"/>
              <w:bottom w:val="single" w:color="B9B2E0" w:sz="4"/>
              <w:right w:val="single" w:color="B9B2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РГРТУ им. В.Ф. Уткина, руководитель команды - </w:t>
            </w:r>
            <w:r>
              <w:rPr>
                <w:rFonts w:ascii="Calibri" w:cs="Calibri" w:eastAsia="Calibri" w:hAnsi="Calibri"/>
                <w:sz w:val="22"/>
                <w:szCs w:val="22"/>
                <w:highlight w:val="yellow"/>
                <w:highlightCs w:val="yellow"/>
              </w:rPr>
              <w:t xml:space="preserve">[ФИО]</w:t>
            </w:r>
          </w:p>
        </w:tc>
      </w:tr>
      <w:tr>
        <w:tc>
          <w:tcPr>
            <w:tcW w:type="dxa" w:w="3400"/>
            <w:tcBorders>
              <w:top w:val="single" w:color="B9B2E0" w:sz="4"/>
              <w:left w:val="single" w:color="B9B2E0" w:sz="4"/>
              <w:bottom w:val="single" w:color="B9B2E0" w:sz="4"/>
              <w:right w:val="single" w:color="B9B2E0" w:sz="4"/>
            </w:tcBorders>
            <w:shd w:fill="F1EF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Программа</w:t>
            </w:r>
          </w:p>
        </w:tc>
        <w:tc>
          <w:tcPr>
            <w:tcW w:type="dxa" w:w="6238"/>
            <w:tcBorders>
              <w:top w:val="single" w:color="B9B2E0" w:sz="4"/>
              <w:left w:val="single" w:color="B9B2E0" w:sz="4"/>
              <w:bottom w:val="single" w:color="B9B2E0" w:sz="4"/>
              <w:right w:val="single" w:color="B9B2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Акселератор «Школа студенческого технологического предпринимательства «Мой стартап», первый этап (защита 16-17.10.2026)</w:t>
            </w:r>
          </w:p>
        </w:tc>
      </w:tr>
    </w:tbl>
    <w:p>
      <w:pPr>
        <w:spacing w:before="240" w:after="80" w:line="276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Сведения об эксперте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c>
          <w:tcPr>
            <w:tcW w:type="dxa" w:w="3400"/>
            <w:tcBorders>
              <w:top w:val="single" w:color="B9B2E0" w:sz="4"/>
              <w:left w:val="single" w:color="B9B2E0" w:sz="4"/>
              <w:bottom w:val="single" w:color="B9B2E0" w:sz="4"/>
              <w:right w:val="single" w:color="B9B2E0" w:sz="4"/>
            </w:tcBorders>
            <w:shd w:fill="F1EF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ФИО</w:t>
            </w:r>
          </w:p>
        </w:tc>
        <w:tc>
          <w:tcPr>
            <w:tcW w:type="dxa" w:w="6238"/>
            <w:tcBorders>
              <w:top w:val="single" w:color="B9B2E0" w:sz="4"/>
              <w:left w:val="single" w:color="B9B2E0" w:sz="4"/>
              <w:bottom w:val="single" w:color="B9B2E0" w:sz="4"/>
              <w:right w:val="single" w:color="B9B2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400"/>
            <w:tcBorders>
              <w:top w:val="single" w:color="B9B2E0" w:sz="4"/>
              <w:left w:val="single" w:color="B9B2E0" w:sz="4"/>
              <w:bottom w:val="single" w:color="B9B2E0" w:sz="4"/>
              <w:right w:val="single" w:color="B9B2E0" w:sz="4"/>
            </w:tcBorders>
            <w:shd w:fill="F1EF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Место работы, должность</w:t>
            </w:r>
          </w:p>
        </w:tc>
        <w:tc>
          <w:tcPr>
            <w:tcW w:type="dxa" w:w="6238"/>
            <w:tcBorders>
              <w:top w:val="single" w:color="B9B2E0" w:sz="4"/>
              <w:left w:val="single" w:color="B9B2E0" w:sz="4"/>
              <w:bottom w:val="single" w:color="B9B2E0" w:sz="4"/>
              <w:right w:val="single" w:color="B9B2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400"/>
            <w:tcBorders>
              <w:top w:val="single" w:color="B9B2E0" w:sz="4"/>
              <w:left w:val="single" w:color="B9B2E0" w:sz="4"/>
              <w:bottom w:val="single" w:color="B9B2E0" w:sz="4"/>
              <w:right w:val="single" w:color="B9B2E0" w:sz="4"/>
            </w:tcBorders>
            <w:shd w:fill="F1EF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Ссылка на профиль в ИС «Эксперты НТИ»</w:t>
            </w:r>
          </w:p>
        </w:tc>
        <w:tc>
          <w:tcPr>
            <w:tcW w:type="dxa" w:w="6238"/>
            <w:tcBorders>
              <w:top w:val="single" w:color="B9B2E0" w:sz="4"/>
              <w:left w:val="single" w:color="B9B2E0" w:sz="4"/>
              <w:bottom w:val="single" w:color="B9B2E0" w:sz="4"/>
              <w:right w:val="single" w:color="B9B2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keepNext/>
        <w:spacing w:before="200" w:after="40" w:line="276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1. Теоретическая реализуемость</w:t>
      </w:r>
    </w:p>
    <w:p>
      <w:pPr>
        <w:keepNext/>
        <w:spacing w:before="0" w:after="60" w:line="276"/>
      </w:pPr>
      <w:r>
        <w:rPr>
          <w:rFonts w:ascii="Calibri" w:cs="Calibri" w:eastAsia="Calibri" w:hAnsi="Calibri"/>
          <w:i/>
          <w:iCs/>
          <w:color w:val="6B6880"/>
          <w:sz w:val="20"/>
          <w:szCs w:val="20"/>
        </w:rPr>
        <w:t xml:space="preserve">Насколько обоснован технический подход (поиск по документам, ответ модели только по найденным фрагментам, проверка ссылок, расчеты программой) и реализуем ли он на практике.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500" w:hRule="atLeast"/>
        </w:trPr>
        <w:tc>
          <w:tcPr>
            <w:tcW w:type="dxa" w:w="9638"/>
            <w:tcBorders>
              <w:top w:val="single" w:color="B9B2E0" w:sz="4"/>
              <w:left w:val="single" w:color="B9B2E0" w:sz="4"/>
              <w:bottom w:val="single" w:color="B9B2E0" w:sz="4"/>
              <w:right w:val="single" w:color="B9B2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keepNext/>
        <w:spacing w:before="200" w:after="40" w:line="276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2. Коммерческий потенциал</w:t>
      </w:r>
    </w:p>
    <w:p>
      <w:pPr>
        <w:keepNext/>
        <w:spacing w:before="0" w:after="60" w:line="276"/>
      </w:pPr>
      <w:r>
        <w:rPr>
          <w:rFonts w:ascii="Calibri" w:cs="Calibri" w:eastAsia="Calibri" w:hAnsi="Calibri"/>
          <w:i/>
          <w:iCs/>
          <w:color w:val="6B6880"/>
          <w:sz w:val="20"/>
          <w:szCs w:val="20"/>
        </w:rPr>
        <w:t xml:space="preserve">Есть ли спрос у целевых клиентов (отделы техпродаж и сервиса, предприятия с коммерческой тайной), реалистична ли модель монетизации, каковы перспективы пилота у партнера.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500" w:hRule="atLeast"/>
        </w:trPr>
        <w:tc>
          <w:tcPr>
            <w:tcW w:type="dxa" w:w="9638"/>
            <w:tcBorders>
              <w:top w:val="single" w:color="B9B2E0" w:sz="4"/>
              <w:left w:val="single" w:color="B9B2E0" w:sz="4"/>
              <w:bottom w:val="single" w:color="B9B2E0" w:sz="4"/>
              <w:right w:val="single" w:color="B9B2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keepNext/>
        <w:spacing w:before="200" w:after="40" w:line="276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3. Соответствие основным научным принципам</w:t>
      </w:r>
    </w:p>
    <w:p>
      <w:pPr>
        <w:keepNext/>
        <w:spacing w:before="0" w:after="60" w:line="276"/>
      </w:pPr>
      <w:r>
        <w:rPr>
          <w:rFonts w:ascii="Calibri" w:cs="Calibri" w:eastAsia="Calibri" w:hAnsi="Calibri"/>
          <w:i/>
          <w:iCs/>
          <w:color w:val="6B6880"/>
          <w:sz w:val="20"/>
          <w:szCs w:val="20"/>
        </w:rPr>
        <w:t xml:space="preserve">Корректность методики проверки качества (эталонные наборы, честные отказы, независимая проверка), воспроизводимость результатов.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500" w:hRule="atLeast"/>
        </w:trPr>
        <w:tc>
          <w:tcPr>
            <w:tcW w:type="dxa" w:w="9638"/>
            <w:tcBorders>
              <w:top w:val="single" w:color="B9B2E0" w:sz="4"/>
              <w:left w:val="single" w:color="B9B2E0" w:sz="4"/>
              <w:bottom w:val="single" w:color="B9B2E0" w:sz="4"/>
              <w:right w:val="single" w:color="B9B2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keepNext/>
        <w:spacing w:before="200" w:after="40" w:line="276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4. Замечания и рекомендации (по желанию)</w:t>
      </w:r>
    </w:p>
    <w:p>
      <w:pPr>
        <w:keepNext/>
        <w:spacing w:before="0" w:after="60" w:line="276"/>
      </w:pPr>
      <w:r>
        <w:rPr>
          <w:rFonts w:ascii="Calibri" w:cs="Calibri" w:eastAsia="Calibri" w:hAnsi="Calibri"/>
          <w:i/>
          <w:iCs/>
          <w:color w:val="6B6880"/>
          <w:sz w:val="20"/>
          <w:szCs w:val="20"/>
        </w:rPr>
        <w:t xml:space="preserve">Что стоит доработать в первую очередь.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500" w:hRule="atLeast"/>
        </w:trPr>
        <w:tc>
          <w:tcPr>
            <w:tcW w:type="dxa" w:w="9638"/>
            <w:tcBorders>
              <w:top w:val="single" w:color="B9B2E0" w:sz="4"/>
              <w:left w:val="single" w:color="B9B2E0" w:sz="4"/>
              <w:bottom w:val="single" w:color="B9B2E0" w:sz="4"/>
              <w:right w:val="single" w:color="B9B2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before="240" w:after="240" w:line="276"/>
      </w:pPr>
      <w:r>
        <w:rPr>
          <w:rFonts w:ascii="Calibri" w:cs="Calibri" w:eastAsia="Calibri" w:hAnsi="Calibri"/>
          <w:sz w:val="22"/>
          <w:szCs w:val="22"/>
        </w:rPr>
        <w:t xml:space="preserve">Общий вывод:  </w:t>
      </w: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 ]</w:t>
      </w:r>
      <w:r>
        <w:rPr>
          <w:rFonts w:ascii="Calibri" w:cs="Calibri" w:eastAsia="Calibri" w:hAnsi="Calibri"/>
          <w:sz w:val="22"/>
          <w:szCs w:val="22"/>
        </w:rPr>
        <w:t xml:space="preserve"> рекомендую проект к дальнейшему развитию   </w:t>
      </w: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 ]</w:t>
      </w:r>
      <w:r>
        <w:rPr>
          <w:rFonts w:ascii="Calibri" w:cs="Calibri" w:eastAsia="Calibri" w:hAnsi="Calibri"/>
          <w:sz w:val="22"/>
          <w:szCs w:val="22"/>
        </w:rPr>
        <w:t xml:space="preserve"> рекомендую с доработками   </w:t>
      </w: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 ]</w:t>
      </w:r>
      <w:r>
        <w:rPr>
          <w:rFonts w:ascii="Calibri" w:cs="Calibri" w:eastAsia="Calibri" w:hAnsi="Calibri"/>
          <w:sz w:val="22"/>
          <w:szCs w:val="22"/>
        </w:rPr>
        <w:t xml:space="preserve"> не рекомендую</w:t>
      </w:r>
    </w:p>
    <w:p>
      <w:pPr>
        <w:spacing w:before="0" w:after="0" w:line="276"/>
      </w:pPr>
      <w:r>
        <w:rPr>
          <w:rFonts w:ascii="Calibri" w:cs="Calibri" w:eastAsia="Calibri" w:hAnsi="Calibri"/>
          <w:sz w:val="22"/>
          <w:szCs w:val="22"/>
        </w:rPr>
        <w:t xml:space="preserve">Дата: ____________          Подпись: ____________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Экспертное заключение по проекту</dc:title>
  <dc:creator>Команда РГРТУ, задача № 34</dc:creator>
  <cp:lastModifiedBy>Un-named</cp:lastModifiedBy>
  <cp:revision>1</cp:revision>
  <dcterms:created xsi:type="dcterms:W3CDTF">2026-10-13T18:12:55.330Z</dcterms:created>
  <dcterms:modified xsi:type="dcterms:W3CDTF">2026-10-13T18:12:55.330Z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