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B3A75"/>
          <w:sz w:val="32"/>
        </w:rPr>
        <w:t>Экономика проекта: AI-агент для техпродаж и сервиса</w:t>
      </w:r>
    </w:p>
    <w:p>
      <w:r>
        <w:t>Финансовая модель с формулами — Finmodel.xlsx (сценарий выбирается на листе «Допущения»), расчёт — docs/ekonomika/finmodel.py. У каждого допущения — статус: факт (замерено продуктом, закон), рынок (внешний источник) или оценка (проверяется на пилоте), и как его проверить.</w:t>
      </w:r>
    </w:p>
    <w:p>
      <w:pPr>
        <w:spacing w:before="200"/>
      </w:pPr>
      <w:r>
        <w:rPr>
          <w:b/>
          <w:color w:val="4B3A75"/>
          <w:sz w:val="24"/>
        </w:rPr>
        <w:t>Главное</w:t>
      </w:r>
    </w:p>
    <w:p>
      <w:pPr>
        <w:pStyle w:val="ListBullet"/>
      </w:pPr>
      <w:r>
        <w:t>Продукт продаёт результат, который сам же измеряет: время до утверждённого ответа и ТКП считает вкладка «Эффект», отчёт о пилоте собирается одной кнопкой. Качество измерено: эталон 85 из 85, вопросы «с ходу» 38 из 38, письма клиентов → ТКП 20 из 20 (26.10.2026, ПК с видеокартой).</w:t>
      </w:r>
    </w:p>
    <w:p>
      <w:pPr>
        <w:pStyle w:val="ListBullet"/>
      </w:pPr>
      <w:r>
        <w:t>Заказчик экономит 95 ₽ на каждом запросе при полной стоимости агента 42 ₽ на запрос вместе с подпиской — каждый рубль подписки возвращает 2,2 ₽.</w:t>
      </w:r>
    </w:p>
    <w:p>
      <w:pPr>
        <w:pStyle w:val="ListBullet"/>
      </w:pPr>
      <w:r>
        <w:t>Окупаемость для заказчика: предприятие — 6,7 мес., отдел техпродаж — 11,3 мес. с покупкой ПК и 8,9 мес., если ПК с видеокартой уже есть; возврат за 3 года — 150 % и 64 %.</w:t>
      </w:r>
    </w:p>
    <w:p>
      <w:pPr>
        <w:pStyle w:val="ListBullet"/>
      </w:pPr>
      <w:r>
        <w:t>Экономика клиента: маржа 83 %, ценность клиента за 5 лет 1,85 млн ₽ при стоимости привлечения 159 тыс. ₽ — LTV/CAC 11,7, привлечение окупается за 4,4 мес.</w:t>
      </w:r>
    </w:p>
    <w:p>
      <w:pPr>
        <w:pStyle w:val="ListBullet"/>
      </w:pPr>
      <w:r>
        <w:t>План (базовый сценарий = план паспорта: 2 + 5 + 12 клиентов): выручка 1,21 млн ₽ → 4,11 млн ₽ → 11,34 млн ₽; EBITDA 2028 г. — около нуля, 2029 г. — 1,93 млн ₽; грант «Студенческий стартап» покрывает почти всё: минимум остатка — -0,12 млн ₽ в 2028 г., его закрывают оплаченные пилоты или сдвиг найма на квартал.</w:t>
      </w:r>
    </w:p>
    <w:p>
      <w:pPr>
        <w:pStyle w:val="ListBullet"/>
      </w:pPr>
      <w:r>
        <w:t>Рынок: корпоративные ИИ-помощники в России — около 30 млрд ₽ в 2026 г.; ИИ используют лишь 4,8 % крупных и средних организаций — рынок в начале роста, а 55 % проектов застряли на пилоте: продукт с измеренным эффектом за 300 тыс. ₽ в год против пилота у интегратора за 5–15 млн ₽ проходит этот барьер.</w:t>
      </w:r>
    </w:p>
    <w:p>
      <w:pPr>
        <w:spacing w:before="200"/>
      </w:pPr>
      <w:r>
        <w:rPr>
          <w:b/>
          <w:color w:val="4B3A75"/>
          <w:sz w:val="24"/>
        </w:rPr>
        <w:t>1. Что продаём</w:t>
      </w:r>
    </w:p>
    <w:p>
      <w:r>
        <w:t>Помощник отдела техпродаж и сервиса на компьютере предприятия: письмо клиента (из чата или почты) → разбор позиций → подбор по справочнику параметров программой → цены из прайса или 1С → ТКП на бланке компании в Word и Excel → утверждение и реестр ТКП со статусами и напоминаниями. Ответы по документам и учёту — со ссылкой на пункт и страницу, без выдумок, без интернета.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r>
              <w:rPr>
                <w:b/>
                <w:sz w:val="18"/>
              </w:rPr>
              <w:t>Упаковка</w:t>
            </w:r>
          </w:p>
        </w:tc>
        <w:tc>
          <w:tcPr>
            <w:tcW w:type="dxa" w:w="3307"/>
          </w:tcPr>
          <w:p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3307"/>
          </w:tcPr>
          <w:p>
            <w:r>
              <w:rPr>
                <w:b/>
                <w:sz w:val="18"/>
              </w:rPr>
              <w:t>Что входит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Внедрение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300 тыс. ₽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подключение документов, ролей, справочника; проверочный набор и замер качества; обучение (7–11 чел.-дн.)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Подписка «Отдел» (до 50 пользователей)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300 тыс. ₽ в год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ответы по документам и учёту, справочник параметров, черновик ТКП, обновления, поддержка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Подписка «Предприятие» (до 200)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600 тыс. ₽ в год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то же для нескольких отделов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Модуль «ТКП и продажи»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120 тыс. ₽ в год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реестр ТКП, бланк компании, почта отдела, напоминания, аналитика спроса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Модуль «1С»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100 тыс. ₽ в год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цены и остатки из 1С, только чтение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Услуги при внедрении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100 тыс. ₽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наполнение справочника параметров, интеграции, обучение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Пилот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50–150 тыс. ₽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1–2 месяца, замер «до / после»; засчитывается во внедрение</w:t>
            </w:r>
          </w:p>
        </w:tc>
      </w:tr>
    </w:tbl>
    <w:p/>
    <w:p>
      <w:r>
        <w:t>Для сравнения: облачный ассистент Яндекса — 1 199 ₽ в месяц за сотрудника (данные уходят в облако), версия для своей инфраструктуры — 2 490–11 490 ₽; у нас отдел из 8 человек платит 4 375 ₽ в месяц за сотрудника — внутри предприятия и с ТКП. RAG-ассистент у интегратора — 350–800 тыс. ₽ без измерения эффекта.</w:t>
      </w:r>
    </w:p>
    <w:p>
      <w:pPr>
        <w:spacing w:before="200"/>
      </w:pPr>
      <w:r>
        <w:rPr>
          <w:b/>
          <w:color w:val="4B3A75"/>
          <w:sz w:val="24"/>
        </w:rPr>
        <w:t>2. Эффект для заказчика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307"/>
          </w:tcPr>
          <w:p>
            <w:r>
              <w:rPr>
                <w:b/>
                <w:sz w:val="18"/>
              </w:rPr>
              <w:t>Отдел техпродаж и сервиса — как в пилоте</w:t>
            </w:r>
          </w:p>
        </w:tc>
        <w:tc>
          <w:tcPr>
            <w:tcW w:type="dxa" w:w="3307"/>
          </w:tcPr>
          <w:p>
            <w:r>
              <w:rPr>
                <w:b/>
                <w:sz w:val="18"/>
              </w:rPr>
              <w:t>Предприятие: 80 сотрудников работают с документами — пример паспорта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Высвобождается часов в год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1595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4312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Эффект в год (час сотрудника с взносами — 630 ₽)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1,01 млн ₽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2,72 млн ₽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Затраты первого года (с внедрением и ПК)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0,95 млн ₽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1,52 млн ₽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Затраты со второго года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0,45 млн ₽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0,87 млн ₽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Окупаемость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11,3 мес. (8,9 — без покупки ПК)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6,7 мес.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Возврат за 3 года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64 %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150 %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Цена — доля от эффекта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42 %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30 %</w:t>
            </w:r>
          </w:p>
        </w:tc>
      </w:tr>
    </w:tbl>
    <w:p/>
    <w:p>
      <w:r>
        <w:t>Отдел: 8 специалистов, 5 ответов клиентам в день на каждого по 15 минут и 60 ТКП в месяц по 60 минут; агент сокращает время вдвое — это цель из карточки партнёра. Экономия на запросе — 95 ₽, полная стоимость агента — 42 ₽ на запрос. 15 и 60 минут — оценки: на пилоте их заменит хронометраж по протоколу docs/pilot/zamer_i_stoimost.md, а время с агентом замерит вкладка «Эффект». Рост доли выигранных ТКП (быстрее ответ клиенту) в расчёт не включён — реестр ТКП покажет его на пилоте.</w:t>
      </w:r>
    </w:p>
    <w:p>
      <w:pPr>
        <w:spacing w:before="200"/>
      </w:pPr>
      <w:r>
        <w:rPr>
          <w:b/>
          <w:color w:val="4B3A75"/>
          <w:sz w:val="24"/>
        </w:rPr>
        <w:t>3. Экономика одного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4961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  <w:t>Выручка с клиента в год (подписка и модули)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  <w:t>517 тыс. ₽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  <w:t>Выручка первого года (с внедрением и услугами)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  <w:t>636 тыс. ₽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  <w:t>Маржа первого года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  <w:t>525 тыс. ₽ (83 %)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  <w:t>Маржа со второго года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  <w:t>429 тыс. ₽ (83 %)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  <w:t>Стоимость привлечения (показ, пилот, выезды, продвижение)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  <w:t>159 тыс. ₽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  <w:t>Ценность клиента за 5 лет (LTV)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  <w:t>1,85 млн ₽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  <w:t>LTV / CAC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  <w:t>11,7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  <w:t>Окупаемость привлечения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  <w:t>4,4 мес.</w:t>
            </w:r>
          </w:p>
        </w:tc>
      </w:tr>
    </w:tbl>
    <w:p/>
    <w:p>
      <w:r>
        <w:t>Маржа высокая потому, что нет платы за модель и облако: открытые модели работают на компьютере заказчика; затраты — время команды на внедрение и поддержку и комиссия интегратора (25 % подписки, половина клиентов — через партнёров).</w:t>
      </w:r>
    </w:p>
    <w:p>
      <w:pPr>
        <w:spacing w:before="200"/>
      </w:pPr>
      <w:r>
        <w:rPr>
          <w:b/>
          <w:color w:val="4B3A75"/>
          <w:sz w:val="24"/>
        </w:rPr>
        <w:t>4. План на 2027–2029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Клиентов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Выручка 2027 / 2028 / 2029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EBITDA 2029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Деньги на конец 2029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Консервативный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 + 3 + 7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0,61 млн ₽ / 2,35 млн ₽ / 6,45 млн ₽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-0,45 млн ₽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-2,94 млн ₽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Базовый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 + 5 + 12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1,21 млн ₽ / 4,11 млн ₽ / 11,34 млн ₽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1,93 млн ₽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1,47 млн ₽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Оптимистичный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 + 8 + 18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1,82 млн ₽ / 6,56 млн ₽ / 17,62 млн ₽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5,56 млн ₽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7,20 млн ₽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r>
              <w:rPr>
                <w:b/>
                <w:sz w:val="18"/>
              </w:rPr>
              <w:t>Базовый сценарий</w:t>
            </w:r>
          </w:p>
        </w:tc>
        <w:tc>
          <w:tcPr>
            <w:tcW w:type="dxa" w:w="2480"/>
          </w:tcPr>
          <w:p>
            <w:r>
              <w:rPr>
                <w:b/>
                <w:sz w:val="18"/>
              </w:rPr>
              <w:t>2027</w:t>
            </w:r>
          </w:p>
        </w:tc>
        <w:tc>
          <w:tcPr>
            <w:tcW w:type="dxa" w:w="2480"/>
          </w:tcPr>
          <w:p>
            <w:r>
              <w:rPr>
                <w:b/>
                <w:sz w:val="18"/>
              </w:rPr>
              <w:t>2028</w:t>
            </w:r>
          </w:p>
        </w:tc>
        <w:tc>
          <w:tcPr>
            <w:tcW w:type="dxa" w:w="2480"/>
          </w:tcPr>
          <w:p>
            <w:r>
              <w:rPr>
                <w:b/>
                <w:sz w:val="18"/>
              </w:rPr>
              <w:t>2029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Активных клиентов на конец года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2,0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6,8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18,1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Выручка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1,21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4,11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11,34 млн ₽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Валовая прибыль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0,88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3,01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8,62 млн ₽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Фонд оплаты труда с взносами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1,56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3,02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6,81 млн ₽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EBITDA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-0,94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-0,02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1,93 млн ₽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Налог (УСН 6 % с вычетом взносов)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0,04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0,12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0,34 млн ₽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Гранты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1,00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0,00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0,00 млн ₽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Деньги накопленно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0,02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-0,12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1,47 млн ₽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Загрузка внедрения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87 %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68 %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85 %</w:t>
            </w:r>
          </w:p>
        </w:tc>
      </w:tr>
    </w:tbl>
    <w:p/>
    <w:p>
      <w:r>
        <w:t>Команда растёт вслед за клиентами: 1,75 → 3 → 5,75 ставки в 2027–2029 гг. (в 2027 г. — студенты на неполной ставке, внедряет вся команда). Точка безубыточности при расходах 2029 г. — 18 активных клиентов. В консервативном сценарии нужно до 2,94 млн ₽ финансирования — грант «Старт» ФСИ или найм по факту продаж.</w:t>
      </w:r>
    </w:p>
    <w:p>
      <w:pPr>
        <w:spacing w:before="200"/>
      </w:pPr>
      <w:r>
        <w:rPr>
          <w:b/>
          <w:color w:val="4B3A75"/>
          <w:sz w:val="24"/>
        </w:rPr>
        <w:t>5. Что сильнее всего влияет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r>
              <w:rPr>
                <w:b/>
                <w:sz w:val="18"/>
              </w:rPr>
              <w:t>Допущение</w:t>
            </w:r>
          </w:p>
        </w:tc>
        <w:tc>
          <w:tcPr>
            <w:tcW w:type="dxa" w:w="2480"/>
          </w:tcPr>
          <w:p>
            <w:r>
              <w:rPr>
                <w:b/>
                <w:sz w:val="18"/>
              </w:rPr>
              <w:t>Хуже</w:t>
            </w:r>
          </w:p>
        </w:tc>
        <w:tc>
          <w:tcPr>
            <w:tcW w:type="dxa" w:w="2480"/>
          </w:tcPr>
          <w:p>
            <w:r>
              <w:rPr>
                <w:b/>
                <w:sz w:val="18"/>
              </w:rPr>
              <w:t>Базовый</w:t>
            </w:r>
          </w:p>
        </w:tc>
        <w:tc>
          <w:tcPr>
            <w:tcW w:type="dxa" w:w="2480"/>
          </w:tcPr>
          <w:p>
            <w:r>
              <w:rPr>
                <w:b/>
                <w:sz w:val="18"/>
              </w:rPr>
              <w:t>Лучше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Новых клиентов ±30 %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-3,18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1,47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6,13 млн ₽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Подписка и модули ±20 %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-0,10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1,47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3,04 млн ₽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Цена внедрения ±30 %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-0,32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1,47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3,26 млн ₽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Оплата труда ±20 %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-0,81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1,47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3,75 млн ₽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Отток 5 % / 20 %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1,00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1,47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1,71 млн ₽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Доля через интеграторов 25 % / 75 %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0,89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1,47 млн 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2,05 млн ₽</w:t>
            </w:r>
          </w:p>
        </w:tc>
      </w:tr>
    </w:tbl>
    <w:p/>
    <w:p>
      <w:r>
        <w:t>Деньги на конец 2029 г. накопленно. Главный рычаг — число новых клиентов, второй — фонд оплаты труда: поэтому найм идёт за продажами, а продажи — через интегратора-партнёра и его клиентов.</w:t>
      </w:r>
    </w:p>
    <w:p>
      <w:pPr>
        <w:spacing w:before="200"/>
      </w:pPr>
      <w:r>
        <w:rPr>
          <w:b/>
          <w:color w:val="4B3A75"/>
          <w:sz w:val="24"/>
        </w:rPr>
        <w:t>6. Налоги и поддержка</w:t>
      </w:r>
    </w:p>
    <w:p>
      <w:pPr>
        <w:pStyle w:val="ListBullet"/>
      </w:pPr>
      <w:r>
        <w:t>УСН «доходы» 6 % с вычетом страховых взносов (до 50 % налога); выручка до 2029 г. ниже порога НДС на УСН 20 млн ₽ — цены без НДС.</w:t>
      </w:r>
    </w:p>
    <w:p>
      <w:pPr>
        <w:pStyle w:val="ListBullet"/>
      </w:pPr>
      <w:r>
        <w:t>ИТ-аккредитация (с 2028 г.): взносы 15 % в пределах базы вместо 30 %; лицензии на ПО из реестра российского ПО освобождены от НДС — нужно при выручке выше порога и для госзаказчиков и ОПК; реестр — план 2028 г.</w:t>
      </w:r>
    </w:p>
    <w:p>
      <w:pPr>
        <w:pStyle w:val="ListBullet"/>
      </w:pPr>
      <w:r>
        <w:t>Гранты ФСИ: «Студенческий стартап» — 1 млн ₽ (следующая очередь — по объявлению фонда), «УМНИК» — 500 тыс. ₽; далее «Старт».</w:t>
      </w:r>
    </w:p>
    <w:p>
      <w:pPr>
        <w:pStyle w:val="ListBullet"/>
      </w:pPr>
      <w:r>
        <w:t>Регистрация программы для ЭВМ — пошлина 5 000 ₽, материалы собраны (docs/registraciya).</w:t>
      </w:r>
    </w:p>
    <w:p>
      <w:pPr>
        <w:spacing w:before="200"/>
      </w:pPr>
      <w:r>
        <w:rPr>
          <w:b/>
          <w:color w:val="4B3A75"/>
          <w:sz w:val="24"/>
        </w:rPr>
        <w:t>7. Стоимость созданного продукта</w:t>
      </w:r>
    </w:p>
    <w:p>
      <w:r>
        <w:t>Нормативная трудоёмкость сделанного — 230 чел.-дн. (прототип 167 и доработки до 26.10.2026): 0,87 млн ₽ по ставки команды (концепция: 60 тыс. ₽ в месяц) и 1,74 млн ₽ — по рыночная ставка разработчика в Рязани (≈ 120 тыс. ₽ в месяц). Это вклад команды в нематериальный актив и в софинансирование заявок на гранты.</w:t>
      </w:r>
    </w:p>
    <w:p>
      <w:pPr>
        <w:spacing w:before="200"/>
      </w:pPr>
      <w:r>
        <w:rPr>
          <w:b/>
          <w:color w:val="4B3A75"/>
          <w:sz w:val="24"/>
        </w:rPr>
        <w:t>8. Риски и как снимаем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4961"/>
          </w:tcPr>
          <w:p>
            <w:r>
              <w:rPr>
                <w:b/>
                <w:sz w:val="18"/>
              </w:rPr>
              <w:t>Ответ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  <w:t>Эффект на реальных документах меньше заявленного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  <w:t>пилот с замером «до / после», отчёт о пилоте; цена подписки — 30–42 % эффекта, запас есть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  <w:t>Длинный цикл продаж у промышленности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  <w:t>пилот за 1–2 месяца через партнёра-интегратора; почта и 1С показывают пользу в первый день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  <w:t>Крупные игроки снизят цены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  <w:t>ниша МСП, закрытый контур, ТКП и справочник — не «чат по документам»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  <w:t>Лицензия PyMuPDF (AGPL)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  <w:t>замена силами команды до первого платного договора или коммерческая лицензия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  <w:t>Маленькая команда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  <w:t>найм за продажами, поставка одной папкой, проверка ветки одной командой, автотесты на Windows и Linux</w:t>
            </w:r>
          </w:p>
        </w:tc>
      </w:tr>
    </w:tbl>
    <w:p/>
    <w:p>
      <w:pPr>
        <w:spacing w:before="200"/>
      </w:pPr>
      <w:r>
        <w:rPr>
          <w:b/>
          <w:color w:val="4B3A75"/>
          <w:sz w:val="24"/>
        </w:rPr>
        <w:t>9. Что проверить на пилоте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r>
              <w:rPr>
                <w:b/>
                <w:sz w:val="18"/>
              </w:rPr>
              <w:t>Допущение</w:t>
            </w:r>
          </w:p>
        </w:tc>
        <w:tc>
          <w:tcPr>
            <w:tcW w:type="dxa" w:w="3307"/>
          </w:tcPr>
          <w:p>
            <w:r>
              <w:rPr>
                <w:b/>
                <w:sz w:val="18"/>
              </w:rPr>
              <w:t>Как проверяем</w:t>
            </w:r>
          </w:p>
        </w:tc>
        <w:tc>
          <w:tcPr>
            <w:tcW w:type="dxa" w:w="3307"/>
          </w:tcPr>
          <w:p>
            <w:r>
              <w:rPr>
                <w:b/>
                <w:sz w:val="18"/>
              </w:rPr>
              <w:t>Где видно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15 мин на ответ и 60 мин на ТКП вручную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хронометраж 10–20 запросов по протоколу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протокол замера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минус 50 % времени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время до утверждения — само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вкладка «Эффект», отчёт о пилоте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цена 300–600 тыс. ₽ в год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вопрос о бюджете и оплачиваемом продолжении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интервью, письмо партнёра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7–11 чел.-дн. на внедрение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учёт часов команды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лист «Учёт часов» в Trudoemkost.xlsx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доля выигранных ТКП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статусы в реестре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«Реестр ТКП» → сводка</w:t>
            </w:r>
          </w:p>
        </w:tc>
      </w:tr>
    </w:tbl>
    <w:p/>
    <w:p>
      <w:pPr>
        <w:spacing w:before="200"/>
      </w:pPr>
      <w:r>
        <w:rPr>
          <w:b/>
          <w:color w:val="4B3A75"/>
          <w:sz w:val="24"/>
        </w:rPr>
        <w:t>10. Что поправить в презентации и паспорте</w:t>
      </w:r>
    </w:p>
    <w:p>
      <w:pPr>
        <w:pStyle w:val="ListBullet"/>
      </w:pPr>
      <w:r>
        <w:t>«≈ 4 ₽ за запрос против ≈ 160 ₽» без подписки и при 100 % ручной работы эксперт оспорит. Честнее и сильнее: «экономия 95 ₽ на запросе при полной стоимости 42 ₽ вместе с подпиской — каждый рубль возвращает 2,2 ₽».</w:t>
      </w:r>
    </w:p>
    <w:p>
      <w:pPr>
        <w:pStyle w:val="ListBullet"/>
      </w:pPr>
      <w:r>
        <w:t>«Окупаемость 4–5 мес.» → «7 мес. для предприятия, до года — для отдела».</w:t>
      </w:r>
    </w:p>
    <w:p>
      <w:pPr>
        <w:pStyle w:val="ListBullet"/>
      </w:pPr>
      <w:r>
        <w:t>«Рынок генеративного ИИ 58 млрд ₽» → «рынок корпоративных ИИ-помощников — 30 млрд ₽ в 2026 г.» — это наш рынок.</w:t>
      </w:r>
    </w:p>
    <w:p>
      <w:pPr>
        <w:pStyle w:val="ListBullet"/>
      </w:pPr>
      <w:r>
        <w:t>Постоянные затраты «≈ 3 млн ₽ в год, 3 человека» → план найма 1,75 → 3 → 5,75 ставки из модели (в команде 6 человек).</w:t>
      </w:r>
    </w:p>
    <w:p>
      <w:pPr>
        <w:pStyle w:val="ListBullet"/>
      </w:pPr>
      <w:r>
        <w:t>Одна ставка труда для всех расчётов — из листа «Допущения» (в концепции было 8 000 и 3 800 ₽ за чел.-день).</w:t>
      </w:r>
    </w:p>
    <w:p>
      <w:pPr>
        <w:pStyle w:val="ListBullet"/>
      </w:pPr>
      <w:r>
        <w:t>Слайд 12: почта и 1С уже работают — раньше плана 2027 г.</w:t>
      </w:r>
    </w:p>
    <w:p>
      <w:pPr>
        <w:spacing w:before="200"/>
      </w:pPr>
      <w:r>
        <w:rPr>
          <w:b/>
          <w:color w:val="4B3A75"/>
          <w:sz w:val="24"/>
        </w:rPr>
        <w:t>Источники</w:t>
      </w:r>
    </w:p>
    <w:p>
      <w:pPr>
        <w:pStyle w:val="ListBullet"/>
      </w:pPr>
      <w:r>
        <w:t>Рынок корпоративных ИИ-помощников в России — около 30 млрд ₽ по итогам 2026 г. (оценка MWS AI) — https://www.kommersant.ru/doc/8587035</w:t>
      </w:r>
    </w:p>
    <w:p>
      <w:pPr>
        <w:pStyle w:val="ListBullet"/>
      </w:pPr>
      <w:r>
        <w:t>ИИ используют 4,8 % крупных и средних организаций, среди компаний от 500 работников — 14,9 % (ИСИЭЗ НИУ ВШЭ по данным Росстата за 2024 г.); 55 % проектов генеративного ИИ — на стадии пилота (Just AI и Onside, 12.2025) — https://cisoclub.ru/korporativnyj-ii-v-rossii-rynok-ii-pomoshhnikov</w:t>
      </w:r>
    </w:p>
    <w:p>
      <w:pPr>
        <w:pStyle w:val="ListBullet"/>
      </w:pPr>
      <w:r>
        <w:t>Рязанская область: 14 100 малых и средних предприятий, обрабатывающие производства — 13 % (Рязаньстат, 05.2026) — https://www.rzn.info/news/2026/5/26/v-ryazanskoj-oblasti-naschitali-bolee-14-000-malyh-i-srednih-predpriyatij-i-pochti-32-000-ip-346049.html</w:t>
      </w:r>
    </w:p>
    <w:p>
      <w:pPr>
        <w:pStyle w:val="ListBullet"/>
      </w:pPr>
      <w:r>
        <w:t>Организаций обрабатывающих производств в Рязанской области — 2 177 (СПАРК, 2025) — https://spark-interfax.ru/statistics/region/61000000000</w:t>
      </w:r>
    </w:p>
    <w:p>
      <w:pPr>
        <w:pStyle w:val="ListBullet"/>
      </w:pPr>
      <w:r>
        <w:t>Средних предприятий в реестре МСП — 24,4 тыс. (Минэкономразвития, 07.2026) — https://www.retail.ru/news/kolichestvo-srednikh-predpriyatiy-v-reestre-msp-za-god-vyroslo-na-10-14-iyulya-2026-279848/</w:t>
      </w:r>
    </w:p>
    <w:p>
      <w:pPr>
        <w:pStyle w:val="ListBullet"/>
      </w:pPr>
      <w:r>
        <w:t>Средняя зарплата в Рязанской области — 79 982 ₽ (март 2026, Росстат) — https://gogov.ru/average-salary/rzn</w:t>
      </w:r>
    </w:p>
    <w:p>
      <w:pPr>
        <w:pStyle w:val="ListBullet"/>
      </w:pPr>
      <w:r>
        <w:t>Инженеры в Рязани по вакансиям — 81–113 тыс. ₽ — https://ryazan.gorodrabot.ru/salaries/inzhener-kipia</w:t>
      </w:r>
    </w:p>
    <w:p>
      <w:pPr>
        <w:pStyle w:val="ListBullet"/>
      </w:pPr>
      <w:r>
        <w:t>«Алиса AI для бизнеса» — 1 199 ₽ в месяц за сотрудника; «Алиса AI Про» — 2 490–11 490 ₽ — https://360.yandex.ru/business/alice-business/</w:t>
      </w:r>
    </w:p>
    <w:p>
      <w:pPr>
        <w:pStyle w:val="ListBullet"/>
      </w:pPr>
      <w:r>
        <w:t>RAG-ассистент по базе знаний у интеграторов — 350–800 тыс. ₽ — https://wehaveidea.ru/article/stoimost-vnedreniya-ii-assistenta-2026</w:t>
      </w:r>
    </w:p>
    <w:p>
      <w:pPr>
        <w:pStyle w:val="ListBullet"/>
      </w:pPr>
      <w:r>
        <w:t>Пилот генеративного ИИ у интегратора — 5–15 млн ₽ (Onside) — https://3dnews.ru/1133625</w:t>
      </w:r>
    </w:p>
    <w:p>
      <w:pPr>
        <w:pStyle w:val="ListBullet"/>
      </w:pPr>
      <w:r>
        <w:t>ИТ-аккредитация в 2026 г.: взносы 15 % в пределах базы, налог на прибыль 5 %, НДС 0 для ПО из реестра — https://e-kontur.ru/blog/16132/it-s-2026-goda</w:t>
      </w:r>
    </w:p>
    <w:p>
      <w:pPr>
        <w:pStyle w:val="ListBullet"/>
      </w:pPr>
      <w:r>
        <w:t>Порог НДС на УСН — 20 млн ₽ (сверить со ст. 145 НК РФ) — https://www.glavbukh.ru/art/391540-limity-nds-usn</w:t>
      </w:r>
    </w:p>
    <w:p>
      <w:pPr>
        <w:pStyle w:val="ListBullet"/>
      </w:pPr>
      <w:r>
        <w:t>Грант «Студенческий стартап» — 1 млн ₽; «УМНИК» — 500 тыс. ₽ (ФСИ) — https://fondnid.ru/studencheskiy-startup</w:t>
      </w:r>
    </w:p>
    <w:sectPr w:rsidR="00FC693F" w:rsidRPr="0006063C" w:rsidSect="00034616">
      <w:pgSz w:w="11906" w:h="16838"/>
      <w:pgMar w:top="907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