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Corporate Strategy &amp; Business Development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 in Television, Radio and Film  |  Minors: Strategic Management &amp; Philosophy</w:t>
      </w:r>
      <w:r>
        <w:rPr>
          <w:rFonts w:ascii="Calibri" w:cs="Calibri" w:eastAsia="Calibri" w:hAnsi="Calibri"/>
          <w:sz w:val="20"/>
          <w:szCs w:val="20"/>
        </w:rPr>
        <w:t xml:space="preserve">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ANALYTICAL &amp; STRATEGIC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on US film and TV production incentives, structured around three subscriber tiers from individual to institutional.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Own pricing, positioning, and go-to-market, and built the automated ingest-to-publish pipeline plus the validation rule that links every figure to its public source.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Analyze large sets of historical Ancestry.com registry records and structure findings into Excel datasets to support Dr. Murphy's upcoming book on the history of the Caribbean slave trade — close-read, high-volume data work translated into usable analysis.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Conducted structural analysis and commercial marketability evaluations for two feature screenplays — applying market and audience judgment to content decisions.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short, working through casting and scheduling trade-offs with no financial cushion; script selected for the Babelfest Playwright Festival.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Pitched narrative arcs inside a simulated TV Writers' Room led by screenwriter Guinevere Turner (American Psycho), incorporating executive-level notes on commercial viability.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for the student body's honors leadership and direct cross-functional logistics for campus events drawing 200+ attendees.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 communications and hold the executive board accountable through structured agenda and action-item tracking.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Supported planning and execution of commercial and non-commercial film productions; researched marketing initiatives for studio resources.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 and budgeted an original narrative short that won 1st Place at the Portland Film Festival Future Filmmakers Competition.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Financial planning &amp; budgeting, market/commercial analysis, resource allocation, cross-functional leadership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Studio System, IMDbPro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2026-08-07T17:02:42.211Z</dcterms:created>
  <dcterms:modified xsi:type="dcterms:W3CDTF">2026-08-07T17:02:42.211Z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