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IMA KENNERLY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919 E Genesee St Unit 474, Syracuse NY 13210  |  Portland, OR  •  503-933-1006  •  iak06@outlook.com  •  Reel: youtu.be/Tta5cUtNBYk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Corporate Strategy &amp; Business Development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EDUCATION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Syracuse University, S.I. Newhouse School of Public Communications — Syracuse, NY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Expected May 2028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B.S. in Television, Radio and Film  |  Minors: Strategic Management &amp; Philosophy</w:t>
      </w:r>
      <w:r>
        <w:rPr>
          <w:rFonts w:ascii="Calibri" w:cs="Calibri" w:eastAsia="Calibri" w:hAnsi="Calibri"/>
          <w:sz w:val="20"/>
          <w:szCs w:val="20"/>
        </w:rPr>
        <w:t xml:space="preserve">  |  GPA: 3.7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Renée Crown Honors Program  |  Leadership Scholar  |  Vice President, Honors Advisory Board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NYU Paris — Advanced Immersive French Language &amp; Culture Program</w:t>
      </w:r>
      <w:r>
        <w:rPr>
          <w:rFonts w:ascii="Calibri" w:cs="Calibri" w:eastAsia="Calibri" w:hAnsi="Calibri"/>
          <w:sz w:val="18"/>
          <w:szCs w:val="18"/>
        </w:rPr>
        <w:t xml:space="preserve">  (Summer 2026, GPA: 4.0)    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USC School of Cinematic Arts — Production &amp; Screenwriting Residency</w:t>
      </w:r>
      <w:r>
        <w:rPr>
          <w:rFonts w:ascii="Calibri" w:cs="Calibri" w:eastAsia="Calibri" w:hAnsi="Calibri"/>
          <w:sz w:val="18"/>
          <w:szCs w:val="18"/>
        </w:rPr>
        <w:t xml:space="preserve">  (Summer 2023, GPA: 4.0)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ANALYTICAL &amp; STRATEGIC EXPERIENCE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Incentive Radar — Owner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Sept 2026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Founded and operate a B2B data subscription on US film and TV production incentives, structured around three subscriber tiers from individual to institutional.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Own pricing, positioning, and go-to-market, and built the automated ingest-to-publish pipeline plus the validation rule that links every figure to its public source.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Assistant to Dr. Tessa Murphy — Syracuse University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2026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Analyze large sets of historical Ancestry.com registry records and structure findings into Excel datasets to support Dr. Murphy's upcoming book on the history of the Caribbean slave trade — close-read, high-volume data work translated into usable analysis.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Independent Script Development Project — Development Analyst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Jan 2026 – June 2026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Conducted structural analysis and commercial marketability evaluations for two feature screenplays — applying market and audience judgment to content decisions.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Spring, Again — Lead Producer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In Production, expected Fall 2027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Lead a 15-person crew and manage full resource allocation for a zero-budget independent short, working through casting and scheduling trade-offs with no financial cushion.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Selected for the Babelfest Playwright Competition; co-directed the stage adaptation of the script.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Pig/Dog — Screenwriter &amp; Room Contributor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Spring 2026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Pitched narrative arcs inside a simulated TV Writers' Room led by screenwriter Guinevere Turner (American Psycho), incorporating executive-level notes on commercial viability.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LEADERSHIP EXPERIENCE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Syracuse University Honors Advisory Board — Vice President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Sept 2025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Co-lead organizational strategy for the student body's honors leadership and direct cross-functional logistics for campus events drawing 200+ attendees.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Syracuse University Black Honors Society — Secretary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Sept 2025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Manage communications and hold the executive board accountable through structured agenda and action-item tracking.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PRODUCTION EXPERIENCE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Desert Island Studios — Production Intern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May 2024 – July 2024, Portland, 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Supported planning and execution of commercial and non-commercial film productions; researched marketing initiatives for studio resources.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Missed You — Writer, Director &amp; Producer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Summer 2023, USC School of Cinematic Arts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Packaged and budgeted an original narrative short that won 1st Place at the Portland Film Festival Future Filmmakers Competition.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SKILLS &amp; LANGUAGES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Strengths: </w:t>
      </w:r>
      <w:r>
        <w:rPr>
          <w:rFonts w:ascii="Calibri" w:cs="Calibri" w:eastAsia="Calibri" w:hAnsi="Calibri"/>
          <w:sz w:val="20"/>
          <w:szCs w:val="20"/>
        </w:rPr>
        <w:t xml:space="preserve">Financial planning &amp; budgeting, market/commercial analysis, resource allocation, cross-functional leadership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Software: </w:t>
      </w:r>
      <w:r>
        <w:rPr>
          <w:rFonts w:ascii="Calibri" w:cs="Calibri" w:eastAsia="Calibri" w:hAnsi="Calibri"/>
          <w:sz w:val="20"/>
          <w:szCs w:val="20"/>
        </w:rPr>
        <w:t xml:space="preserve">Excel/Google Sheets (advanced budgeting), Outlook, StudioBinder, Studio System, IMDbPro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 (Native), French (Professional Working Proficiency, B2–C1)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2026-08-07T17:02:42.211Z</dcterms:created>
  <dcterms:modified xsi:type="dcterms:W3CDTF">2026-08-07T17:02:42.211Z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