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The Walt Disney Company</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Disney Entertainment Internship at The Walt Disney Company, available Summer 2027. Disney Entertainment's scale across film, television, and streaming makes it a rare place to see how storytelling decisions connect to company-wide strategy.</w:t>
      </w:r>
    </w:p>
    <w:p>
      <w:pPr>
        <w:spacing w:after="200"/>
      </w:pPr>
      <w:r>
        <w:rPr>
          <w:rFonts w:ascii="Calibri" w:cs="Calibri" w:eastAsia="Calibri" w:hAnsi="Calibri"/>
          <w:sz w:val="22"/>
          <w:szCs w:val="22"/>
        </w:rPr>
        <w:t xml:space="preserve">My experience sits at the intersection of production and development. As Lead Producer on Spring, Again, I lead a 15-person crew and manage full resource allocation on a zero-budget independent short — the script was selected for the Babelfest Playwright Festival, and we're on track to finish by fall 2027. In a simulated Writers' Room led by Guinevere Turner (American Psycho), I pitched and refined narrative arcs under executive-level notes, and as a Development Analyst I evaluated feature screenplays for structure and commercial marketability.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The Walt Disney Company approaches storytelling and business strategy together at scale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2026-08-07T17:03:53.612Z</dcterms:created>
  <dcterms:modified xsi:type="dcterms:W3CDTF">2026-08-07T17:03:53.612Z</dcterms:modified>
</cp:coreProperties>
</file>

<file path=docProps/custom.xml><?xml version="1.0" encoding="utf-8"?>
<Properties xmlns="http://schemas.openxmlformats.org/officeDocument/2006/custom-properties" xmlns:vt="http://schemas.openxmlformats.org/officeDocument/2006/docPropsVTypes"/>
</file>