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rmcqm7n2ry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1: Information Security Policy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yvlfr825c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establish guidelines for maintaining the confidentiality, integrity, and availability of organizational information assets.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nonu2q751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Applies to all employees, contractors, and third-party users accessing organizational systems.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9nihjwkk5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must be protected against unauthorized access, disclosure, alteration, and destruction.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rdwjgiw0p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Roles and Responsibilities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Manager</w:t>
      </w:r>
      <w:r w:rsidDel="00000000" w:rsidR="00000000" w:rsidRPr="00000000">
        <w:rPr>
          <w:rtl w:val="0"/>
        </w:rPr>
        <w:t xml:space="preserve">: Develops, implements, and maintains security policies.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</w:t>
      </w:r>
      <w:r w:rsidDel="00000000" w:rsidR="00000000" w:rsidRPr="00000000">
        <w:rPr>
          <w:rtl w:val="0"/>
        </w:rPr>
        <w:t xml:space="preserve">: Enforces technical controls.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Employees</w:t>
      </w:r>
      <w:r w:rsidDel="00000000" w:rsidR="00000000" w:rsidRPr="00000000">
        <w:rPr>
          <w:rtl w:val="0"/>
        </w:rPr>
        <w:t xml:space="preserve">: Adhere to security protocols and report incidents.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p3ffwyxh1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Access Control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pogs572qc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User Authentication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password enforcement.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for sensitive systems.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kgacopzsv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Role-Based Access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granted on a need-to-know basis.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review of user privileges.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oldtajg3f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Data Classification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Use Only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Restricted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xldltdpa1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Incident Response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within 24 hours.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Response Team (IRT) investigates and mitigates.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2a1boivd5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Compliance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audits and compliance with ISO/IEC 27001.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