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prao4yqvu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2: Quality Management Policy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flo019yf5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the consistent delivery of products and services that meet customer and regulatory requirements.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zpn41sle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Covers all organizational processes impacting product/service quality.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nc45xn582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Commitment to continual improvement and customer satisfaction through a structured Quality Management System (QMS).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ju8mlex4h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Quality Objectives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customer satisfaction rating above 90%.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defects by 10% annually.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Timely delivery in 95% of orders.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efp33vzvq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Responsibilities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Manager</w:t>
      </w:r>
      <w:r w:rsidDel="00000000" w:rsidR="00000000" w:rsidRPr="00000000">
        <w:rPr>
          <w:rtl w:val="0"/>
        </w:rPr>
        <w:t xml:space="preserve">: Oversees QMS and audits.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Owners</w:t>
      </w:r>
      <w:r w:rsidDel="00000000" w:rsidR="00000000" w:rsidRPr="00000000">
        <w:rPr>
          <w:rtl w:val="0"/>
        </w:rPr>
        <w:t xml:space="preserve">: Implement quality controls.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 Follow standard procedures.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uy6tu5byy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Document Control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documents must have version control.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cycle every 12 months.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dn7ol1hq4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Internal Audits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Scheduled bi-annually.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Findings recorded and actions tracked.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8au2sfx1m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Non-Conformance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Root cause analysis.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Corrective and preventive action (CAPA) plans.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32k2fpcxn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Training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Annual quality training for all staff.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cdwf1koh8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Compliance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Aligned with ISO 9001:2015.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