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slinj27kve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 3: Environmental Policy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30tjejo0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minimize environmental impact and promote sustainability.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y0e0tf8px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Applicable to all operations, facilities, and personnel.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by1levcnd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Policy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Commitment to environmental protection, compliance with laws, and sustainable practices.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fxyze0qil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Environmental Objectives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carbon emissions by 15% over 5 years.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waste to landfill by 2030.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usage reduction by 20% in 3 years.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hvfi7dxs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Responsibilities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Manager</w:t>
      </w:r>
      <w:r w:rsidDel="00000000" w:rsidR="00000000" w:rsidRPr="00000000">
        <w:rPr>
          <w:rtl w:val="0"/>
        </w:rPr>
        <w:t xml:space="preserve">: Develops and monitors policy.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Departments</w:t>
      </w:r>
      <w:r w:rsidDel="00000000" w:rsidR="00000000" w:rsidRPr="00000000">
        <w:rPr>
          <w:rtl w:val="0"/>
        </w:rPr>
        <w:t xml:space="preserve">: Implement eco-friendly practices.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lgyk7aa9z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Waste Management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qgt3aiq8z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Segregation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Recyclables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Hazardous waste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Organic waste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r5yjei7z7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Disposal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Licensed vendors for hazardous materials.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waste audits.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7s08l24g6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Energy Efficiency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lighting.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Energy-efficient appliances.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energy usage monitoring.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lzrmb3rw0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Compliance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Adherence to ISO 14001.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environmental performance report.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