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vo8dalf1z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 4: Occupational Health and Safety Policy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4rw791sti8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provide a safe and healthy work environment.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m62d74p9x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Applies to all organizational locations and personnel.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t6biyrg9n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Policy Statement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Zero harm objective through proactive health and safety measures.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9m2fgiev27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Responsibilities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HSE Manager</w:t>
      </w:r>
      <w:r w:rsidDel="00000000" w:rsidR="00000000" w:rsidRPr="00000000">
        <w:rPr>
          <w:rtl w:val="0"/>
        </w:rPr>
        <w:t xml:space="preserve">: Develops safety programs.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Supervisors</w:t>
      </w:r>
      <w:r w:rsidDel="00000000" w:rsidR="00000000" w:rsidRPr="00000000">
        <w:rPr>
          <w:rtl w:val="0"/>
        </w:rPr>
        <w:t xml:space="preserve">: Enforce safe practices.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: Report hazards and follow procedures.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i31gpb6py03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Hazard Identification and Risk Assessment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Annual risk assessments.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safety inspections.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i4soq5ohce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Incident Reporting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 reporting of all incidents.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Investigation and documentation.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jjcwsl1tq6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Emergency Preparedness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 drills twice a year.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contact lists and evacuation plans.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luzgnsiwt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Training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Safety induction for new hires.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Specialized training for high-risk roles.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gfkqrtpa6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9. Compliance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Compliant with ISO 45001.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Annual safety performance review.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