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a9to4a088c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 5: Data Privacy Policy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7ptkmx16p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personal data is handled with care and in compliance with data protection laws.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odp7ve9v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Covers all personal data collected, stored, and processed by the organization.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4eb9ecl1z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Policy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 for individual privacy and commitment to data protection principles.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68fvx9yj5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Data Principles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Lawfulness, fairness, and transparency.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Purpose limitation.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minimization.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Storage limitation.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Integrity and confidentiality.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k7o1yy2ik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Roles and Responsibilities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 Officer (DPO)</w:t>
      </w:r>
      <w:r w:rsidDel="00000000" w:rsidR="00000000" w:rsidRPr="00000000">
        <w:rPr>
          <w:rtl w:val="0"/>
        </w:rPr>
        <w:t xml:space="preserve">: Ensures compliance.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Staff</w:t>
      </w:r>
      <w:r w:rsidDel="00000000" w:rsidR="00000000" w:rsidRPr="00000000">
        <w:rPr>
          <w:rtl w:val="0"/>
        </w:rPr>
        <w:t xml:space="preserve">: Responsible for secure data handling.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ttl1hx2kx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Data Subject Rights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Right to access.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to rectification.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to erasure.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to restrict processing.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h766vgeh1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Data Breach Response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Notify DPO within 24 hours.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Breach assessment and mitigation.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to authority if required.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2draqs6q3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Data Retention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Retention schedule by data type.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disposal of expired data.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f701kyh6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Compliance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Compliance with GDPR, CCPA, and relevant local laws.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