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spacing w:before="0" w:after="80"/>
        <w:jc w:val="center"/>
      </w:pPr>
      <w:r>
        <w:rPr>
          <w:rFonts w:ascii="Arial" w:cs="Arial" w:eastAsia="Arial" w:hAnsi="Arial"/>
          <w:b/>
          <w:bCs/>
          <w:color w:val="2E75B6"/>
          <w:sz w:val="24"/>
          <w:szCs w:val="24"/>
        </w:rPr>
        <w:t xml:space="preserve">TECHNICAL DEEP-DIVE</w:t>
      </w:r>
    </w:p>
    <w:p>
      <w:pPr>
        <w:spacing w:before="0" w:after="200"/>
        <w:jc w:val="center"/>
      </w:pPr>
      <w:r>
        <w:rPr>
          <w:rFonts w:ascii="Arial" w:cs="Arial" w:eastAsia="Arial" w:hAnsi="Arial"/>
          <w:b/>
          <w:bCs/>
          <w:color w:val="1F4E79"/>
          <w:sz w:val="56"/>
          <w:szCs w:val="56"/>
        </w:rPr>
        <w:t xml:space="preserve">NSGA-II, MMDE &amp; TOF-Broker</w:t>
      </w:r>
    </w:p>
    <w:p>
      <w:pPr>
        <w:spacing w:before="0" w:after="80"/>
        <w:jc w:val="center"/>
      </w:pPr>
      <w:r>
        <w:rPr>
          <w:rFonts w:ascii="Arial" w:cs="Arial" w:eastAsia="Arial" w:hAnsi="Arial"/>
          <w:i/>
          <w:iCs/>
          <w:color w:val="555555"/>
          <w:sz w:val="26"/>
          <w:szCs w:val="26"/>
        </w:rPr>
        <w:t xml:space="preserve">Everything you need to know — from zero</w:t>
      </w:r>
    </w:p>
    <w:p>
      <w:pPr>
        <w:spacing w:before="0" w:after="160"/>
      </w:pPr>
    </w:p>
    <w:p>
      <w:pPr>
        <w:jc w:val="center"/>
      </w:pPr>
      <w:r>
        <w:rPr>
          <w:rFonts w:ascii="Arial" w:cs="Arial" w:eastAsia="Arial" w:hAnsi="Arial"/>
          <w:color w:val="444444"/>
          <w:sz w:val="22"/>
          <w:szCs w:val="22"/>
        </w:rPr>
        <w:t xml:space="preserve">How the offline optimization pipeline works, what every parameter means,</w:t>
      </w:r>
    </w:p>
    <w:p>
      <w:pPr>
        <w:jc w:val="center"/>
      </w:pPr>
      <w:r>
        <w:rPr>
          <w:rFonts w:ascii="Arial" w:cs="Arial" w:eastAsia="Arial" w:hAnsi="Arial"/>
          <w:color w:val="444444"/>
          <w:sz w:val="22"/>
          <w:szCs w:val="22"/>
        </w:rPr>
        <w:t xml:space="preserve">and how all three algorithms connect into one system.</w:t>
      </w:r>
    </w:p>
    <w:p>
      <w:pPr>
        <w:spacing w:before="0" w:after="640"/>
      </w:pPr>
    </w:p>
    <w:p>
      <w:r>
        <w:br w:type="page"/>
      </w:r>
    </w:p>
    <w:p>
      <w:pPr>
        <w:pStyle w:val="Heading1"/>
        <w:spacing w:before="360" w:after="120"/>
      </w:pPr>
      <w:r>
        <w:rPr>
          <w:rFonts w:ascii="Arial" w:cs="Arial" w:eastAsia="Arial" w:hAnsi="Arial"/>
          <w:b/>
          <w:bCs/>
          <w:color w:val="1F4E79"/>
          <w:sz w:val="36"/>
          <w:szCs w:val="36"/>
        </w:rPr>
        <w:t xml:space="preserve">0.  Why This Matters — The Problem First</w:t>
      </w:r>
    </w:p>
    <w:p>
      <w:pPr>
        <w:spacing w:before="80" w:after="120"/>
      </w:pPr>
      <w:r>
        <w:rPr>
          <w:rFonts w:ascii="Arial" w:cs="Arial" w:eastAsia="Arial" w:hAnsi="Arial"/>
          <w:sz w:val="22"/>
          <w:szCs w:val="22"/>
        </w:rPr>
        <w:t xml:space="preserve">Before reading about algorithms, you need to understand the problem they solve. Imagine 500 smart cars in a city. Each car runs an object detection model every 100ms to watch for pedestrians. The phone-sized computer inside the car cannot run that model fast enough — it would take 4 seconds per frame, which is useless. So the car has to offload that computation: send the raw camera frame to a nearby fog server, let the server run the model, send the result back.</w:t>
      </w:r>
    </w:p>
    <w:p>
      <w:pPr>
        <w:spacing w:before="0" w:after="80"/>
      </w:pPr>
    </w:p>
    <w:p>
      <w:pPr>
        <w:spacing w:before="80" w:after="120"/>
      </w:pPr>
      <w:r>
        <w:rPr>
          <w:rFonts w:ascii="Arial" w:cs="Arial" w:eastAsia="Arial" w:hAnsi="Arial"/>
          <w:sz w:val="22"/>
          <w:szCs w:val="22"/>
        </w:rPr>
        <w:t xml:space="preserve">Now multiply this by 500 cars. The fog server has limited CPU. Some tasks are light (a temperature sensor reading = a few kilobytes). Some are heavy (a 4K video frame for object detection = potentially 8MB and 5,000 million instructions). If you send everything to the fog server it crashes. If you send everything to the distant cloud the latency is 200ms+ and the car hits the pedestrian before it gets the result.</w:t>
      </w:r>
    </w:p>
    <w:p>
      <w:pPr>
        <w:spacing w:before="0" w:after="80"/>
      </w:pPr>
    </w:p>
    <w:p>
      <w:pPr>
        <w:spacing w:before="80" w:after="120"/>
      </w:pPr>
      <w:r>
        <w:rPr>
          <w:rFonts w:ascii="Arial" w:cs="Arial" w:eastAsia="Arial" w:hAnsi="Arial"/>
          <w:sz w:val="22"/>
          <w:szCs w:val="22"/>
        </w:rPr>
        <w:t xml:space="preserve">The decision you need to make, thousands of times per second, is: for each incoming task, WHERE should it run — on the IoT device itself, on the local fog node, or in the distant cloud? And HOW do you make that decision while minimizing both battery drain AND delay at the same time? These two objectives conflict — sending more to the cloud saves the battery on the device but increases latency. That tension is what makes this an optimization problem, and it is why you need NSGA-II.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INSIGHT</w:t>
            </w:r>
          </w:p>
        </w:tc>
        <w:tc>
          <w:tcPr>
            <w:tcW w:type="dxa" w:w="81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color w:val="1A1A1A"/>
                <w:sz w:val="21"/>
                <w:szCs w:val="21"/>
              </w:rPr>
              <w:t xml:space="preserve">There is no single 'best' answer. There are thousands of trade-off answers. NSGA-II finds the full set of optimal trade-offs (the Pareto front) so you can choose based on context.</w:t>
            </w:r>
          </w:p>
        </w:tc>
      </w:tr>
    </w:tbl>
    <w:p>
      <w:pPr>
        <w:spacing w:before="0" w:after="80"/>
      </w:pPr>
    </w:p>
    <w:p>
      <w:r>
        <w:br w:type="page"/>
      </w:r>
    </w:p>
    <w:p>
      <w:pPr>
        <w:pStyle w:val="Heading1"/>
        <w:spacing w:before="360" w:after="120"/>
      </w:pPr>
      <w:r>
        <w:rPr>
          <w:rFonts w:ascii="Arial" w:cs="Arial" w:eastAsia="Arial" w:hAnsi="Arial"/>
          <w:b/>
          <w:bCs/>
          <w:color w:val="1F4E79"/>
          <w:sz w:val="36"/>
          <w:szCs w:val="36"/>
        </w:rPr>
        <w:t xml:space="preserve">1.  NSGA-II — Non-Dominated Sorting Genetic Algorithm II</w:t>
      </w:r>
    </w:p>
    <w:p>
      <w:pPr>
        <w:pStyle w:val="Heading2"/>
        <w:spacing w:before="280" w:after="100"/>
      </w:pPr>
      <w:r>
        <w:rPr>
          <w:rFonts w:ascii="Arial" w:cs="Arial" w:eastAsia="Arial" w:hAnsi="Arial"/>
          <w:b/>
          <w:bCs/>
          <w:color w:val="2E75B6"/>
          <w:sz w:val="28"/>
          <w:szCs w:val="28"/>
        </w:rPr>
        <w:t xml:space="preserve">1.1  What kind of algorithm is this?</w:t>
      </w:r>
    </w:p>
    <w:p>
      <w:pPr>
        <w:spacing w:before="80" w:after="120"/>
      </w:pPr>
      <w:r>
        <w:rPr>
          <w:rFonts w:ascii="Arial" w:cs="Arial" w:eastAsia="Arial" w:hAnsi="Arial"/>
          <w:sz w:val="22"/>
          <w:szCs w:val="22"/>
        </w:rPr>
        <w:t xml:space="preserve">NSGA-II is a metaheuristic multi-objective evolutionary algorithm. Let's break that phrase down word by word because each word matters.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Metaheuristic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It does not guarantee the mathematically perfect answer. It searches for very good answers efficiently, even when the search space is too large to explore fully. For 1,000 tasks each with 3 placement options, the search space is 3^1000 — a number larger than atoms in the universe. No exact algorithm can handle this. Metaheuristics are designed precisely for problems like this.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Multi-objective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It optimizes two or more conflicting objectives simultaneously. Classic algorithms find one best answer. NSGA-II finds a set of best answers — one for every possible trade-off between your objectives (energy vs. latency in your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Evolutionary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It is inspired by biological evolution. It starts with a random population of candidate solutions, evaluates how good they are, breeds the best ones together to create offspring, and repeats this over many generations. Over time the population evolves toward better solutions.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Algorithm II</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It is the second version of NSGA, published by Deb et al. in 2002. The original NSGA had problems with computational cost and maintaining diversity. NSGA-II introduced two key fixes: fast non-dominated sorting and crowding distance. Both are explained below.</w:t>
            </w:r>
          </w:p>
        </w:tc>
      </w:tr>
    </w:tbl>
    <w:p>
      <w:pPr>
        <w:spacing w:before="0" w:after="80"/>
      </w:pPr>
    </w:p>
    <w:p>
      <w:pPr>
        <w:pStyle w:val="Heading2"/>
        <w:spacing w:before="280" w:after="100"/>
      </w:pPr>
      <w:r>
        <w:rPr>
          <w:rFonts w:ascii="Arial" w:cs="Arial" w:eastAsia="Arial" w:hAnsi="Arial"/>
          <w:b/>
          <w:bCs/>
          <w:color w:val="2E75B6"/>
          <w:sz w:val="28"/>
          <w:szCs w:val="28"/>
        </w:rPr>
        <w:t xml:space="preserve">1.2  The core concept: Pareto dominance</w:t>
      </w:r>
    </w:p>
    <w:p>
      <w:pPr>
        <w:spacing w:before="80" w:after="120"/>
      </w:pPr>
      <w:r>
        <w:rPr>
          <w:rFonts w:ascii="Arial" w:cs="Arial" w:eastAsia="Arial" w:hAnsi="Arial"/>
          <w:sz w:val="22"/>
          <w:szCs w:val="22"/>
        </w:rPr>
        <w:t xml:space="preserve">Before anything else, you must understand dominance. This is the mathematical heart of the whole algorithm.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81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color w:val="1A1A1A"/>
                <w:sz w:val="21"/>
                <w:szCs w:val="21"/>
              </w:rPr>
              <w:t xml:space="preserve">Solution A dominates Solution B if A is at least as good as B on ALL objectives, AND strictly better on at least ONE objective.</w:t>
            </w:r>
          </w:p>
        </w:tc>
      </w:tr>
    </w:tbl>
    <w:p>
      <w:pPr>
        <w:spacing w:before="0" w:after="80"/>
      </w:pPr>
    </w:p>
    <w:p>
      <w:pPr>
        <w:spacing w:before="80" w:after="120"/>
      </w:pPr>
      <w:r>
        <w:rPr>
          <w:rFonts w:ascii="Arial" w:cs="Arial" w:eastAsia="Arial" w:hAnsi="Arial"/>
          <w:sz w:val="22"/>
          <w:szCs w:val="22"/>
        </w:rPr>
        <w:t xml:space="preserve">Concrete example with your problem: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Relationship to 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Solution 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Energy = 10 J,   Latency = 50 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Solution B</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Energy = 12 J,   Latency = 60 ms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 dominates B. A is better on both objectives.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Solution 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Energy = 8 J,    Latency = 80 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Neither A nor C dominates the other. A is better on latency. C is better on energy. They represent different trade-offs.</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Solution D</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Energy = 10 J,   Latency = 55 ms</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 dominates D. Same energy, worse latency.</w:t>
            </w:r>
          </w:p>
        </w:tc>
      </w:tr>
    </w:tbl>
    <w:p>
      <w:pPr>
        <w:spacing w:before="0" w:after="80"/>
      </w:pPr>
    </w:p>
    <w:p>
      <w:pPr>
        <w:spacing w:before="80" w:after="120"/>
      </w:pPr>
      <w:r>
        <w:rPr>
          <w:rFonts w:ascii="Arial" w:cs="Arial" w:eastAsia="Arial" w:hAnsi="Arial"/>
          <w:sz w:val="22"/>
          <w:szCs w:val="22"/>
        </w:rPr>
        <w:t xml:space="preserve">Solutions C and A are both non-dominated — neither is strictly worse than the other. The full set of non-dominated solutions is called the Pareto front. Your goal is to find it.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120"/>
            </w:tcMar>
          </w:tcPr>
          <w:p>
            <w:r>
              <w:rPr>
                <w:rFonts w:ascii="Arial" w:cs="Arial" w:eastAsia="Arial" w:hAnsi="Arial"/>
                <w:b/>
                <w:bCs/>
                <w:color w:val="FFFFFF"/>
                <w:sz w:val="20"/>
                <w:szCs w:val="20"/>
              </w:rPr>
              <w:t xml:space="preserve">Pareto Dominance (formal definition)</w:t>
            </w:r>
          </w:p>
        </w:tc>
      </w:tr>
      <w:tr>
        <w:tc>
          <w:tcPr>
            <w:tcW w:type="dxa" w:w="9360"/>
            <w:tcBorders>
              <w:top w:val="single" w:color="CCCCCC" w:sz="1"/>
              <w:left w:val="single" w:color="CCCCCC" w:sz="1"/>
              <w:bottom w:val="single" w:color="CCCCCC" w:sz="1"/>
              <w:right w:val="single" w:color="CCCCCC" w:sz="1"/>
            </w:tcBorders>
            <w:shd w:fill="F0F5FF" w:val="clear"/>
            <w:tcMar>
              <w:top w:type="dxa" w:w="100"/>
              <w:left w:type="dxa" w:w="200"/>
              <w:bottom w:type="dxa" w:w="100"/>
              <w:right w:type="dxa" w:w="120"/>
            </w:tcMar>
          </w:tcPr>
          <w:p>
            <w:pPr>
              <w:jc w:val="center"/>
            </w:pPr>
            <w:r>
              <w:rPr>
                <w:rFonts w:ascii="Courier New" w:cs="Courier New" w:eastAsia="Courier New" w:hAnsi="Courier New"/>
                <w:b/>
                <w:bCs/>
                <w:color w:val="1F4E79"/>
                <w:sz w:val="26"/>
                <w:szCs w:val="26"/>
              </w:rPr>
              <w:t xml:space="preserve">A ≺ B  iff  ∀i: fi(A) ≤ fi(B)  AND  ∃j: fj(A) &lt; fj(B)</w:t>
            </w:r>
          </w:p>
          <w:p>
            <w:pPr>
              <w:spacing w:before="80"/>
            </w:pPr>
            <w:r>
              <w:rPr>
                <w:rFonts w:ascii="Arial" w:cs="Arial" w:eastAsia="Arial" w:hAnsi="Arial"/>
                <w:i/>
                <w:iCs/>
                <w:color w:val="444444"/>
                <w:sz w:val="20"/>
                <w:szCs w:val="20"/>
              </w:rPr>
              <w:t xml:space="preserve">Read: A dominates B if A is no worse than B on every objective i, and strictly better on at least one objective j.</w:t>
            </w:r>
          </w:p>
        </w:tc>
      </w:tr>
    </w:tbl>
    <w:p>
      <w:pPr>
        <w:spacing w:before="0" w:after="80"/>
      </w:pPr>
    </w:p>
    <w:p>
      <w:pPr>
        <w:pStyle w:val="Heading2"/>
        <w:spacing w:before="280" w:after="100"/>
      </w:pPr>
      <w:r>
        <w:rPr>
          <w:rFonts w:ascii="Arial" w:cs="Arial" w:eastAsia="Arial" w:hAnsi="Arial"/>
          <w:b/>
          <w:bCs/>
          <w:color w:val="2E75B6"/>
          <w:sz w:val="28"/>
          <w:szCs w:val="28"/>
        </w:rPr>
        <w:t xml:space="preserve">1.3  What is a 'solution' (chromosome) in your problem?</w:t>
      </w:r>
    </w:p>
    <w:p>
      <w:pPr>
        <w:spacing w:before="80" w:after="120"/>
      </w:pPr>
      <w:r>
        <w:rPr>
          <w:rFonts w:ascii="Arial" w:cs="Arial" w:eastAsia="Arial" w:hAnsi="Arial"/>
          <w:sz w:val="22"/>
          <w:szCs w:val="22"/>
        </w:rPr>
        <w:t xml:space="preserve">In genetic algorithms, each candidate solution is called a chromosome. In your IoT-Fog-Cloud problem, one chromosome is a complete routing plan for all tasks in a batch. It is an array of decisions, one per task:</w:t>
      </w:r>
    </w:p>
    <w:p>
      <w:pPr>
        <w:spacing w:before="0" w:after="80"/>
      </w:pPr>
    </w:p>
    <w:p>
      <w:pPr>
        <w:spacing w:before="60" w:after="60"/>
        <w:ind w:left="720"/>
      </w:pPr>
      <w:r>
        <w:rPr>
          <w:rFonts w:ascii="Courier New" w:cs="Courier New" w:eastAsia="Courier New" w:hAnsi="Courier New"/>
          <w:color w:val="1F4E79"/>
          <w:sz w:val="20"/>
          <w:szCs w:val="20"/>
        </w:rPr>
        <w:t xml:space="preserve">chromosome = [ FOG, CLOUD, FOG, FOG, CLOUD, FOG, CLOUD, ... ]  (length = number of tasks)</w:t>
      </w:r>
    </w:p>
    <w:p>
      <w:pPr>
        <w:spacing w:before="0" w:after="80"/>
      </w:pPr>
    </w:p>
    <w:p>
      <w:pPr>
        <w:spacing w:before="80" w:after="120"/>
      </w:pPr>
      <w:r>
        <w:rPr>
          <w:rFonts w:ascii="Arial" w:cs="Arial" w:eastAsia="Arial" w:hAnsi="Arial"/>
          <w:sz w:val="22"/>
          <w:szCs w:val="22"/>
        </w:rPr>
        <w:t xml:space="preserve">Each position in the array corresponds to one task. The value at that position is where that task gets offloaded: 0 = local (IoT device), 1 = fog, 2 = cloud. If you have 200 tasks, your chromosome is an array of 200 integers, each 0, 1, or 2.</w:t>
      </w:r>
    </w:p>
    <w:p>
      <w:pPr>
        <w:spacing w:before="0" w:after="80"/>
      </w:pPr>
    </w:p>
    <w:p>
      <w:pPr>
        <w:spacing w:before="80" w:after="120"/>
      </w:pPr>
      <w:r>
        <w:rPr>
          <w:rFonts w:ascii="Arial" w:cs="Arial" w:eastAsia="Arial" w:hAnsi="Arial"/>
          <w:sz w:val="22"/>
          <w:szCs w:val="22"/>
        </w:rPr>
        <w:t xml:space="preserve">The algorithm maintains a POPULATION of these chromosomes — typically 100 to 200 at once. Each chromosome in the population represents a different complete routing strategy for all tasks. NSGA-II evolves this population across many generations.</w:t>
      </w:r>
    </w:p>
    <w:p>
      <w:pPr>
        <w:spacing w:before="0" w:after="80"/>
      </w:pPr>
    </w:p>
    <w:p>
      <w:pPr>
        <w:pStyle w:val="Heading2"/>
        <w:spacing w:before="280" w:after="100"/>
      </w:pPr>
      <w:r>
        <w:rPr>
          <w:rFonts w:ascii="Arial" w:cs="Arial" w:eastAsia="Arial" w:hAnsi="Arial"/>
          <w:b/>
          <w:bCs/>
          <w:color w:val="2E75B6"/>
          <w:sz w:val="28"/>
          <w:szCs w:val="28"/>
        </w:rPr>
        <w:t xml:space="preserve">1.4  The two objective functions</w:t>
      </w:r>
    </w:p>
    <w:p>
      <w:pPr>
        <w:spacing w:before="80" w:after="120"/>
      </w:pPr>
      <w:r>
        <w:rPr>
          <w:rFonts w:ascii="Arial" w:cs="Arial" w:eastAsia="Arial" w:hAnsi="Arial"/>
          <w:sz w:val="22"/>
          <w:szCs w:val="22"/>
        </w:rPr>
        <w:t xml:space="preserve">Every chromosome must be evaluated on both objectives. These are the fitness functions — the mathematical formulas that score a solution.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120"/>
            </w:tcMar>
          </w:tcPr>
          <w:p>
            <w:r>
              <w:rPr>
                <w:rFonts w:ascii="Arial" w:cs="Arial" w:eastAsia="Arial" w:hAnsi="Arial"/>
                <w:b/>
                <w:bCs/>
                <w:color w:val="FFFFFF"/>
                <w:sz w:val="20"/>
                <w:szCs w:val="20"/>
              </w:rPr>
              <w:t xml:space="preserve">Objective 1 — Total Energy Consumption</w:t>
            </w:r>
          </w:p>
        </w:tc>
      </w:tr>
      <w:tr>
        <w:tc>
          <w:tcPr>
            <w:tcW w:type="dxa" w:w="9360"/>
            <w:tcBorders>
              <w:top w:val="single" w:color="CCCCCC" w:sz="1"/>
              <w:left w:val="single" w:color="CCCCCC" w:sz="1"/>
              <w:bottom w:val="single" w:color="CCCCCC" w:sz="1"/>
              <w:right w:val="single" w:color="CCCCCC" w:sz="1"/>
            </w:tcBorders>
            <w:shd w:fill="F0F5FF" w:val="clear"/>
            <w:tcMar>
              <w:top w:type="dxa" w:w="100"/>
              <w:left w:type="dxa" w:w="200"/>
              <w:bottom w:type="dxa" w:w="100"/>
              <w:right w:type="dxa" w:w="120"/>
            </w:tcMar>
          </w:tcPr>
          <w:p>
            <w:pPr>
              <w:jc w:val="center"/>
            </w:pPr>
            <w:r>
              <w:rPr>
                <w:rFonts w:ascii="Courier New" w:cs="Courier New" w:eastAsia="Courier New" w:hAnsi="Courier New"/>
                <w:b/>
                <w:bCs/>
                <w:color w:val="1F4E79"/>
                <w:sz w:val="26"/>
                <w:szCs w:val="26"/>
              </w:rPr>
              <w:t xml:space="preserve">f1(x) = Σ [ Etx(i) + Ecomp(i) ]  for all tasks i</w:t>
            </w:r>
          </w:p>
          <w:p>
            <w:pPr>
              <w:spacing w:before="80"/>
            </w:pPr>
            <w:r>
              <w:rPr>
                <w:rFonts w:ascii="Arial" w:cs="Arial" w:eastAsia="Arial" w:hAnsi="Arial"/>
                <w:i/>
                <w:iCs/>
                <w:color w:val="444444"/>
                <w:sz w:val="20"/>
                <w:szCs w:val="20"/>
              </w:rPr>
              <w:t xml:space="preserve">Etx(i) = energy to transmit task i to its destination. Ecomp(i) = energy the IoT device spends on local pre-processing. Both depend on the routing decision x[i].</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120"/>
            </w:tcMar>
          </w:tcPr>
          <w:p>
            <w:r>
              <w:rPr>
                <w:rFonts w:ascii="Arial" w:cs="Arial" w:eastAsia="Arial" w:hAnsi="Arial"/>
                <w:b/>
                <w:bCs/>
                <w:color w:val="FFFFFF"/>
                <w:sz w:val="20"/>
                <w:szCs w:val="20"/>
              </w:rPr>
              <w:t xml:space="preserve">Objective 2 — Total Task Latency</w:t>
            </w:r>
          </w:p>
        </w:tc>
      </w:tr>
      <w:tr>
        <w:tc>
          <w:tcPr>
            <w:tcW w:type="dxa" w:w="9360"/>
            <w:tcBorders>
              <w:top w:val="single" w:color="CCCCCC" w:sz="1"/>
              <w:left w:val="single" w:color="CCCCCC" w:sz="1"/>
              <w:bottom w:val="single" w:color="CCCCCC" w:sz="1"/>
              <w:right w:val="single" w:color="CCCCCC" w:sz="1"/>
            </w:tcBorders>
            <w:shd w:fill="F0F5FF" w:val="clear"/>
            <w:tcMar>
              <w:top w:type="dxa" w:w="100"/>
              <w:left w:type="dxa" w:w="200"/>
              <w:bottom w:type="dxa" w:w="100"/>
              <w:right w:type="dxa" w:w="120"/>
            </w:tcMar>
          </w:tcPr>
          <w:p>
            <w:pPr>
              <w:jc w:val="center"/>
            </w:pPr>
            <w:r>
              <w:rPr>
                <w:rFonts w:ascii="Courier New" w:cs="Courier New" w:eastAsia="Courier New" w:hAnsi="Courier New"/>
                <w:b/>
                <w:bCs/>
                <w:color w:val="1F4E79"/>
                <w:sz w:val="26"/>
                <w:szCs w:val="26"/>
              </w:rPr>
              <w:t xml:space="preserve">f2(x) = Σ [ Tupload(i) + Texec(i) + Tdownload(i) ]  for all tasks i</w:t>
            </w:r>
          </w:p>
          <w:p>
            <w:pPr>
              <w:spacing w:before="80"/>
            </w:pPr>
            <w:r>
              <w:rPr>
                <w:rFonts w:ascii="Arial" w:cs="Arial" w:eastAsia="Arial" w:hAnsi="Arial"/>
                <w:i/>
                <w:iCs/>
                <w:color w:val="444444"/>
                <w:sz w:val="20"/>
                <w:szCs w:val="20"/>
              </w:rPr>
              <w:t xml:space="preserve">Tupload = time to send data to fog/cloud. Texec = execution time at destination. Tdownload = time to receive result. All three depend on where task i is routed.</w:t>
            </w:r>
          </w:p>
        </w:tc>
      </w:tr>
    </w:tbl>
    <w:p>
      <w:pPr>
        <w:spacing w:before="0" w:after="80"/>
      </w:pPr>
    </w:p>
    <w:p>
      <w:pPr>
        <w:spacing w:before="80" w:after="120"/>
      </w:pPr>
      <w:r>
        <w:rPr>
          <w:rFonts w:ascii="Arial" w:cs="Arial" w:eastAsia="Arial" w:hAnsi="Arial"/>
          <w:sz w:val="22"/>
          <w:szCs w:val="22"/>
        </w:rPr>
        <w:t xml:space="preserve">In your simulation, these formulas are implemented as functions. You feed in a chromosome x (the routing array), it calculates total energy and total latency across all tasks, and returns two numbers. NSGA-II uses these two numbers to rank solutions.</w:t>
      </w:r>
    </w:p>
    <w:p>
      <w:pPr>
        <w:spacing w:before="0" w:after="80"/>
      </w:pPr>
    </w:p>
    <w:p>
      <w:pPr>
        <w:pStyle w:val="Heading2"/>
        <w:spacing w:before="280" w:after="100"/>
      </w:pPr>
      <w:r>
        <w:rPr>
          <w:rFonts w:ascii="Arial" w:cs="Arial" w:eastAsia="Arial" w:hAnsi="Arial"/>
          <w:b/>
          <w:bCs/>
          <w:color w:val="2E75B6"/>
          <w:sz w:val="28"/>
          <w:szCs w:val="28"/>
        </w:rPr>
        <w:t xml:space="preserve">1.5  The four-step generation loop</w:t>
      </w:r>
    </w:p>
    <w:p>
      <w:pPr>
        <w:spacing w:before="80" w:after="120"/>
      </w:pPr>
      <w:r>
        <w:rPr>
          <w:rFonts w:ascii="Arial" w:cs="Arial" w:eastAsia="Arial" w:hAnsi="Arial"/>
          <w:sz w:val="22"/>
          <w:szCs w:val="22"/>
        </w:rPr>
        <w:t xml:space="preserve">NSGA-II runs iteratively. Each iteration is called a generation. Here is exactly what happens in each generation:</w:t>
      </w:r>
    </w:p>
    <w:p>
      <w:pPr>
        <w:spacing w:before="0" w:after="80"/>
      </w:pPr>
    </w:p>
    <w:p>
      <w:pPr>
        <w:pStyle w:val="Heading3"/>
        <w:spacing w:before="200" w:after="80"/>
      </w:pPr>
      <w:r>
        <w:rPr>
          <w:rFonts w:ascii="Arial" w:cs="Arial" w:eastAsia="Arial" w:hAnsi="Arial"/>
          <w:b/>
          <w:bCs/>
          <w:color w:val="404040"/>
          <w:sz w:val="24"/>
          <w:szCs w:val="24"/>
        </w:rPr>
        <w:t xml:space="preserve">Step 1: Non-dominated sorting — ranking the population into fronts</w:t>
      </w:r>
    </w:p>
    <w:p>
      <w:pPr>
        <w:spacing w:before="80" w:after="120"/>
      </w:pPr>
      <w:r>
        <w:rPr>
          <w:rFonts w:ascii="Arial" w:cs="Arial" w:eastAsia="Arial" w:hAnsi="Arial"/>
          <w:sz w:val="22"/>
          <w:szCs w:val="22"/>
        </w:rPr>
        <w:t xml:space="preserve">Every solution in the population is compared against every other solution to determine dominance relationships. Solutions are then grouped into fronts:</w:t>
      </w:r>
    </w:p>
    <w:p>
      <w:pPr>
        <w:spacing w:before="0" w:after="80"/>
      </w:pPr>
    </w:p>
    <w:p>
      <w:pPr>
        <w:pStyle w:val="ListParagraph"/>
        <w:numPr>
          <w:ilvl w:val="0"/>
          <w:numId w:val="2"/>
        </w:numPr>
        <w:spacing w:before="40" w:after="40"/>
      </w:pPr>
      <w:r>
        <w:rPr>
          <w:rFonts w:ascii="Arial" w:cs="Arial" w:eastAsia="Arial" w:hAnsi="Arial"/>
          <w:sz w:val="22"/>
          <w:szCs w:val="22"/>
        </w:rPr>
        <w:t xml:space="preserve">Front 1 (Rank 1): Solutions not dominated by anyone. These are your current best Pareto-optimal solutions.</w:t>
      </w:r>
    </w:p>
    <w:p>
      <w:pPr>
        <w:pStyle w:val="ListParagraph"/>
        <w:numPr>
          <w:ilvl w:val="0"/>
          <w:numId w:val="2"/>
        </w:numPr>
        <w:spacing w:before="40" w:after="40"/>
      </w:pPr>
      <w:r>
        <w:rPr>
          <w:rFonts w:ascii="Arial" w:cs="Arial" w:eastAsia="Arial" w:hAnsi="Arial"/>
          <w:sz w:val="22"/>
          <w:szCs w:val="22"/>
        </w:rPr>
        <w:t xml:space="preserve">Front 2 (Rank 2): Solutions dominated only by solutions in Front 1.</w:t>
      </w:r>
    </w:p>
    <w:p>
      <w:pPr>
        <w:pStyle w:val="ListParagraph"/>
        <w:numPr>
          <w:ilvl w:val="0"/>
          <w:numId w:val="2"/>
        </w:numPr>
        <w:spacing w:before="40" w:after="40"/>
      </w:pPr>
      <w:r>
        <w:rPr>
          <w:rFonts w:ascii="Arial" w:cs="Arial" w:eastAsia="Arial" w:hAnsi="Arial"/>
          <w:sz w:val="22"/>
          <w:szCs w:val="22"/>
        </w:rPr>
        <w:t xml:space="preserve">Front 3 (Rank 3): Solutions dominated only by Front 1 or Front 2 solutions.</w:t>
      </w:r>
    </w:p>
    <w:p>
      <w:pPr>
        <w:pStyle w:val="ListParagraph"/>
        <w:numPr>
          <w:ilvl w:val="0"/>
          <w:numId w:val="2"/>
        </w:numPr>
        <w:spacing w:before="40" w:after="40"/>
      </w:pPr>
      <w:r>
        <w:rPr>
          <w:rFonts w:ascii="Arial" w:cs="Arial" w:eastAsia="Arial" w:hAnsi="Arial"/>
          <w:sz w:val="22"/>
          <w:szCs w:val="22"/>
        </w:rPr>
        <w:t xml:space="preserve">And so on...</w:t>
      </w:r>
    </w:p>
    <w:p>
      <w:pPr>
        <w:spacing w:before="0" w:after="80"/>
      </w:pPr>
    </w:p>
    <w:p>
      <w:pPr>
        <w:spacing w:before="80" w:after="120"/>
      </w:pPr>
      <w:r>
        <w:rPr>
          <w:rFonts w:ascii="Arial" w:cs="Arial" w:eastAsia="Arial" w:hAnsi="Arial"/>
          <w:sz w:val="22"/>
          <w:szCs w:val="22"/>
        </w:rPr>
        <w:t xml:space="preserve">The computational cost of naive all-pairs comparison is O(MN²) where M is the number of objectives and N is the population size. The key innovation of NSGA-II (over the original NSGA) is a fast sorting procedure that achieves O(MN²) in the worst case but with much smaller constants in practice.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81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color w:val="1A1A1A"/>
                <w:sz w:val="21"/>
                <w:szCs w:val="21"/>
              </w:rPr>
              <w:t xml:space="preserve">Population of 100 solutions. After sorting: Front 1 has 8 solutions (no one dominates them). Front 2 has 15 solutions (only Front 1 solutions dominate them). Front 3 has 22 solutions. Etc. Solutions in Front 1 are your best current approximation of the Pareto front.</w:t>
            </w:r>
          </w:p>
        </w:tc>
      </w:tr>
    </w:tbl>
    <w:p>
      <w:pPr>
        <w:spacing w:before="0" w:after="80"/>
      </w:pPr>
    </w:p>
    <w:p>
      <w:pPr>
        <w:pStyle w:val="Heading3"/>
        <w:spacing w:before="200" w:after="80"/>
      </w:pPr>
      <w:r>
        <w:rPr>
          <w:rFonts w:ascii="Arial" w:cs="Arial" w:eastAsia="Arial" w:hAnsi="Arial"/>
          <w:b/>
          <w:bCs/>
          <w:color w:val="404040"/>
          <w:sz w:val="24"/>
          <w:szCs w:val="24"/>
        </w:rPr>
        <w:t xml:space="preserve">Step 2: Crowding distance — maintaining diversity</w:t>
      </w:r>
    </w:p>
    <w:p>
      <w:pPr>
        <w:spacing w:before="80" w:after="120"/>
      </w:pPr>
      <w:r>
        <w:rPr>
          <w:rFonts w:ascii="Arial" w:cs="Arial" w:eastAsia="Arial" w:hAnsi="Arial"/>
          <w:sz w:val="22"/>
          <w:szCs w:val="22"/>
        </w:rPr>
        <w:t xml:space="preserve">Here is a subtle but critical problem: if you only keep the best-ranked solutions, they might all cluster in one part of the Pareto front — for example, all having low energy but high latency. You would lose the solutions with medium energy and medium latency, which are often the most useful in practice.</w:t>
      </w:r>
    </w:p>
    <w:p>
      <w:pPr>
        <w:spacing w:before="0" w:after="80"/>
      </w:pPr>
    </w:p>
    <w:p>
      <w:pPr>
        <w:spacing w:before="80" w:after="120"/>
      </w:pPr>
      <w:r>
        <w:rPr>
          <w:rFonts w:ascii="Arial" w:cs="Arial" w:eastAsia="Arial" w:hAnsi="Arial"/>
          <w:sz w:val="22"/>
          <w:szCs w:val="22"/>
        </w:rPr>
        <w:t xml:space="preserve">Crowding distance solves this. For each solution in a front, it measures how isolated that solution is from its neighbors in objective space. A large crowding distance means the solution occupies a unique region of the trade-off space — it represents a trade-off that other solutions don't cover. A small crowding distance means the solution is crowded — surrounded by similar solutions.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120"/>
            </w:tcMar>
          </w:tcPr>
          <w:p>
            <w:r>
              <w:rPr>
                <w:rFonts w:ascii="Arial" w:cs="Arial" w:eastAsia="Arial" w:hAnsi="Arial"/>
                <w:b/>
                <w:bCs/>
                <w:color w:val="FFFFFF"/>
                <w:sz w:val="20"/>
                <w:szCs w:val="20"/>
              </w:rPr>
              <w:t xml:space="preserve">Crowding Distance for solution i on objective m</w:t>
            </w:r>
          </w:p>
        </w:tc>
      </w:tr>
      <w:tr>
        <w:tc>
          <w:tcPr>
            <w:tcW w:type="dxa" w:w="9360"/>
            <w:tcBorders>
              <w:top w:val="single" w:color="CCCCCC" w:sz="1"/>
              <w:left w:val="single" w:color="CCCCCC" w:sz="1"/>
              <w:bottom w:val="single" w:color="CCCCCC" w:sz="1"/>
              <w:right w:val="single" w:color="CCCCCC" w:sz="1"/>
            </w:tcBorders>
            <w:shd w:fill="F0F5FF" w:val="clear"/>
            <w:tcMar>
              <w:top w:type="dxa" w:w="100"/>
              <w:left w:type="dxa" w:w="200"/>
              <w:bottom w:type="dxa" w:w="100"/>
              <w:right w:type="dxa" w:w="120"/>
            </w:tcMar>
          </w:tcPr>
          <w:p>
            <w:pPr>
              <w:jc w:val="center"/>
            </w:pPr>
            <w:r>
              <w:rPr>
                <w:rFonts w:ascii="Courier New" w:cs="Courier New" w:eastAsia="Courier New" w:hAnsi="Courier New"/>
                <w:b/>
                <w:bCs/>
                <w:color w:val="1F4E79"/>
                <w:sz w:val="26"/>
                <w:szCs w:val="26"/>
              </w:rPr>
              <w:t xml:space="preserve">CDm(i) = [ fm(i+1) - fm(i-1) ] / [ fm_max - fm_min ]</w:t>
            </w:r>
          </w:p>
          <w:p>
            <w:pPr>
              <w:spacing w:before="80"/>
            </w:pPr>
            <w:r>
              <w:rPr>
                <w:rFonts w:ascii="Arial" w:cs="Arial" w:eastAsia="Arial" w:hAnsi="Arial"/>
                <w:i/>
                <w:iCs/>
                <w:color w:val="444444"/>
                <w:sz w:val="20"/>
                <w:szCs w:val="20"/>
              </w:rPr>
              <w:t xml:space="preserve">i+1 and i-1 are the neighboring solutions when sorted by objective m. Normalized by the objective range. Total CD = sum over all objectives.</w:t>
            </w:r>
          </w:p>
        </w:tc>
      </w:tr>
    </w:tbl>
    <w:p>
      <w:pPr>
        <w:spacing w:before="0" w:after="80"/>
      </w:pPr>
    </w:p>
    <w:p>
      <w:pPr>
        <w:spacing w:before="80" w:after="120"/>
      </w:pPr>
      <w:r>
        <w:rPr>
          <w:rFonts w:ascii="Arial" w:cs="Arial" w:eastAsia="Arial" w:hAnsi="Arial"/>
          <w:sz w:val="22"/>
          <w:szCs w:val="22"/>
        </w:rPr>
        <w:t xml:space="preserve">When choosing between two solutions of the same front rank, NSGA-II prefers the one with higher crowding distance. This forces the algorithm to maintain solutions spread across the entire Pareto front, not just in one corner.</w:t>
      </w:r>
    </w:p>
    <w:p>
      <w:pPr>
        <w:spacing w:before="0" w:after="80"/>
      </w:pPr>
    </w:p>
    <w:p>
      <w:pPr>
        <w:pStyle w:val="Heading3"/>
        <w:spacing w:before="200" w:after="80"/>
      </w:pPr>
      <w:r>
        <w:rPr>
          <w:rFonts w:ascii="Arial" w:cs="Arial" w:eastAsia="Arial" w:hAnsi="Arial"/>
          <w:b/>
          <w:bCs/>
          <w:color w:val="404040"/>
          <w:sz w:val="24"/>
          <w:szCs w:val="24"/>
        </w:rPr>
        <w:t xml:space="preserve">Step 3: Selection, crossover, and creating offspring</w:t>
      </w:r>
    </w:p>
    <w:p>
      <w:pPr>
        <w:spacing w:before="80" w:after="120"/>
      </w:pPr>
      <w:r>
        <w:rPr>
          <w:rFonts w:ascii="Arial" w:cs="Arial" w:eastAsia="Arial" w:hAnsi="Arial"/>
          <w:sz w:val="22"/>
          <w:szCs w:val="22"/>
        </w:rPr>
        <w:t xml:space="preserve">NSGA-II uses binary tournament selection: randomly pick two solutions, the winner is the one with better rank (lower front number). If tied on rank, the winner is the one with higher crowding distance. This is done twice to get two parents.</w:t>
      </w:r>
    </w:p>
    <w:p>
      <w:pPr>
        <w:spacing w:before="0" w:after="80"/>
      </w:pPr>
    </w:p>
    <w:p>
      <w:pPr>
        <w:spacing w:before="80" w:after="120"/>
      </w:pPr>
      <w:r>
        <w:rPr>
          <w:rFonts w:ascii="Arial" w:cs="Arial" w:eastAsia="Arial" w:hAnsi="Arial"/>
          <w:sz w:val="22"/>
          <w:szCs w:val="22"/>
        </w:rPr>
        <w:t xml:space="preserve">The two parents are then combined using Simulated Binary Crossover (SBX) to create two offspring. SBX is the standard crossover operator for real-valued or integer-valued chromosomes. Conceptually, it creates offspring whose values are in the neighborhood of the parents' values, with a probability distribution that mimics single-point crossover on binary strings.</w:t>
      </w:r>
    </w:p>
    <w:p>
      <w:pPr>
        <w:spacing w:before="0" w:after="80"/>
      </w:pPr>
    </w:p>
    <w:p>
      <w:pPr>
        <w:spacing w:before="80" w:after="120"/>
      </w:pPr>
      <w:r>
        <w:rPr>
          <w:rFonts w:ascii="Arial" w:cs="Arial" w:eastAsia="Arial" w:hAnsi="Arial"/>
          <w:sz w:val="22"/>
          <w:szCs w:val="22"/>
        </w:rPr>
        <w:t xml:space="preserve">For your integer chromosome (routing decisions 0/1/2), the crossover takes two parent routing arrays and produces two child routing arrays that blend the parents' decisions:</w:t>
      </w:r>
    </w:p>
    <w:p>
      <w:pPr>
        <w:spacing w:before="0" w:after="80"/>
      </w:pPr>
    </w:p>
    <w:p>
      <w:pPr>
        <w:spacing w:before="60" w:after="60"/>
        <w:ind w:left="720"/>
      </w:pPr>
      <w:r>
        <w:rPr>
          <w:rFonts w:ascii="Courier New" w:cs="Courier New" w:eastAsia="Courier New" w:hAnsi="Courier New"/>
          <w:color w:val="1F4E79"/>
          <w:sz w:val="20"/>
          <w:szCs w:val="20"/>
        </w:rPr>
        <w:t xml:space="preserve">Parent 1: [ FOG, CLOUD, FOG, FOG, CLOUD ]</w:t>
      </w:r>
    </w:p>
    <w:p>
      <w:pPr>
        <w:spacing w:before="60" w:after="60"/>
        <w:ind w:left="720"/>
      </w:pPr>
      <w:r>
        <w:rPr>
          <w:rFonts w:ascii="Courier New" w:cs="Courier New" w:eastAsia="Courier New" w:hAnsi="Courier New"/>
          <w:color w:val="1F4E79"/>
          <w:sz w:val="20"/>
          <w:szCs w:val="20"/>
        </w:rPr>
        <w:t xml:space="preserve">Parent 2: [ CLOUD, FOG, CLOUD, FOG, FOG ]</w:t>
      </w:r>
    </w:p>
    <w:p>
      <w:pPr>
        <w:spacing w:before="60" w:after="60"/>
        <w:ind w:left="720"/>
      </w:pPr>
      <w:r>
        <w:rPr>
          <w:rFonts w:ascii="Courier New" w:cs="Courier New" w:eastAsia="Courier New" w:hAnsi="Courier New"/>
          <w:color w:val="1F4E79"/>
          <w:sz w:val="20"/>
          <w:szCs w:val="20"/>
        </w:rPr>
        <w:t xml:space="preserve">Child 1:  [ FOG, FOG, CLOUD, FOG, CLOUD ]   ← mix of both parents</w:t>
      </w:r>
    </w:p>
    <w:p>
      <w:pPr>
        <w:spacing w:before="60" w:after="60"/>
        <w:ind w:left="720"/>
      </w:pPr>
      <w:r>
        <w:rPr>
          <w:rFonts w:ascii="Courier New" w:cs="Courier New" w:eastAsia="Courier New" w:hAnsi="Courier New"/>
          <w:color w:val="1F4E79"/>
          <w:sz w:val="20"/>
          <w:szCs w:val="20"/>
        </w:rPr>
        <w:t xml:space="preserve">Child 2:  [ CLOUD, CLOUD, FOG, FOG, FOG  ]   ← mix of both parents</w:t>
      </w:r>
    </w:p>
    <w:p>
      <w:pPr>
        <w:spacing w:before="0" w:after="80"/>
      </w:pPr>
    </w:p>
    <w:p>
      <w:pPr>
        <w:pStyle w:val="Heading3"/>
        <w:spacing w:before="200" w:after="80"/>
      </w:pPr>
      <w:r>
        <w:rPr>
          <w:rFonts w:ascii="Arial" w:cs="Arial" w:eastAsia="Arial" w:hAnsi="Arial"/>
          <w:b/>
          <w:bCs/>
          <w:color w:val="404040"/>
          <w:sz w:val="24"/>
          <w:szCs w:val="24"/>
        </w:rPr>
        <w:t xml:space="preserve">Step 4: Mutation and selection of next generation</w:t>
      </w:r>
    </w:p>
    <w:p>
      <w:pPr>
        <w:spacing w:before="80" w:after="120"/>
      </w:pPr>
      <w:r>
        <w:rPr>
          <w:rFonts w:ascii="Arial" w:cs="Arial" w:eastAsia="Arial" w:hAnsi="Arial"/>
          <w:sz w:val="22"/>
          <w:szCs w:val="22"/>
        </w:rPr>
        <w:t xml:space="preserve">After crossover, each offspring has a small probability of mutation — a random change to one or more of its routing decisions. Standard mutation would simply flip a random position to a random value. NSGA-II with standard mutation might do: change task 3 from FOG to CLOUD with probability 1/N.</w:t>
      </w:r>
    </w:p>
    <w:p>
      <w:pPr>
        <w:spacing w:before="0" w:after="80"/>
      </w:pPr>
    </w:p>
    <w:p>
      <w:pPr>
        <w:spacing w:before="80" w:after="120"/>
      </w:pPr>
      <w:r>
        <w:rPr>
          <w:rFonts w:ascii="Arial" w:cs="Arial" w:eastAsia="Arial" w:hAnsi="Arial"/>
          <w:sz w:val="22"/>
          <w:szCs w:val="22"/>
        </w:rPr>
        <w:t xml:space="preserve">This is where MMDE replaces standard mutation in your system — explained in full in Section 2.</w:t>
      </w:r>
    </w:p>
    <w:p>
      <w:pPr>
        <w:spacing w:before="0" w:after="80"/>
      </w:pPr>
    </w:p>
    <w:p>
      <w:pPr>
        <w:spacing w:before="80" w:after="120"/>
      </w:pPr>
      <w:r>
        <w:rPr>
          <w:rFonts w:ascii="Arial" w:cs="Arial" w:eastAsia="Arial" w:hAnsi="Arial"/>
          <w:sz w:val="22"/>
          <w:szCs w:val="22"/>
        </w:rPr>
        <w:t xml:space="preserve">After producing N offspring from the N parents, NSGA-II combines parents and offspring into a pool of 2N solutions. It then runs non-dominated sorting and crowding distance on this combined pool, and selects the best N solutions to form the next generation's population. 'Best' means: take all of Front 1, then all of Front 2, etc., until you have filled N slots. If a front doesn't fit entirely, fill the remaining slots with the highest crowding distance solutions from that front.</w:t>
      </w:r>
    </w:p>
    <w:p>
      <w:pPr>
        <w:spacing w:before="0" w:after="80"/>
      </w:pPr>
    </w:p>
    <w:p>
      <w:pPr>
        <w:pStyle w:val="Heading2"/>
        <w:spacing w:before="280" w:after="100"/>
      </w:pPr>
      <w:r>
        <w:rPr>
          <w:rFonts w:ascii="Arial" w:cs="Arial" w:eastAsia="Arial" w:hAnsi="Arial"/>
          <w:b/>
          <w:bCs/>
          <w:color w:val="2E75B6"/>
          <w:sz w:val="28"/>
          <w:szCs w:val="28"/>
        </w:rPr>
        <w:t xml:space="preserve">1.6  Termination and output</w:t>
      </w:r>
    </w:p>
    <w:p>
      <w:pPr>
        <w:spacing w:before="80" w:after="120"/>
      </w:pPr>
      <w:r>
        <w:rPr>
          <w:rFonts w:ascii="Arial" w:cs="Arial" w:eastAsia="Arial" w:hAnsi="Arial"/>
          <w:sz w:val="22"/>
          <w:szCs w:val="22"/>
        </w:rPr>
        <w:t xml:space="preserve">The algorithm runs for a fixed number of generations (typically 100–500, set by you as a hyperparameter). After the final generation, the solutions in Front 1 of the final population are your Pareto front — your output.</w:t>
      </w:r>
    </w:p>
    <w:p>
      <w:pPr>
        <w:spacing w:before="0" w:after="80"/>
      </w:pPr>
    </w:p>
    <w:p>
      <w:pPr>
        <w:spacing w:before="80" w:after="120"/>
      </w:pPr>
      <w:r>
        <w:rPr>
          <w:rFonts w:ascii="Arial" w:cs="Arial" w:eastAsia="Arial" w:hAnsi="Arial"/>
          <w:sz w:val="22"/>
          <w:szCs w:val="22"/>
        </w:rPr>
        <w:t xml:space="preserve">Each solution in the Pareto front is a complete routing plan: for every task in your batch, it tells you whether to send it to the fog or cloud. Together, the set of Pareto-front solutions gives you the full picture of the energy-latency trade-off space for your problem instance.</w:t>
      </w:r>
    </w:p>
    <w:p>
      <w:pPr>
        <w:spacing w:before="0" w:after="80"/>
      </w:pPr>
    </w:p>
    <w:p>
      <w:pPr>
        <w:pStyle w:val="Heading2"/>
        <w:spacing w:before="280" w:after="100"/>
      </w:pPr>
      <w:r>
        <w:rPr>
          <w:rFonts w:ascii="Arial" w:cs="Arial" w:eastAsia="Arial" w:hAnsi="Arial"/>
          <w:b/>
          <w:bCs/>
          <w:color w:val="2E75B6"/>
          <w:sz w:val="28"/>
          <w:szCs w:val="28"/>
        </w:rPr>
        <w:t xml:space="preserve">1.7  NSGA-II parameters — what you set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 and typical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Population size (N)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How many candidate solutions evolve simultaneously. Too small = poor diversity, gets stuck in local optima. Too large = slow per-generation computation. Paper 1 uses N = 100. Standard range: 50–200.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Number of generations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How many evolution cycles to run. More generations = better solutions but longer runtime. Paper 1 uses 200. Standard range: 100–500. Watch for convergence — if the Pareto front stops improving, you can stop early.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Crossover probability (pc)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Probability that two parents actually swap genetic material. If pc = 0.9, then 90% of parent pairs produce crossed offspring. Standard: 0.8–0.95. Paper 1 uses 0.9.</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Mutation probability (pm)</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Probability that each gene (routing decision) gets mutated. Standard: 1/N to 1/(N*L) where L is chromosome length. Paper 1 uses 0.1. In your system, MMDE replaces this — see Section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Distribution index (ηc)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Controls how 'close' offspring are to their parents in SBX crossover. Large ηc = offspring very close to parents (exploitation). Small ηc = offspring spread out (exploration). Standard: 10–20.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Tournament size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NSGA-II uses binary tournament (size=2). Almost never changed. Larger tournament = more selection pressure toward top solutions.</w:t>
            </w:r>
          </w:p>
        </w:tc>
      </w:tr>
    </w:tbl>
    <w:p>
      <w:pPr>
        <w:spacing w:before="0" w:after="80"/>
      </w:pPr>
    </w:p>
    <w:p>
      <w:r>
        <w:br w:type="page"/>
      </w:r>
    </w:p>
    <w:p>
      <w:pPr>
        <w:pStyle w:val="Heading1"/>
        <w:spacing w:before="360" w:after="120"/>
      </w:pPr>
      <w:r>
        <w:rPr>
          <w:rFonts w:ascii="Arial" w:cs="Arial" w:eastAsia="Arial" w:hAnsi="Arial"/>
          <w:b/>
          <w:bCs/>
          <w:color w:val="1F4E79"/>
          <w:sz w:val="36"/>
          <w:szCs w:val="36"/>
        </w:rPr>
        <w:t xml:space="preserve">2.  MMDE — Minimax Differential Evolution</w:t>
      </w:r>
    </w:p>
    <w:p>
      <w:pPr>
        <w:pStyle w:val="Heading2"/>
        <w:spacing w:before="280" w:after="100"/>
      </w:pPr>
      <w:r>
        <w:rPr>
          <w:rFonts w:ascii="Arial" w:cs="Arial" w:eastAsia="Arial" w:hAnsi="Arial"/>
          <w:b/>
          <w:bCs/>
          <w:color w:val="2E75B6"/>
          <w:sz w:val="28"/>
          <w:szCs w:val="28"/>
        </w:rPr>
        <w:t xml:space="preserve">2.1  Why standard mutation is not good enough</w:t>
      </w:r>
    </w:p>
    <w:p>
      <w:pPr>
        <w:spacing w:before="80" w:after="120"/>
      </w:pPr>
      <w:r>
        <w:rPr>
          <w:rFonts w:ascii="Arial" w:cs="Arial" w:eastAsia="Arial" w:hAnsi="Arial"/>
          <w:sz w:val="22"/>
          <w:szCs w:val="22"/>
        </w:rPr>
        <w:t xml:space="preserve">Standard mutation in NSGA-II is random: pick a position in the chromosome, change it to a random value. This works but is blind — it has no idea which direction to mutate. It cannot learn from the structure of good solutions. In high-dimensional problems (many tasks), random mutation wastes most of its attempts on changes that make the solution worse.</w:t>
      </w:r>
    </w:p>
    <w:p>
      <w:pPr>
        <w:spacing w:before="0" w:after="80"/>
      </w:pPr>
    </w:p>
    <w:p>
      <w:pPr>
        <w:spacing w:before="80" w:after="120"/>
      </w:pPr>
      <w:r>
        <w:rPr>
          <w:rFonts w:ascii="Arial" w:cs="Arial" w:eastAsia="Arial" w:hAnsi="Arial"/>
          <w:sz w:val="22"/>
          <w:szCs w:val="22"/>
        </w:rPr>
        <w:t xml:space="preserve">Differential Evolution (DE) is a smarter mutation strategy. Instead of mutating randomly, it generates mutations by computing the difference between existing solutions and adding that difference to another solution. It is directional mutation — it mutates toward regions of the search space where other solutions have already found improvement.</w:t>
      </w:r>
    </w:p>
    <w:p>
      <w:pPr>
        <w:spacing w:before="0" w:after="80"/>
      </w:pPr>
    </w:p>
    <w:p>
      <w:pPr>
        <w:pStyle w:val="Heading2"/>
        <w:spacing w:before="280" w:after="100"/>
      </w:pPr>
      <w:r>
        <w:rPr>
          <w:rFonts w:ascii="Arial" w:cs="Arial" w:eastAsia="Arial" w:hAnsi="Arial"/>
          <w:b/>
          <w:bCs/>
          <w:color w:val="2E75B6"/>
          <w:sz w:val="28"/>
          <w:szCs w:val="28"/>
        </w:rPr>
        <w:t xml:space="preserve">2.2  Standard Differential Evolution — the base idea</w:t>
      </w:r>
    </w:p>
    <w:p>
      <w:pPr>
        <w:spacing w:before="80" w:after="120"/>
      </w:pPr>
      <w:r>
        <w:rPr>
          <w:rFonts w:ascii="Arial" w:cs="Arial" w:eastAsia="Arial" w:hAnsi="Arial"/>
          <w:sz w:val="22"/>
          <w:szCs w:val="22"/>
        </w:rPr>
        <w:t xml:space="preserve">In standard DE, to mutate a solution (called the target vector), you pick three other solutions from the population at random (called r1, r2, r3). You compute a mutant vector by adding a scaled difference between r2 and r3 to r1:</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120"/>
            </w:tcMar>
          </w:tcPr>
          <w:p>
            <w:r>
              <w:rPr>
                <w:rFonts w:ascii="Arial" w:cs="Arial" w:eastAsia="Arial" w:hAnsi="Arial"/>
                <w:b/>
                <w:bCs/>
                <w:color w:val="FFFFFF"/>
                <w:sz w:val="20"/>
                <w:szCs w:val="20"/>
              </w:rPr>
              <w:t xml:space="preserve">DE Mutation (standard)</w:t>
            </w:r>
          </w:p>
        </w:tc>
      </w:tr>
      <w:tr>
        <w:tc>
          <w:tcPr>
            <w:tcW w:type="dxa" w:w="9360"/>
            <w:tcBorders>
              <w:top w:val="single" w:color="CCCCCC" w:sz="1"/>
              <w:left w:val="single" w:color="CCCCCC" w:sz="1"/>
              <w:bottom w:val="single" w:color="CCCCCC" w:sz="1"/>
              <w:right w:val="single" w:color="CCCCCC" w:sz="1"/>
            </w:tcBorders>
            <w:shd w:fill="F0F5FF" w:val="clear"/>
            <w:tcMar>
              <w:top w:type="dxa" w:w="100"/>
              <w:left w:type="dxa" w:w="200"/>
              <w:bottom w:type="dxa" w:w="100"/>
              <w:right w:type="dxa" w:w="120"/>
            </w:tcMar>
          </w:tcPr>
          <w:p>
            <w:pPr>
              <w:jc w:val="center"/>
            </w:pPr>
            <w:r>
              <w:rPr>
                <w:rFonts w:ascii="Courier New" w:cs="Courier New" w:eastAsia="Courier New" w:hAnsi="Courier New"/>
                <w:b/>
                <w:bCs/>
                <w:color w:val="1F4E79"/>
                <w:sz w:val="26"/>
                <w:szCs w:val="26"/>
              </w:rPr>
              <w:t xml:space="preserve">V = r1 + F * (r2 - r3)</w:t>
            </w:r>
          </w:p>
          <w:p>
            <w:pPr>
              <w:spacing w:before="80"/>
            </w:pPr>
            <w:r>
              <w:rPr>
                <w:rFonts w:ascii="Arial" w:cs="Arial" w:eastAsia="Arial" w:hAnsi="Arial"/>
                <w:i/>
                <w:iCs/>
                <w:color w:val="444444"/>
                <w:sz w:val="20"/>
                <w:szCs w:val="20"/>
              </w:rPr>
              <w:t xml:space="preserve">V is the mutant vector. r1, r2, r3 are three distinct randomly chosen solutions from the population. F is the scaling factor (typically 0.5), controlling how large the mutation step is.</w:t>
            </w:r>
          </w:p>
        </w:tc>
      </w:tr>
    </w:tbl>
    <w:p>
      <w:pPr>
        <w:spacing w:before="0" w:after="80"/>
      </w:pPr>
    </w:p>
    <w:p>
      <w:pPr>
        <w:spacing w:before="80" w:after="120"/>
      </w:pPr>
      <w:r>
        <w:rPr>
          <w:rFonts w:ascii="Arial" w:cs="Arial" w:eastAsia="Arial" w:hAnsi="Arial"/>
          <w:sz w:val="22"/>
          <w:szCs w:val="22"/>
        </w:rPr>
        <w:t xml:space="preserve">Then DE crossover mixes the mutant V with the original target to produce a trial vector. The trial vector replaces the target only if it is better. This is fundamentally different from NSGA-II's SBX crossover — it uses population information to direct mutations.</w:t>
      </w:r>
    </w:p>
    <w:p>
      <w:pPr>
        <w:spacing w:before="0" w:after="80"/>
      </w:pPr>
    </w:p>
    <w:p>
      <w:pPr>
        <w:pStyle w:val="Heading2"/>
        <w:spacing w:before="280" w:after="100"/>
      </w:pPr>
      <w:r>
        <w:rPr>
          <w:rFonts w:ascii="Arial" w:cs="Arial" w:eastAsia="Arial" w:hAnsi="Arial"/>
          <w:b/>
          <w:bCs/>
          <w:color w:val="2E75B6"/>
          <w:sz w:val="28"/>
          <w:szCs w:val="28"/>
        </w:rPr>
        <w:t xml:space="preserve">2.3  What MMDE adds — the minimax extension</w:t>
      </w:r>
    </w:p>
    <w:p>
      <w:pPr>
        <w:spacing w:before="80" w:after="120"/>
      </w:pPr>
      <w:r>
        <w:rPr>
          <w:rFonts w:ascii="Arial" w:cs="Arial" w:eastAsia="Arial" w:hAnsi="Arial"/>
          <w:sz w:val="22"/>
          <w:szCs w:val="22"/>
        </w:rPr>
        <w:t xml:space="preserve">MMDE is a variant of Differential Evolution introduced specifically for robust optimization problems — problems where you want solutions that perform well in the worst case, not just on average. The 'minimax' part means: minimize the maximum cost across all scenarios.</w:t>
      </w:r>
    </w:p>
    <w:p>
      <w:pPr>
        <w:spacing w:before="0" w:after="80"/>
      </w:pPr>
    </w:p>
    <w:p>
      <w:pPr>
        <w:spacing w:before="80" w:after="120"/>
      </w:pPr>
      <w:r>
        <w:rPr>
          <w:rFonts w:ascii="Arial" w:cs="Arial" w:eastAsia="Arial" w:hAnsi="Arial"/>
          <w:sz w:val="22"/>
          <w:szCs w:val="22"/>
        </w:rPr>
        <w:t xml:space="preserve">In the context of your IoT-Fog-Cloud system, MMDE addresses a real problem: network conditions change. A routing plan that is optimal when the fog node is at 40% load might be terrible when the fog node is at 90% load. Standard NSGA-II optimizes for a fixed snapshot of conditions. MMDE optimizes for robustness — it finds solutions that are good even when conditions shift.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120"/>
            </w:tcMar>
          </w:tcPr>
          <w:p>
            <w:r>
              <w:rPr>
                <w:rFonts w:ascii="Arial" w:cs="Arial" w:eastAsia="Arial" w:hAnsi="Arial"/>
                <w:b/>
                <w:bCs/>
                <w:color w:val="FFFFFF"/>
                <w:sz w:val="20"/>
                <w:szCs w:val="20"/>
              </w:rPr>
              <w:t xml:space="preserve">MMDE Objective — Minimax formulation</w:t>
            </w:r>
          </w:p>
        </w:tc>
      </w:tr>
      <w:tr>
        <w:tc>
          <w:tcPr>
            <w:tcW w:type="dxa" w:w="9360"/>
            <w:tcBorders>
              <w:top w:val="single" w:color="CCCCCC" w:sz="1"/>
              <w:left w:val="single" w:color="CCCCCC" w:sz="1"/>
              <w:bottom w:val="single" w:color="CCCCCC" w:sz="1"/>
              <w:right w:val="single" w:color="CCCCCC" w:sz="1"/>
            </w:tcBorders>
            <w:shd w:fill="F0F5FF" w:val="clear"/>
            <w:tcMar>
              <w:top w:type="dxa" w:w="100"/>
              <w:left w:type="dxa" w:w="200"/>
              <w:bottom w:type="dxa" w:w="100"/>
              <w:right w:type="dxa" w:w="120"/>
            </w:tcMar>
          </w:tcPr>
          <w:p>
            <w:pPr>
              <w:jc w:val="center"/>
            </w:pPr>
            <w:r>
              <w:rPr>
                <w:rFonts w:ascii="Courier New" w:cs="Courier New" w:eastAsia="Courier New" w:hAnsi="Courier New"/>
                <w:b/>
                <w:bCs/>
                <w:color w:val="1F4E79"/>
                <w:sz w:val="26"/>
                <w:szCs w:val="26"/>
              </w:rPr>
              <w:t xml:space="preserve">min_x [ max_s  f(x, s) ]</w:t>
            </w:r>
          </w:p>
          <w:p>
            <w:pPr>
              <w:spacing w:before="80"/>
            </w:pPr>
            <w:r>
              <w:rPr>
                <w:rFonts w:ascii="Arial" w:cs="Arial" w:eastAsia="Arial" w:hAnsi="Arial"/>
                <w:i/>
                <w:iCs/>
                <w:color w:val="444444"/>
                <w:sz w:val="20"/>
                <w:szCs w:val="20"/>
              </w:rPr>
              <w:t xml:space="preserve">x = routing decision (your chromosome). s = scenario (network/load condition). Find x that minimizes the worst-case objective value across all scenarios s.</w:t>
            </w:r>
          </w:p>
        </w:tc>
      </w:tr>
    </w:tbl>
    <w:p>
      <w:pPr>
        <w:spacing w:before="0" w:after="80"/>
      </w:pPr>
    </w:p>
    <w:p>
      <w:pPr>
        <w:pStyle w:val="Heading2"/>
        <w:spacing w:before="280" w:after="100"/>
      </w:pPr>
      <w:r>
        <w:rPr>
          <w:rFonts w:ascii="Arial" w:cs="Arial" w:eastAsia="Arial" w:hAnsi="Arial"/>
          <w:b/>
          <w:bCs/>
          <w:color w:val="2E75B6"/>
          <w:sz w:val="28"/>
          <w:szCs w:val="28"/>
        </w:rPr>
        <w:t xml:space="preserve">2.4  How MMDE works mechanically — the two-level structure</w:t>
      </w:r>
    </w:p>
    <w:p>
      <w:pPr>
        <w:spacing w:before="80" w:after="120"/>
      </w:pPr>
      <w:r>
        <w:rPr>
          <w:rFonts w:ascii="Arial" w:cs="Arial" w:eastAsia="Arial" w:hAnsi="Arial"/>
          <w:sz w:val="22"/>
          <w:szCs w:val="22"/>
        </w:rPr>
        <w:t xml:space="preserve">MMDE introduces a two-level optimization structure. The outer level minimizes over routing decisions x (finding good solutions). The inner level maximizes over scenarios s (finding the worst-case scenario for each solution). Together, this finds solutions that are robust against worst-case network conditions.</w:t>
      </w:r>
    </w:p>
    <w:p>
      <w:pPr>
        <w:spacing w:before="0" w:after="80"/>
      </w:pPr>
    </w:p>
    <w:p>
      <w:pPr>
        <w:pStyle w:val="ListParagraph"/>
        <w:numPr>
          <w:ilvl w:val="0"/>
          <w:numId w:val="3"/>
        </w:numPr>
        <w:spacing w:before="40" w:after="40"/>
      </w:pPr>
      <w:r>
        <w:rPr>
          <w:rFonts w:ascii="Arial" w:cs="Arial" w:eastAsia="Arial" w:hAnsi="Arial"/>
          <w:sz w:val="22"/>
          <w:szCs w:val="22"/>
        </w:rPr>
        <w:t xml:space="preserve">Outer population: N candidate routing solutions (same as standard NSGA-II population).</w:t>
      </w:r>
    </w:p>
    <w:p>
      <w:pPr>
        <w:pStyle w:val="ListParagraph"/>
        <w:numPr>
          <w:ilvl w:val="0"/>
          <w:numId w:val="3"/>
        </w:numPr>
        <w:spacing w:before="40" w:after="40"/>
      </w:pPr>
      <w:r>
        <w:rPr>
          <w:rFonts w:ascii="Arial" w:cs="Arial" w:eastAsia="Arial" w:hAnsi="Arial"/>
          <w:sz w:val="22"/>
          <w:szCs w:val="22"/>
        </w:rPr>
        <w:t xml:space="preserve">Inner population: for each outer solution, a population of M candidate scenarios (network conditions like bandwidth, fog load, channel quality).</w:t>
      </w:r>
    </w:p>
    <w:p>
      <w:pPr>
        <w:pStyle w:val="ListParagraph"/>
        <w:numPr>
          <w:ilvl w:val="0"/>
          <w:numId w:val="3"/>
        </w:numPr>
        <w:spacing w:before="40" w:after="40"/>
      </w:pPr>
      <w:r>
        <w:rPr>
          <w:rFonts w:ascii="Arial" w:cs="Arial" w:eastAsia="Arial" w:hAnsi="Arial"/>
          <w:sz w:val="22"/>
          <w:szCs w:val="22"/>
        </w:rPr>
        <w:t xml:space="preserve">Evaluation: to score an outer solution x, run the inner DE to find the worst-case scenario s* for x. The score of x is its performance under s*.</w:t>
      </w:r>
    </w:p>
    <w:p>
      <w:pPr>
        <w:pStyle w:val="ListParagraph"/>
        <w:numPr>
          <w:ilvl w:val="0"/>
          <w:numId w:val="3"/>
        </w:numPr>
        <w:spacing w:before="40" w:after="40"/>
      </w:pPr>
      <w:r>
        <w:rPr>
          <w:rFonts w:ascii="Arial" w:cs="Arial" w:eastAsia="Arial" w:hAnsi="Arial"/>
          <w:sz w:val="22"/>
          <w:szCs w:val="22"/>
        </w:rPr>
        <w:t xml:space="preserve">Outer DE mutation: use the differential mutation formula V = r1 + F*(r2-r3) on the routing solutions, guided by worst-case performance.</w:t>
      </w:r>
    </w:p>
    <w:p>
      <w:pPr>
        <w:pStyle w:val="ListParagraph"/>
        <w:numPr>
          <w:ilvl w:val="0"/>
          <w:numId w:val="3"/>
        </w:numPr>
        <w:spacing w:before="40" w:after="40"/>
      </w:pPr>
      <w:r>
        <w:rPr>
          <w:rFonts w:ascii="Arial" w:cs="Arial" w:eastAsia="Arial" w:hAnsi="Arial"/>
          <w:sz w:val="22"/>
          <w:szCs w:val="22"/>
        </w:rPr>
        <w:t xml:space="preserve">Update: outer solutions improve based on which routing is most robust. Inner solutions improve based on which scenarios are most damaging.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PLAIN ENGLISH</w:t>
            </w:r>
          </w:p>
        </w:tc>
        <w:tc>
          <w:tcPr>
            <w:tcW w:type="dxa" w:w="81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color w:val="1A1A1A"/>
                <w:sz w:val="21"/>
                <w:szCs w:val="21"/>
              </w:rPr>
              <w:t xml:space="preserve">Standard mutation: 'randomly change some routing decisions.' MMDE mutation: 'change routing decisions in the direction that other good solutions have moved, while simultaneously stress-testing each solution against the worst network conditions it might face.'</w:t>
            </w:r>
          </w:p>
        </w:tc>
      </w:tr>
    </w:tbl>
    <w:p>
      <w:pPr>
        <w:spacing w:before="0" w:after="80"/>
      </w:pPr>
    </w:p>
    <w:p>
      <w:pPr>
        <w:pStyle w:val="Heading2"/>
        <w:spacing w:before="280" w:after="100"/>
      </w:pPr>
      <w:r>
        <w:rPr>
          <w:rFonts w:ascii="Arial" w:cs="Arial" w:eastAsia="Arial" w:hAnsi="Arial"/>
          <w:b/>
          <w:bCs/>
          <w:color w:val="2E75B6"/>
          <w:sz w:val="28"/>
          <w:szCs w:val="28"/>
        </w:rPr>
        <w:t xml:space="preserve">2.5  MMDE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 and typical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Scaling factor (F)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Controls the step size of the differential mutation. F = 0.5 is standard. Higher F = larger mutations, more exploration. Lower F = smaller mutations, more refinement. Paper 1 uses F = 0.5.</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Crossover rate (CR)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Probability that each gene of the mutant vector is accepted into the trial vector. CR = 0.9 means 90% of the mutant's genes are kept. Standard: 0.7–0.9. Paper 1 uses 0.9.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Inner population size (M)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Number of scenario variants tested per outer solution. Larger M = better worst-case estimation but slower. Typically 10–30.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Inner generations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How many DE iterations run on the inner (scenario) population per outer evaluation. More = more accurate worst-case finding but slower. Typically 10–50.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Strategy variant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 has several mutation strategies: DE/rand/1 (standard), DE/best/1 (mutate toward best solution), DE/current-to-best/1 (blend). Paper 1 uses DE/rand/1 for the outer level.</w:t>
            </w:r>
          </w:p>
        </w:tc>
      </w:tr>
    </w:tbl>
    <w:p>
      <w:pPr>
        <w:spacing w:before="0" w:after="80"/>
      </w:pPr>
    </w:p>
    <w:p>
      <w:pPr>
        <w:pStyle w:val="Heading2"/>
        <w:spacing w:before="280" w:after="100"/>
      </w:pPr>
      <w:r>
        <w:rPr>
          <w:rFonts w:ascii="Arial" w:cs="Arial" w:eastAsia="Arial" w:hAnsi="Arial"/>
          <w:b/>
          <w:bCs/>
          <w:color w:val="2E75B6"/>
          <w:sz w:val="28"/>
          <w:szCs w:val="28"/>
        </w:rPr>
        <w:t xml:space="preserve">2.6  Why MMDE + NSGA-II is better than NSGA-II alone</w:t>
      </w:r>
    </w:p>
    <w:p>
      <w:pPr>
        <w:spacing w:before="80" w:after="120"/>
      </w:pPr>
      <w:r>
        <w:rPr>
          <w:rFonts w:ascii="Arial" w:cs="Arial" w:eastAsia="Arial" w:hAnsi="Arial"/>
          <w:sz w:val="22"/>
          <w:szCs w:val="22"/>
        </w:rPr>
        <w:t xml:space="preserve">When MMDE replaces standard mutation inside NSGA-II, two things improve:</w:t>
      </w:r>
    </w:p>
    <w:p>
      <w:pPr>
        <w:spacing w:before="0" w:after="80"/>
      </w:pPr>
    </w:p>
    <w:p>
      <w:pPr>
        <w:pStyle w:val="ListParagraph"/>
        <w:numPr>
          <w:ilvl w:val="0"/>
          <w:numId w:val="2"/>
        </w:numPr>
        <w:spacing w:before="40" w:after="40"/>
      </w:pPr>
      <w:r>
        <w:rPr>
          <w:rFonts w:ascii="Arial" w:cs="Arial" w:eastAsia="Arial" w:hAnsi="Arial"/>
          <w:sz w:val="22"/>
          <w:szCs w:val="22"/>
        </w:rPr>
        <w:t xml:space="preserve">Convergence speed: MMDE mutations are directional — they learn from the population structure. The algorithm converges to good solutions faster than random mutation. Paper 1 reports significantly faster convergence with MMDE.</w:t>
      </w:r>
    </w:p>
    <w:p>
      <w:pPr>
        <w:pStyle w:val="ListParagraph"/>
        <w:numPr>
          <w:ilvl w:val="0"/>
          <w:numId w:val="2"/>
        </w:numPr>
        <w:spacing w:before="40" w:after="40"/>
      </w:pPr>
      <w:r>
        <w:rPr>
          <w:rFonts w:ascii="Arial" w:cs="Arial" w:eastAsia="Arial" w:hAnsi="Arial"/>
          <w:sz w:val="22"/>
          <w:szCs w:val="22"/>
        </w:rPr>
        <w:t xml:space="preserve">Solution robustness: Solutions found by MMDE perform well even when the fog node load changes, the channel bandwidth fluctuates, or task arrival rates spike. Standard NSGA-II solutions might degrade badly under such conditions.</w:t>
      </w:r>
    </w:p>
    <w:p>
      <w:pPr>
        <w:pStyle w:val="ListParagraph"/>
        <w:numPr>
          <w:ilvl w:val="0"/>
          <w:numId w:val="2"/>
        </w:numPr>
        <w:spacing w:before="40" w:after="40"/>
      </w:pPr>
      <w:r>
        <w:rPr>
          <w:rFonts w:ascii="Arial" w:cs="Arial" w:eastAsia="Arial" w:hAnsi="Arial"/>
          <w:sz w:val="22"/>
          <w:szCs w:val="22"/>
        </w:rPr>
        <w:t xml:space="preserve">Escape from local optima: Random mutation can get stuck. MMDE uses population diversity (the r2-r3 difference vector) to escape — it steps in directions that other solutions have found productive.</w:t>
      </w:r>
    </w:p>
    <w:p>
      <w:pPr>
        <w:spacing w:before="0" w:after="80"/>
      </w:pPr>
    </w:p>
    <w:p>
      <w:r>
        <w:br w:type="page"/>
      </w:r>
    </w:p>
    <w:p>
      <w:pPr>
        <w:pStyle w:val="Heading1"/>
        <w:spacing w:before="360" w:after="120"/>
      </w:pPr>
      <w:r>
        <w:rPr>
          <w:rFonts w:ascii="Arial" w:cs="Arial" w:eastAsia="Arial" w:hAnsi="Arial"/>
          <w:b/>
          <w:bCs/>
          <w:color w:val="1F4E79"/>
          <w:sz w:val="36"/>
          <w:szCs w:val="36"/>
        </w:rPr>
        <w:t xml:space="preserve">3.  TOF-Broker — Task Offloading Filter Broker</w:t>
      </w:r>
    </w:p>
    <w:p>
      <w:pPr>
        <w:pStyle w:val="Heading2"/>
        <w:spacing w:before="280" w:after="100"/>
      </w:pPr>
      <w:r>
        <w:rPr>
          <w:rFonts w:ascii="Arial" w:cs="Arial" w:eastAsia="Arial" w:hAnsi="Arial"/>
          <w:b/>
          <w:bCs/>
          <w:color w:val="2E75B6"/>
          <w:sz w:val="28"/>
          <w:szCs w:val="28"/>
        </w:rPr>
        <w:t xml:space="preserve">3.1  The problem TOF-Broker solves</w:t>
      </w:r>
    </w:p>
    <w:p>
      <w:pPr>
        <w:spacing w:before="80" w:after="120"/>
      </w:pPr>
      <w:r>
        <w:rPr>
          <w:rFonts w:ascii="Arial" w:cs="Arial" w:eastAsia="Arial" w:hAnsi="Arial"/>
          <w:sz w:val="22"/>
          <w:szCs w:val="22"/>
        </w:rPr>
        <w:t xml:space="preserve">NSGA-II with MMDE is powerful but still computationally expensive. Every generation requires evaluating all N solutions against both objectives. If your task batch contains a task that requires 50,000 MI (Million Instructions) to execute and your fog node can only do 2,000 MIPS, that task takes 25 seconds on the fog — and the fog node crashes under that load. Worse, NSGA-II wastes entire generations trying to optimize the placement of that task across fog nodes, when the only sensible answer is: send it to the cloud, period.</w:t>
      </w:r>
    </w:p>
    <w:p>
      <w:pPr>
        <w:spacing w:before="0" w:after="80"/>
      </w:pPr>
    </w:p>
    <w:p>
      <w:pPr>
        <w:spacing w:before="80" w:after="120"/>
      </w:pPr>
      <w:r>
        <w:rPr>
          <w:rFonts w:ascii="Arial" w:cs="Arial" w:eastAsia="Arial" w:hAnsi="Arial"/>
          <w:sz w:val="22"/>
          <w:szCs w:val="22"/>
        </w:rPr>
        <w:t xml:space="preserve">This is called the Boulder Problem: a small number of extremely heavy tasks (boulders) dominate the optimization problem and degrade performance for all other tasks. TOF-Broker solves this by filtering boulders out before NSGA-II ever runs.</w:t>
      </w:r>
    </w:p>
    <w:p>
      <w:pPr>
        <w:spacing w:before="0" w:after="80"/>
      </w:pPr>
    </w:p>
    <w:p>
      <w:pPr>
        <w:pStyle w:val="Heading2"/>
        <w:spacing w:before="280" w:after="100"/>
      </w:pPr>
      <w:r>
        <w:rPr>
          <w:rFonts w:ascii="Arial" w:cs="Arial" w:eastAsia="Arial" w:hAnsi="Arial"/>
          <w:b/>
          <w:bCs/>
          <w:color w:val="2E75B6"/>
          <w:sz w:val="28"/>
          <w:szCs w:val="28"/>
        </w:rPr>
        <w:t xml:space="preserve">3.2  Execution Cost (EC) — the key metric</w:t>
      </w:r>
    </w:p>
    <w:p>
      <w:pPr>
        <w:spacing w:before="80" w:after="120"/>
      </w:pPr>
      <w:r>
        <w:rPr>
          <w:rFonts w:ascii="Arial" w:cs="Arial" w:eastAsia="Arial" w:hAnsi="Arial"/>
          <w:sz w:val="22"/>
          <w:szCs w:val="22"/>
        </w:rPr>
        <w:t xml:space="preserve">The TOF-Broker's decision is based on a single metric called Execution Cost (EC). It measures whether a task is feasible for the fog to handle.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120"/>
            </w:tcMar>
          </w:tcPr>
          <w:p>
            <w:r>
              <w:rPr>
                <w:rFonts w:ascii="Arial" w:cs="Arial" w:eastAsia="Arial" w:hAnsi="Arial"/>
                <w:b/>
                <w:bCs/>
                <w:color w:val="FFFFFF"/>
                <w:sz w:val="20"/>
                <w:szCs w:val="20"/>
              </w:rPr>
              <w:t xml:space="preserve">Execution Cost (EC)</w:t>
            </w:r>
          </w:p>
        </w:tc>
      </w:tr>
      <w:tr>
        <w:tc>
          <w:tcPr>
            <w:tcW w:type="dxa" w:w="9360"/>
            <w:tcBorders>
              <w:top w:val="single" w:color="CCCCCC" w:sz="1"/>
              <w:left w:val="single" w:color="CCCCCC" w:sz="1"/>
              <w:bottom w:val="single" w:color="CCCCCC" w:sz="1"/>
              <w:right w:val="single" w:color="CCCCCC" w:sz="1"/>
            </w:tcBorders>
            <w:shd w:fill="F0F5FF" w:val="clear"/>
            <w:tcMar>
              <w:top w:type="dxa" w:w="100"/>
              <w:left w:type="dxa" w:w="200"/>
              <w:bottom w:type="dxa" w:w="100"/>
              <w:right w:type="dxa" w:w="120"/>
            </w:tcMar>
          </w:tcPr>
          <w:p>
            <w:pPr>
              <w:jc w:val="center"/>
            </w:pPr>
            <w:r>
              <w:rPr>
                <w:rFonts w:ascii="Courier New" w:cs="Courier New" w:eastAsia="Courier New" w:hAnsi="Courier New"/>
                <w:b/>
                <w:bCs/>
                <w:color w:val="1F4E79"/>
                <w:sz w:val="26"/>
                <w:szCs w:val="26"/>
              </w:rPr>
              <w:t xml:space="preserve">EC(i) = task_length(i) [MI]  /  fog_MIPS [MIPS]</w:t>
            </w:r>
          </w:p>
          <w:p>
            <w:pPr>
              <w:spacing w:before="80"/>
            </w:pPr>
            <w:r>
              <w:rPr>
                <w:rFonts w:ascii="Arial" w:cs="Arial" w:eastAsia="Arial" w:hAnsi="Arial"/>
                <w:i/>
                <w:iCs/>
                <w:color w:val="444444"/>
                <w:sz w:val="20"/>
                <w:szCs w:val="20"/>
              </w:rPr>
              <w:t xml:space="preserve">task_length is the computational demand of task i in Million Instructions. fog_MIPS is the processing capacity of the fog node in Million Instructions Per Second. EC gives the execution time in seconds.</w:t>
            </w:r>
          </w:p>
        </w:tc>
      </w:tr>
    </w:tbl>
    <w:p>
      <w:pPr>
        <w:spacing w:before="0" w:after="80"/>
      </w:pPr>
    </w:p>
    <w:p>
      <w:pPr>
        <w:spacing w:before="80" w:after="120"/>
      </w:pPr>
      <w:r>
        <w:rPr>
          <w:rFonts w:ascii="Arial" w:cs="Arial" w:eastAsia="Arial" w:hAnsi="Arial"/>
          <w:sz w:val="22"/>
          <w:szCs w:val="22"/>
        </w:rPr>
        <w:t xml:space="preserve">The threshold for classification is EC = 1 second (this is the threshold used in Paper 2 — it can be tuned). The logic is simple: if a task takes more than 1 second to execute on the fog, it will clog the fog queue and is not suitable for fog processing.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 and treatment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Pebble (EC &lt; 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Task can execute on the fog in under 1 second. Light enough for fog processing. Goes into the pebble queue and is handled by NSGA-II to decide optimal fog placement. Example: a sensor reading needing 500 MI on a 2,000 MIPS fog node → EC = 0.25.</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Boulder (EC ≥ 1.0)</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Task is too heavy for the fog. Immediately and unconditionally routed to the cloud. NSGA-II never sees this task. Example: object detection on a 4K frame needing 5,000 MI → EC = 2.5.</w:t>
            </w:r>
          </w:p>
        </w:tc>
      </w:tr>
    </w:tbl>
    <w:p>
      <w:pPr>
        <w:spacing w:before="0" w:after="80"/>
      </w:pPr>
    </w:p>
    <w:p>
      <w:pPr>
        <w:pStyle w:val="Heading2"/>
        <w:spacing w:before="280" w:after="100"/>
      </w:pPr>
      <w:r>
        <w:rPr>
          <w:rFonts w:ascii="Arial" w:cs="Arial" w:eastAsia="Arial" w:hAnsi="Arial"/>
          <w:b/>
          <w:bCs/>
          <w:color w:val="2E75B6"/>
          <w:sz w:val="28"/>
          <w:szCs w:val="28"/>
        </w:rPr>
        <w:t xml:space="preserve">3.3  The full TOF-Broker pipeline</w:t>
      </w:r>
    </w:p>
    <w:p>
      <w:pPr>
        <w:spacing w:before="80" w:after="120"/>
      </w:pPr>
      <w:r>
        <w:rPr>
          <w:rFonts w:ascii="Arial" w:cs="Arial" w:eastAsia="Arial" w:hAnsi="Arial"/>
          <w:sz w:val="22"/>
          <w:szCs w:val="22"/>
        </w:rPr>
        <w:t xml:space="preserve">The broker sits at the entry point of the system. Every incoming task passes through it before anything else happens. Here is the exact processing sequence:</w:t>
      </w:r>
    </w:p>
    <w:p>
      <w:pPr>
        <w:spacing w:before="0" w:after="80"/>
      </w:pPr>
    </w:p>
    <w:p>
      <w:pPr>
        <w:pStyle w:val="ListParagraph"/>
        <w:numPr>
          <w:ilvl w:val="0"/>
          <w:numId w:val="3"/>
        </w:numPr>
        <w:spacing w:before="40" w:after="40"/>
      </w:pPr>
      <w:r>
        <w:rPr>
          <w:rFonts w:ascii="Arial" w:cs="Arial" w:eastAsia="Arial" w:hAnsi="Arial"/>
          <w:sz w:val="22"/>
          <w:szCs w:val="22"/>
        </w:rPr>
        <w:t xml:space="preserve">Task arrives at the fog layer with its metadata: task_length (MI), data_size (MB), deadline (seconds), device_id.</w:t>
      </w:r>
    </w:p>
    <w:p>
      <w:pPr>
        <w:pStyle w:val="ListParagraph"/>
        <w:numPr>
          <w:ilvl w:val="0"/>
          <w:numId w:val="3"/>
        </w:numPr>
        <w:spacing w:before="40" w:after="40"/>
      </w:pPr>
      <w:r>
        <w:rPr>
          <w:rFonts w:ascii="Arial" w:cs="Arial" w:eastAsia="Arial" w:hAnsi="Arial"/>
          <w:sz w:val="22"/>
          <w:szCs w:val="22"/>
        </w:rPr>
        <w:t xml:space="preserve">Broker calculates EC = task_length / fog_MIPS for the target fog node.</w:t>
      </w:r>
    </w:p>
    <w:p>
      <w:pPr>
        <w:pStyle w:val="ListParagraph"/>
        <w:numPr>
          <w:ilvl w:val="0"/>
          <w:numId w:val="3"/>
        </w:numPr>
        <w:spacing w:before="40" w:after="40"/>
      </w:pPr>
      <w:r>
        <w:rPr>
          <w:rFonts w:ascii="Arial" w:cs="Arial" w:eastAsia="Arial" w:hAnsi="Arial"/>
          <w:sz w:val="22"/>
          <w:szCs w:val="22"/>
        </w:rPr>
        <w:t xml:space="preserve">If EC ≥ 1.0: task is a Boulder. Broker immediately forwards it to the cloud via a direct routing rule. No further processing. Log the boulder count.</w:t>
      </w:r>
    </w:p>
    <w:p>
      <w:pPr>
        <w:pStyle w:val="ListParagraph"/>
        <w:numPr>
          <w:ilvl w:val="0"/>
          <w:numId w:val="3"/>
        </w:numPr>
        <w:spacing w:before="40" w:after="40"/>
      </w:pPr>
      <w:r>
        <w:rPr>
          <w:rFonts w:ascii="Arial" w:cs="Arial" w:eastAsia="Arial" w:hAnsi="Arial"/>
          <w:sz w:val="22"/>
          <w:szCs w:val="22"/>
        </w:rPr>
        <w:t xml:space="preserve">If EC &lt; 1.0: task is a Pebble. Broker adds it to the pebble buffer queue.</w:t>
      </w:r>
    </w:p>
    <w:p>
      <w:pPr>
        <w:pStyle w:val="ListParagraph"/>
        <w:numPr>
          <w:ilvl w:val="0"/>
          <w:numId w:val="3"/>
        </w:numPr>
        <w:spacing w:before="40" w:after="40"/>
      </w:pPr>
      <w:r>
        <w:rPr>
          <w:rFonts w:ascii="Arial" w:cs="Arial" w:eastAsia="Arial" w:hAnsi="Arial"/>
          <w:sz w:val="22"/>
          <w:szCs w:val="22"/>
        </w:rPr>
        <w:t xml:space="preserve">When the pebble buffer reaches batch_size (e.g., 100 pebbles), the broker triggers NSGA-II with MMDE on the current batch.</w:t>
      </w:r>
    </w:p>
    <w:p>
      <w:pPr>
        <w:pStyle w:val="ListParagraph"/>
        <w:numPr>
          <w:ilvl w:val="0"/>
          <w:numId w:val="3"/>
        </w:numPr>
        <w:spacing w:before="40" w:after="40"/>
      </w:pPr>
      <w:r>
        <w:rPr>
          <w:rFonts w:ascii="Arial" w:cs="Arial" w:eastAsia="Arial" w:hAnsi="Arial"/>
          <w:sz w:val="22"/>
          <w:szCs w:val="22"/>
        </w:rPr>
        <w:t xml:space="preserve">NSGA-II produces a Pareto front of routing solutions for the pebble batch.</w:t>
      </w:r>
    </w:p>
    <w:p>
      <w:pPr>
        <w:pStyle w:val="ListParagraph"/>
        <w:numPr>
          <w:ilvl w:val="0"/>
          <w:numId w:val="3"/>
        </w:numPr>
        <w:spacing w:before="40" w:after="40"/>
      </w:pPr>
      <w:r>
        <w:rPr>
          <w:rFonts w:ascii="Arial" w:cs="Arial" w:eastAsia="Arial" w:hAnsi="Arial"/>
          <w:sz w:val="22"/>
          <w:szCs w:val="22"/>
        </w:rPr>
        <w:t xml:space="preserve">A selection rule picks one Pareto solution (e.g., the knee point — the solution with the best balance between energy and latency).</w:t>
      </w:r>
    </w:p>
    <w:p>
      <w:pPr>
        <w:pStyle w:val="ListParagraph"/>
        <w:numPr>
          <w:ilvl w:val="0"/>
          <w:numId w:val="3"/>
        </w:numPr>
        <w:spacing w:before="40" w:after="40"/>
      </w:pPr>
      <w:r>
        <w:rPr>
          <w:rFonts w:ascii="Arial" w:cs="Arial" w:eastAsia="Arial" w:hAnsi="Arial"/>
          <w:sz w:val="22"/>
          <w:szCs w:val="22"/>
        </w:rPr>
        <w:t xml:space="preserve">The selected routing plan is executed: each pebble is sent to its assigned fog node.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THIS MATTERS</w:t>
            </w:r>
          </w:p>
        </w:tc>
        <w:tc>
          <w:tcPr>
            <w:tcW w:type="dxa" w:w="81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color w:val="1A1A1A"/>
                <w:sz w:val="21"/>
                <w:szCs w:val="21"/>
              </w:rPr>
              <w:t xml:space="preserve">By filtering boulders first, NSGA-II only needs to optimize pebble placement. The search space shrinks dramatically. Paper 2 shows that the boulder fraction in typical IoT workloads is 15–30%. Removing them means NSGA-II runs on 70–85% of the original problem size — which can cut runtime by more than half.</w:t>
            </w:r>
          </w:p>
        </w:tc>
      </w:tr>
    </w:tbl>
    <w:p>
      <w:pPr>
        <w:spacing w:before="0" w:after="80"/>
      </w:pPr>
    </w:p>
    <w:p>
      <w:pPr>
        <w:pStyle w:val="Heading2"/>
        <w:spacing w:before="280" w:after="100"/>
      </w:pPr>
      <w:r>
        <w:rPr>
          <w:rFonts w:ascii="Arial" w:cs="Arial" w:eastAsia="Arial" w:hAnsi="Arial"/>
          <w:b/>
          <w:bCs/>
          <w:color w:val="2E75B6"/>
          <w:sz w:val="28"/>
          <w:szCs w:val="28"/>
        </w:rPr>
        <w:t xml:space="preserve">3.4  The Pebble Avalanche problem — TOF-Broker's own limitation</w:t>
      </w:r>
    </w:p>
    <w:p>
      <w:pPr>
        <w:spacing w:before="80" w:after="120"/>
      </w:pPr>
      <w:r>
        <w:rPr>
          <w:rFonts w:ascii="Arial" w:cs="Arial" w:eastAsia="Arial" w:hAnsi="Arial"/>
          <w:sz w:val="22"/>
          <w:szCs w:val="22"/>
        </w:rPr>
        <w:t xml:space="preserve">TOF-Broker solves the boulder problem but introduces a new one. When task arrival rate spikes to 1,000+ tasks per second, even the pebble queue overflows. The broker cannot batch and process pebbles fast enough. This is the Pebble Avalanche — a cascade failure where the pebble queue grows faster than NSGA-II can drain it.</w:t>
      </w:r>
    </w:p>
    <w:p>
      <w:pPr>
        <w:spacing w:before="0" w:after="80"/>
      </w:pPr>
    </w:p>
    <w:p>
      <w:pPr>
        <w:spacing w:before="80" w:after="120"/>
      </w:pPr>
      <w:r>
        <w:rPr>
          <w:rFonts w:ascii="Arial" w:cs="Arial" w:eastAsia="Arial" w:hAnsi="Arial"/>
          <w:sz w:val="22"/>
          <w:szCs w:val="22"/>
        </w:rPr>
        <w:t xml:space="preserve">This is exactly the limitation listed in your Paper 2 summary, and it is the gap your aggregator component (from your architecture) is designed to address: when the pebble queue overflows, the aggregator compresses many small pebble tasks into a single super-task and sends it to the cloud as a bundled unit, bypassing the NSGA-II queue entirely.</w:t>
      </w:r>
    </w:p>
    <w:p>
      <w:pPr>
        <w:spacing w:before="0" w:after="80"/>
      </w:pPr>
    </w:p>
    <w:p>
      <w:pPr>
        <w:pStyle w:val="Heading2"/>
        <w:spacing w:before="280" w:after="100"/>
      </w:pPr>
      <w:r>
        <w:rPr>
          <w:rFonts w:ascii="Arial" w:cs="Arial" w:eastAsia="Arial" w:hAnsi="Arial"/>
          <w:b/>
          <w:bCs/>
          <w:color w:val="2E75B6"/>
          <w:sz w:val="28"/>
          <w:szCs w:val="28"/>
        </w:rPr>
        <w:t xml:space="preserve">3.5  TOF-Broker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 and tuning guidance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EC threshold (θ)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boundary between pebble and boulder. Default = 1.0 seconds. Increasing θ allows more tasks into fog processing (more pebbles, fewer boulders) but risks fog overload. Decreasing θ protects the fog but sends more to the expensive cloud. This is a key tuning parameter in your simulation.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Batch size (B)</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How many pebbles to collect before triggering NSGA-II. Larger batches = NSGA-II runs less frequently but optimizes more tasks per run (better solutions, higher latency). Smaller batches = lower latency but less optimization quality. Typical: 50–200.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Queue capacity (Qmax)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Maximum pebble buffer size before avalanche protocol activates. When queue reaches Qmax, trigger aggregation instead of NSGA-II.</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Fog MIPS (capacity)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The denominator in EC. This is a property of your simulated fog node — typically 1,000–10,000 MIPS depending on the edge hardware you model.</w:t>
            </w:r>
          </w:p>
        </w:tc>
      </w:tr>
    </w:tbl>
    <w:p>
      <w:pPr>
        <w:spacing w:before="0" w:after="80"/>
      </w:pPr>
    </w:p>
    <w:p>
      <w:r>
        <w:br w:type="page"/>
      </w:r>
    </w:p>
    <w:p>
      <w:pPr>
        <w:pStyle w:val="Heading1"/>
        <w:spacing w:before="360" w:after="120"/>
      </w:pPr>
      <w:r>
        <w:rPr>
          <w:rFonts w:ascii="Arial" w:cs="Arial" w:eastAsia="Arial" w:hAnsi="Arial"/>
          <w:b/>
          <w:bCs/>
          <w:color w:val="1F4E79"/>
          <w:sz w:val="36"/>
          <w:szCs w:val="36"/>
        </w:rPr>
        <w:t xml:space="preserve">4.  The Combined System — TOF + MMDE-NSGA-II + RL</w:t>
      </w:r>
    </w:p>
    <w:p>
      <w:pPr>
        <w:pStyle w:val="Heading2"/>
        <w:spacing w:before="280" w:after="100"/>
      </w:pPr>
      <w:r>
        <w:rPr>
          <w:rFonts w:ascii="Arial" w:cs="Arial" w:eastAsia="Arial" w:hAnsi="Arial"/>
          <w:b/>
          <w:bCs/>
          <w:color w:val="2E75B6"/>
          <w:sz w:val="28"/>
          <w:szCs w:val="28"/>
        </w:rPr>
        <w:t xml:space="preserve">4.1  How the three components connect</w:t>
      </w:r>
    </w:p>
    <w:p>
      <w:pPr>
        <w:spacing w:before="80" w:after="120"/>
      </w:pPr>
      <w:r>
        <w:rPr>
          <w:rFonts w:ascii="Arial" w:cs="Arial" w:eastAsia="Arial" w:hAnsi="Arial"/>
          <w:sz w:val="22"/>
          <w:szCs w:val="22"/>
        </w:rPr>
        <w:t xml:space="preserve">Your thesis combines all three into a single offline-to-online pipeline. Here is the complete flow, end to end:</w:t>
      </w:r>
    </w:p>
    <w:p>
      <w:pPr>
        <w:spacing w:before="0" w:after="80"/>
      </w:pPr>
    </w:p>
    <w:p>
      <w:pPr>
        <w:pStyle w:val="Heading3"/>
        <w:spacing w:before="200" w:after="80"/>
      </w:pPr>
      <w:r>
        <w:rPr>
          <w:rFonts w:ascii="Arial" w:cs="Arial" w:eastAsia="Arial" w:hAnsi="Arial"/>
          <w:b/>
          <w:bCs/>
          <w:color w:val="404040"/>
          <w:sz w:val="24"/>
          <w:szCs w:val="24"/>
        </w:rPr>
        <w:t xml:space="preserve">Phase 1: Offline training (runs before deployment, on historical data)</w:t>
      </w:r>
    </w:p>
    <w:p>
      <w:pPr>
        <w:pStyle w:val="ListParagraph"/>
        <w:numPr>
          <w:ilvl w:val="0"/>
          <w:numId w:val="3"/>
        </w:numPr>
        <w:spacing w:before="40" w:after="40"/>
      </w:pPr>
      <w:r>
        <w:rPr>
          <w:rFonts w:ascii="Arial" w:cs="Arial" w:eastAsia="Arial" w:hAnsi="Arial"/>
          <w:sz w:val="22"/>
          <w:szCs w:val="22"/>
        </w:rPr>
        <w:t xml:space="preserve">Collect historical task logs: batches of tasks with their properties (task_length, data_size, deadline) and the fog node conditions at the time (CPU load, bandwidth, queue depth).</w:t>
      </w:r>
    </w:p>
    <w:p>
      <w:pPr>
        <w:pStyle w:val="ListParagraph"/>
        <w:numPr>
          <w:ilvl w:val="0"/>
          <w:numId w:val="3"/>
        </w:numPr>
        <w:spacing w:before="40" w:after="40"/>
      </w:pPr>
      <w:r>
        <w:rPr>
          <w:rFonts w:ascii="Arial" w:cs="Arial" w:eastAsia="Arial" w:hAnsi="Arial"/>
          <w:sz w:val="22"/>
          <w:szCs w:val="22"/>
        </w:rPr>
        <w:t xml:space="preserve">For each historical batch: run TOF-Broker to separate boulders from pebbles.</w:t>
      </w:r>
    </w:p>
    <w:p>
      <w:pPr>
        <w:pStyle w:val="ListParagraph"/>
        <w:numPr>
          <w:ilvl w:val="0"/>
          <w:numId w:val="3"/>
        </w:numPr>
        <w:spacing w:before="40" w:after="40"/>
      </w:pPr>
      <w:r>
        <w:rPr>
          <w:rFonts w:ascii="Arial" w:cs="Arial" w:eastAsia="Arial" w:hAnsi="Arial"/>
          <w:sz w:val="22"/>
          <w:szCs w:val="22"/>
        </w:rPr>
        <w:t xml:space="preserve">For each pebble batch: run MMDE-NSGA-II to generate the Pareto front.</w:t>
      </w:r>
    </w:p>
    <w:p>
      <w:pPr>
        <w:pStyle w:val="ListParagraph"/>
        <w:numPr>
          <w:ilvl w:val="0"/>
          <w:numId w:val="3"/>
        </w:numPr>
        <w:spacing w:before="40" w:after="40"/>
      </w:pPr>
      <w:r>
        <w:rPr>
          <w:rFonts w:ascii="Arial" w:cs="Arial" w:eastAsia="Arial" w:hAnsi="Arial"/>
          <w:sz w:val="22"/>
          <w:szCs w:val="22"/>
        </w:rPr>
        <w:t xml:space="preserve">From each Pareto front: extract (state, action) training pairs. State = the task + fog condition at decision time. Action = the routing decision in the Pareto-optimal solution.</w:t>
      </w:r>
    </w:p>
    <w:p>
      <w:pPr>
        <w:pStyle w:val="ListParagraph"/>
        <w:numPr>
          <w:ilvl w:val="0"/>
          <w:numId w:val="3"/>
        </w:numPr>
        <w:spacing w:before="40" w:after="40"/>
      </w:pPr>
      <w:r>
        <w:rPr>
          <w:rFonts w:ascii="Arial" w:cs="Arial" w:eastAsia="Arial" w:hAnsi="Arial"/>
          <w:sz w:val="22"/>
          <w:szCs w:val="22"/>
        </w:rPr>
        <w:t xml:space="preserve">Collect thousands of these (state, action) pairs across all historical batches.</w:t>
      </w:r>
    </w:p>
    <w:p>
      <w:pPr>
        <w:pStyle w:val="ListParagraph"/>
        <w:numPr>
          <w:ilvl w:val="0"/>
          <w:numId w:val="3"/>
        </w:numPr>
        <w:spacing w:before="40" w:after="40"/>
      </w:pPr>
      <w:r>
        <w:rPr>
          <w:rFonts w:ascii="Arial" w:cs="Arial" w:eastAsia="Arial" w:hAnsi="Arial"/>
          <w:sz w:val="22"/>
          <w:szCs w:val="22"/>
        </w:rPr>
        <w:t xml:space="preserve">Pre-train the DQN agent on these pairs using supervised learning (behavioral cloning). The agent learns to imitate NSGA-II's optimal decisions.</w:t>
      </w:r>
    </w:p>
    <w:p>
      <w:pPr>
        <w:spacing w:before="0" w:after="80"/>
      </w:pPr>
    </w:p>
    <w:p>
      <w:pPr>
        <w:pStyle w:val="Heading3"/>
        <w:spacing w:before="200" w:after="80"/>
      </w:pPr>
      <w:r>
        <w:rPr>
          <w:rFonts w:ascii="Arial" w:cs="Arial" w:eastAsia="Arial" w:hAnsi="Arial"/>
          <w:b/>
          <w:bCs/>
          <w:color w:val="404040"/>
          <w:sz w:val="24"/>
          <w:szCs w:val="24"/>
        </w:rPr>
        <w:t xml:space="preserve">Phase 2: Online deployment (runs live in simulation)</w:t>
      </w:r>
    </w:p>
    <w:p>
      <w:pPr>
        <w:pStyle w:val="ListParagraph"/>
        <w:numPr>
          <w:ilvl w:val="0"/>
          <w:numId w:val="3"/>
        </w:numPr>
        <w:spacing w:before="40" w:after="40"/>
      </w:pPr>
      <w:r>
        <w:rPr>
          <w:rFonts w:ascii="Arial" w:cs="Arial" w:eastAsia="Arial" w:hAnsi="Arial"/>
          <w:sz w:val="22"/>
          <w:szCs w:val="22"/>
        </w:rPr>
        <w:t xml:space="preserve">New task arrives at fog layer.</w:t>
      </w:r>
    </w:p>
    <w:p>
      <w:pPr>
        <w:pStyle w:val="ListParagraph"/>
        <w:numPr>
          <w:ilvl w:val="0"/>
          <w:numId w:val="3"/>
        </w:numPr>
        <w:spacing w:before="40" w:after="40"/>
      </w:pPr>
      <w:r>
        <w:rPr>
          <w:rFonts w:ascii="Arial" w:cs="Arial" w:eastAsia="Arial" w:hAnsi="Arial"/>
          <w:sz w:val="22"/>
          <w:szCs w:val="22"/>
        </w:rPr>
        <w:t xml:space="preserve">TOF-Broker checks EC. Boulder → cloud immediately.</w:t>
      </w:r>
    </w:p>
    <w:p>
      <w:pPr>
        <w:pStyle w:val="ListParagraph"/>
        <w:numPr>
          <w:ilvl w:val="0"/>
          <w:numId w:val="3"/>
        </w:numPr>
        <w:spacing w:before="40" w:after="40"/>
      </w:pPr>
      <w:r>
        <w:rPr>
          <w:rFonts w:ascii="Arial" w:cs="Arial" w:eastAsia="Arial" w:hAnsi="Arial"/>
          <w:sz w:val="22"/>
          <w:szCs w:val="22"/>
        </w:rPr>
        <w:t xml:space="preserve">Pebble → DQN Agent 1 observes current state (fog load, queue, EC, vehicle GPS).</w:t>
      </w:r>
    </w:p>
    <w:p>
      <w:pPr>
        <w:pStyle w:val="ListParagraph"/>
        <w:numPr>
          <w:ilvl w:val="0"/>
          <w:numId w:val="3"/>
        </w:numPr>
        <w:spacing w:before="40" w:after="40"/>
      </w:pPr>
      <w:r>
        <w:rPr>
          <w:rFonts w:ascii="Arial" w:cs="Arial" w:eastAsia="Arial" w:hAnsi="Arial"/>
          <w:sz w:val="22"/>
          <w:szCs w:val="22"/>
        </w:rPr>
        <w:t xml:space="preserve">Agent 1 selects an action (fog node A, fog node B, or cloud) based on its policy.</w:t>
      </w:r>
    </w:p>
    <w:p>
      <w:pPr>
        <w:pStyle w:val="ListParagraph"/>
        <w:numPr>
          <w:ilvl w:val="0"/>
          <w:numId w:val="3"/>
        </w:numPr>
        <w:spacing w:before="40" w:after="40"/>
      </w:pPr>
      <w:r>
        <w:rPr>
          <w:rFonts w:ascii="Arial" w:cs="Arial" w:eastAsia="Arial" w:hAnsi="Arial"/>
          <w:sz w:val="22"/>
          <w:szCs w:val="22"/>
        </w:rPr>
        <w:t xml:space="preserve">Task is routed. System observes outcome (actual latency, energy used).</w:t>
      </w:r>
    </w:p>
    <w:p>
      <w:pPr>
        <w:pStyle w:val="ListParagraph"/>
        <w:numPr>
          <w:ilvl w:val="0"/>
          <w:numId w:val="3"/>
        </w:numPr>
        <w:spacing w:before="40" w:after="40"/>
      </w:pPr>
      <w:r>
        <w:rPr>
          <w:rFonts w:ascii="Arial" w:cs="Arial" w:eastAsia="Arial" w:hAnsi="Arial"/>
          <w:sz w:val="22"/>
          <w:szCs w:val="22"/>
        </w:rPr>
        <w:t xml:space="preserve">Reward is calculated: positive reward for meeting deadline with low energy, negative reward for missing deadline or crashing the fog.</w:t>
      </w:r>
    </w:p>
    <w:p>
      <w:pPr>
        <w:pStyle w:val="ListParagraph"/>
        <w:numPr>
          <w:ilvl w:val="0"/>
          <w:numId w:val="3"/>
        </w:numPr>
        <w:spacing w:before="40" w:after="40"/>
      </w:pPr>
      <w:r>
        <w:rPr>
          <w:rFonts w:ascii="Arial" w:cs="Arial" w:eastAsia="Arial" w:hAnsi="Arial"/>
          <w:sz w:val="22"/>
          <w:szCs w:val="22"/>
        </w:rPr>
        <w:t xml:space="preserve">Agent 1 updates its weights using the reward. It improves beyond what NSGA-II taught it.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YOUR NOVEL CONTRIBUTION</w:t>
            </w:r>
          </w:p>
        </w:tc>
        <w:tc>
          <w:tcPr>
            <w:tcW w:type="dxa" w:w="81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color w:val="1A1A1A"/>
                <w:sz w:val="21"/>
                <w:szCs w:val="21"/>
              </w:rPr>
              <w:t xml:space="preserve">Paper 1 uses MMDE-NSGA-II but no broker and no RL. Paper 2 uses the broker with plain NSGA-II and no RL. Nobody has combined TOF-Broker + MMDE-NSGA-II as the offline teacher + DQN as the online student. The offline phase solves the cold-start problem. The online phase solves the static optimization problem. Together they give you a system that is both fast and adaptive.</w:t>
            </w:r>
          </w:p>
        </w:tc>
      </w:tr>
    </w:tbl>
    <w:p>
      <w:pPr>
        <w:spacing w:before="0" w:after="80"/>
      </w:pPr>
    </w:p>
    <w:p>
      <w:pPr>
        <w:pStyle w:val="Heading2"/>
        <w:spacing w:before="280" w:after="100"/>
      </w:pPr>
      <w:r>
        <w:rPr>
          <w:rFonts w:ascii="Arial" w:cs="Arial" w:eastAsia="Arial" w:hAnsi="Arial"/>
          <w:b/>
          <w:bCs/>
          <w:color w:val="2E75B6"/>
          <w:sz w:val="28"/>
          <w:szCs w:val="28"/>
        </w:rPr>
        <w:t xml:space="preserve">4.2  The state space for DQN Agent 1 (task placement)</w:t>
      </w:r>
    </w:p>
    <w:p>
      <w:pPr>
        <w:spacing w:before="80" w:after="120"/>
      </w:pPr>
      <w:r>
        <w:rPr>
          <w:rFonts w:ascii="Arial" w:cs="Arial" w:eastAsia="Arial" w:hAnsi="Arial"/>
          <w:sz w:val="22"/>
          <w:szCs w:val="22"/>
        </w:rPr>
        <w:t xml:space="preserve">The state that Agent 1 observes at each decision step must capture everything relevant to making a good routing decision. Based on your papers, the state vector should include: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 variable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EC value of current 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How heavy is this task? Directly from TOF-Broker. Continuous value 0–1 (pebbles only, boulders never reach the agent).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Fog node CPU utilisation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How loaded is each fog node right now? One value per fog node, 0–1. Tells the agent whether the fog can handle more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Fog node queue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How many tasks are already waiting? Longer queue = higher latency if routed there.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Available bandwidth</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Current upload bandwidth from device to fog. Low bandwidth means high transmission time for large tasks.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Vehicle speed / mobility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From the GPS spatial tag. High speed = device will leave this fog zone soon, so routing to a distant fog node that covers the next zone makes more sense.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F4E79"/>
                <w:sz w:val="21"/>
                <w:szCs w:val="21"/>
              </w:rPr>
              <w:t xml:space="preserve">Task deadline remaining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1"/>
                <w:szCs w:val="21"/>
              </w:rPr>
              <w:t xml:space="preserve">How much time is left before the task must be completed? Urgent tasks need faster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Cloud queue depth (estimated)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Current cloud load. If cloud is heavily loaded, fog might be better despite higher EC.</w:t>
            </w:r>
          </w:p>
        </w:tc>
      </w:tr>
    </w:tbl>
    <w:p>
      <w:pPr>
        <w:spacing w:before="0" w:after="80"/>
      </w:pPr>
    </w:p>
    <w:p>
      <w:pPr>
        <w:pStyle w:val="Heading2"/>
        <w:spacing w:before="280" w:after="100"/>
      </w:pPr>
      <w:r>
        <w:rPr>
          <w:rFonts w:ascii="Arial" w:cs="Arial" w:eastAsia="Arial" w:hAnsi="Arial"/>
          <w:b/>
          <w:bCs/>
          <w:color w:val="2E75B6"/>
          <w:sz w:val="28"/>
          <w:szCs w:val="28"/>
        </w:rPr>
        <w:t xml:space="preserve">4.3  The action space and reward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120"/>
            </w:tcMar>
          </w:tcPr>
          <w:p>
            <w:r>
              <w:rPr>
                <w:rFonts w:ascii="Arial" w:cs="Arial" w:eastAsia="Arial" w:hAnsi="Arial"/>
                <w:b/>
                <w:bCs/>
                <w:color w:val="FFFFFF"/>
                <w:sz w:val="20"/>
                <w:szCs w:val="20"/>
              </w:rPr>
              <w:t xml:space="preserve">Action Space (discrete)</w:t>
            </w:r>
          </w:p>
        </w:tc>
      </w:tr>
      <w:tr>
        <w:tc>
          <w:tcPr>
            <w:tcW w:type="dxa" w:w="9360"/>
            <w:tcBorders>
              <w:top w:val="single" w:color="CCCCCC" w:sz="1"/>
              <w:left w:val="single" w:color="CCCCCC" w:sz="1"/>
              <w:bottom w:val="single" w:color="CCCCCC" w:sz="1"/>
              <w:right w:val="single" w:color="CCCCCC" w:sz="1"/>
            </w:tcBorders>
            <w:shd w:fill="F0F5FF" w:val="clear"/>
            <w:tcMar>
              <w:top w:type="dxa" w:w="100"/>
              <w:left w:type="dxa" w:w="200"/>
              <w:bottom w:type="dxa" w:w="100"/>
              <w:right w:type="dxa" w:w="120"/>
            </w:tcMar>
          </w:tcPr>
          <w:p>
            <w:pPr>
              <w:jc w:val="center"/>
            </w:pPr>
            <w:r>
              <w:rPr>
                <w:rFonts w:ascii="Courier New" w:cs="Courier New" w:eastAsia="Courier New" w:hAnsi="Courier New"/>
                <w:b/>
                <w:bCs/>
                <w:color w:val="1F4E79"/>
                <w:sz w:val="26"/>
                <w:szCs w:val="26"/>
              </w:rPr>
              <w:t xml:space="preserve">A = { FOG_NODE_1, FOG_NODE_2, ..., FOG_NODE_K, CLOUD }</w:t>
            </w:r>
          </w:p>
          <w:p>
            <w:pPr>
              <w:spacing w:before="80"/>
            </w:pPr>
            <w:r>
              <w:rPr>
                <w:rFonts w:ascii="Arial" w:cs="Arial" w:eastAsia="Arial" w:hAnsi="Arial"/>
                <w:i/>
                <w:iCs/>
                <w:color w:val="444444"/>
                <w:sz w:val="20"/>
                <w:szCs w:val="20"/>
              </w:rPr>
              <w:t xml:space="preserve">K fog nodes plus cloud. For a simulation with 3 fog nodes: A = {0, 1, 2, 3}. This is why DQN is appropriate — DQN handles discrete action spaces well.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200"/>
              <w:bottom w:type="dxa" w:w="80"/>
              <w:right w:type="dxa" w:w="120"/>
            </w:tcMar>
          </w:tcPr>
          <w:p>
            <w:r>
              <w:rPr>
                <w:rFonts w:ascii="Arial" w:cs="Arial" w:eastAsia="Arial" w:hAnsi="Arial"/>
                <w:b/>
                <w:bCs/>
                <w:color w:val="FFFFFF"/>
                <w:sz w:val="20"/>
                <w:szCs w:val="20"/>
              </w:rPr>
              <w:t xml:space="preserve">Reward Function</w:t>
            </w:r>
          </w:p>
        </w:tc>
      </w:tr>
      <w:tr>
        <w:tc>
          <w:tcPr>
            <w:tcW w:type="dxa" w:w="9360"/>
            <w:tcBorders>
              <w:top w:val="single" w:color="CCCCCC" w:sz="1"/>
              <w:left w:val="single" w:color="CCCCCC" w:sz="1"/>
              <w:bottom w:val="single" w:color="CCCCCC" w:sz="1"/>
              <w:right w:val="single" w:color="CCCCCC" w:sz="1"/>
            </w:tcBorders>
            <w:shd w:fill="F0F5FF" w:val="clear"/>
            <w:tcMar>
              <w:top w:type="dxa" w:w="100"/>
              <w:left w:type="dxa" w:w="200"/>
              <w:bottom w:type="dxa" w:w="100"/>
              <w:right w:type="dxa" w:w="120"/>
            </w:tcMar>
          </w:tcPr>
          <w:p>
            <w:pPr>
              <w:jc w:val="center"/>
            </w:pPr>
            <w:r>
              <w:rPr>
                <w:rFonts w:ascii="Courier New" w:cs="Courier New" w:eastAsia="Courier New" w:hAnsi="Courier New"/>
                <w:b/>
                <w:bCs/>
                <w:color w:val="1F4E79"/>
                <w:sz w:val="26"/>
                <w:szCs w:val="26"/>
              </w:rPr>
              <w:t xml:space="preserve">R = α·(1/latency) - β·energy - γ·deadline_violation</w:t>
            </w:r>
          </w:p>
          <w:p>
            <w:pPr>
              <w:spacing w:before="80"/>
            </w:pPr>
            <w:r>
              <w:rPr>
                <w:rFonts w:ascii="Arial" w:cs="Arial" w:eastAsia="Arial" w:hAnsi="Arial"/>
                <w:i/>
                <w:iCs/>
                <w:color w:val="444444"/>
                <w:sz w:val="20"/>
                <w:szCs w:val="20"/>
              </w:rPr>
              <w:t xml:space="preserve">α, β, γ are weighting coefficients you tune. deadline_violation = 1 if task misses deadline, 0 otherwise. Large negative penalty for missing deadline. Positive reward for fast, energy-efficient completion.</w:t>
            </w:r>
          </w:p>
        </w:tc>
      </w:tr>
    </w:tbl>
    <w:p>
      <w:pPr>
        <w:spacing w:before="0" w:after="80"/>
      </w:pPr>
    </w:p>
    <w:p>
      <w:pPr>
        <w:pStyle w:val="Heading2"/>
        <w:spacing w:before="280" w:after="100"/>
      </w:pPr>
      <w:r>
        <w:rPr>
          <w:rFonts w:ascii="Arial" w:cs="Arial" w:eastAsia="Arial" w:hAnsi="Arial"/>
          <w:b/>
          <w:bCs/>
          <w:color w:val="2E75B6"/>
          <w:sz w:val="28"/>
          <w:szCs w:val="28"/>
        </w:rPr>
        <w:t xml:space="preserve">4.4  Summary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the system</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parameters to tune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TOF-Broker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Pre-filter. Run on every task before anything else.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 threshold (θ), batch size (B)</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MMDE-NSGA-II</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Offline batch optimizer. Generates Pareto-optimal routing plans for pebble batches. Output used as RL training data.</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Population N, generations G, F, CR, inner population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DQN Agent 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Online real-time decision maker. Pre-trained on NSGA-II output, fine-tuned by live rewards.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 rate, discount factor γ, epsilon (exploration), replay buffer size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DQN Agent 2</w:t>
            </w:r>
          </w:p>
        </w:tc>
        <w:tc>
          <w:tcPr>
            <w:tcW w:type="dxa" w:w="4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Online SDN path manager. Selects physical network paths for task data. Separate state space (link bandwidth, congestion).</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Same hyperparameters as Agent 1 but different state/action/reward</w:t>
            </w:r>
          </w:p>
        </w:tc>
      </w:tr>
    </w:tbl>
    <w:p>
      <w:pPr>
        <w:spacing w:before="0" w:after="80"/>
      </w:pPr>
    </w:p>
    <w:p>
      <w:r>
        <w:br w:type="page"/>
      </w:r>
    </w:p>
    <w:p>
      <w:pPr>
        <w:pStyle w:val="Heading1"/>
        <w:spacing w:before="360" w:after="120"/>
      </w:pPr>
      <w:r>
        <w:rPr>
          <w:rFonts w:ascii="Arial" w:cs="Arial" w:eastAsia="Arial" w:hAnsi="Arial"/>
          <w:b/>
          <w:bCs/>
          <w:color w:val="1F4E79"/>
          <w:sz w:val="36"/>
          <w:szCs w:val="36"/>
        </w:rPr>
        <w:t xml:space="preserve">5.  Practical Implementation Notes for iFogSim</w:t>
      </w:r>
    </w:p>
    <w:p>
      <w:pPr>
        <w:pStyle w:val="Heading2"/>
        <w:spacing w:before="280" w:after="100"/>
      </w:pPr>
      <w:r>
        <w:rPr>
          <w:rFonts w:ascii="Arial" w:cs="Arial" w:eastAsia="Arial" w:hAnsi="Arial"/>
          <w:b/>
          <w:bCs/>
          <w:color w:val="2E75B6"/>
          <w:sz w:val="28"/>
          <w:szCs w:val="28"/>
        </w:rPr>
        <w:t xml:space="preserve">5.1  How to model tasks</w:t>
      </w:r>
    </w:p>
    <w:p>
      <w:pPr>
        <w:spacing w:before="80" w:after="120"/>
      </w:pPr>
      <w:r>
        <w:rPr>
          <w:rFonts w:ascii="Arial" w:cs="Arial" w:eastAsia="Arial" w:hAnsi="Arial"/>
          <w:sz w:val="22"/>
          <w:szCs w:val="22"/>
        </w:rPr>
        <w:t xml:space="preserve">In iFogSim, tasks are represented as AppModules with associated AppEdges. For your system, you define each task type with these properties:</w:t>
      </w:r>
    </w:p>
    <w:p>
      <w:pPr>
        <w:spacing w:before="0" w:after="80"/>
      </w:pPr>
    </w:p>
    <w:p>
      <w:pPr>
        <w:spacing w:before="60" w:after="60"/>
        <w:ind w:left="720"/>
      </w:pPr>
      <w:r>
        <w:rPr>
          <w:rFonts w:ascii="Courier New" w:cs="Courier New" w:eastAsia="Courier New" w:hAnsi="Courier New"/>
          <w:color w:val="1F4E79"/>
          <w:sz w:val="20"/>
          <w:szCs w:val="20"/>
        </w:rPr>
        <w:t xml:space="preserve">task.setMips(task_length_in_MI);       // computational demand</w:t>
      </w:r>
    </w:p>
    <w:p>
      <w:pPr>
        <w:spacing w:before="60" w:after="60"/>
        <w:ind w:left="720"/>
      </w:pPr>
      <w:r>
        <w:rPr>
          <w:rFonts w:ascii="Courier New" w:cs="Courier New" w:eastAsia="Courier New" w:hAnsi="Courier New"/>
          <w:color w:val="1F4E79"/>
          <w:sz w:val="20"/>
          <w:szCs w:val="20"/>
        </w:rPr>
        <w:t xml:space="preserve">task.setRam(memory_required_MB);        // memory footprint</w:t>
      </w:r>
    </w:p>
    <w:p>
      <w:pPr>
        <w:spacing w:before="60" w:after="60"/>
        <w:ind w:left="720"/>
      </w:pPr>
      <w:r>
        <w:rPr>
          <w:rFonts w:ascii="Courier New" w:cs="Courier New" w:eastAsia="Courier New" w:hAnsi="Courier New"/>
          <w:color w:val="1F4E79"/>
          <w:sz w:val="20"/>
          <w:szCs w:val="20"/>
        </w:rPr>
        <w:t xml:space="preserve">task.setFileSize(data_size_MB);         // input data size</w:t>
      </w:r>
    </w:p>
    <w:p>
      <w:pPr>
        <w:spacing w:before="60" w:after="60"/>
        <w:ind w:left="720"/>
      </w:pPr>
      <w:r>
        <w:rPr>
          <w:rFonts w:ascii="Courier New" w:cs="Courier New" w:eastAsia="Courier New" w:hAnsi="Courier New"/>
          <w:color w:val="1F4E79"/>
          <w:sz w:val="20"/>
          <w:szCs w:val="20"/>
        </w:rPr>
        <w:t xml:space="preserve">task.setOutputSize(result_size_KB);     // result data size</w:t>
      </w:r>
    </w:p>
    <w:p>
      <w:pPr>
        <w:spacing w:before="60" w:after="60"/>
        <w:ind w:left="720"/>
      </w:pPr>
      <w:r>
        <w:rPr>
          <w:rFonts w:ascii="Courier New" w:cs="Courier New" w:eastAsia="Courier New" w:hAnsi="Courier New"/>
          <w:color w:val="1F4E79"/>
          <w:sz w:val="20"/>
          <w:szCs w:val="20"/>
        </w:rPr>
        <w:t xml:space="preserve">task.setDeadline(deadline_seconds);     // time constraint</w:t>
      </w:r>
    </w:p>
    <w:p>
      <w:pPr>
        <w:spacing w:before="0" w:after="80"/>
      </w:pPr>
    </w:p>
    <w:p>
      <w:pPr>
        <w:pStyle w:val="Heading2"/>
        <w:spacing w:before="280" w:after="100"/>
      </w:pPr>
      <w:r>
        <w:rPr>
          <w:rFonts w:ascii="Arial" w:cs="Arial" w:eastAsia="Arial" w:hAnsi="Arial"/>
          <w:b/>
          <w:bCs/>
          <w:color w:val="2E75B6"/>
          <w:sz w:val="28"/>
          <w:szCs w:val="28"/>
        </w:rPr>
        <w:t xml:space="preserve">5.2  Where to insert the TOF-Broker</w:t>
      </w:r>
    </w:p>
    <w:p>
      <w:pPr>
        <w:spacing w:before="80" w:after="120"/>
      </w:pPr>
      <w:r>
        <w:rPr>
          <w:rFonts w:ascii="Arial" w:cs="Arial" w:eastAsia="Arial" w:hAnsi="Arial"/>
          <w:sz w:val="22"/>
          <w:szCs w:val="22"/>
        </w:rPr>
        <w:t xml:space="preserve">The TOF-Broker is implemented as a middleware component that intercepts tasks before they reach the fog node's processing queue. In iFogSim terms, it sits in the controller layer. For each arriving task, your broker code computes EC, classifies the task, and either redirects it to cloud immediately or adds it to the pebble batch buffer.</w:t>
      </w:r>
    </w:p>
    <w:p>
      <w:pPr>
        <w:spacing w:before="0" w:after="80"/>
      </w:pPr>
    </w:p>
    <w:p>
      <w:pPr>
        <w:pStyle w:val="Heading2"/>
        <w:spacing w:before="280" w:after="100"/>
      </w:pPr>
      <w:r>
        <w:rPr>
          <w:rFonts w:ascii="Arial" w:cs="Arial" w:eastAsia="Arial" w:hAnsi="Arial"/>
          <w:b/>
          <w:bCs/>
          <w:color w:val="2E75B6"/>
          <w:sz w:val="28"/>
          <w:szCs w:val="28"/>
        </w:rPr>
        <w:t xml:space="preserve">5.3  Running NSGA-II in simulation</w:t>
      </w:r>
    </w:p>
    <w:p>
      <w:pPr>
        <w:spacing w:before="80" w:after="120"/>
      </w:pPr>
      <w:r>
        <w:rPr>
          <w:rFonts w:ascii="Arial" w:cs="Arial" w:eastAsia="Arial" w:hAnsi="Arial"/>
          <w:sz w:val="22"/>
          <w:szCs w:val="22"/>
        </w:rPr>
        <w:t xml:space="preserve">For the offline phase, you can run NSGA-II outside iFogSim using Python with the pymoo library (a well-documented multi-objective optimization library that includes NSGA-II with customizable operators). For the online phase, the RL agent runs inside or alongside the simulation loop.</w:t>
      </w:r>
    </w:p>
    <w:p>
      <w:pPr>
        <w:spacing w:before="0" w:after="80"/>
      </w:pPr>
    </w:p>
    <w:p>
      <w:pPr>
        <w:spacing w:before="60" w:after="60"/>
        <w:ind w:left="720"/>
      </w:pPr>
      <w:r>
        <w:rPr>
          <w:rFonts w:ascii="Courier New" w:cs="Courier New" w:eastAsia="Courier New" w:hAnsi="Courier New"/>
          <w:color w:val="1F4E79"/>
          <w:sz w:val="20"/>
          <w:szCs w:val="20"/>
        </w:rPr>
        <w:t xml:space="preserve">pip install pymoo         # Python library for NSGA-II</w:t>
      </w:r>
    </w:p>
    <w:p>
      <w:pPr>
        <w:spacing w:before="60" w:after="60"/>
        <w:ind w:left="720"/>
      </w:pPr>
      <w:r>
        <w:rPr>
          <w:rFonts w:ascii="Courier New" w:cs="Courier New" w:eastAsia="Courier New" w:hAnsi="Courier New"/>
          <w:color w:val="1F4E79"/>
          <w:sz w:val="20"/>
          <w:szCs w:val="20"/>
        </w:rPr>
        <w:t xml:space="preserve">pip install stable-baselines3   # Python library for DQN/PPO</w:t>
      </w:r>
    </w:p>
    <w:p>
      <w:pPr>
        <w:spacing w:before="0" w:after="80"/>
      </w:pPr>
    </w:p>
    <w:p>
      <w:pPr>
        <w:pStyle w:val="Heading2"/>
        <w:spacing w:before="280" w:after="100"/>
      </w:pPr>
      <w:r>
        <w:rPr>
          <w:rFonts w:ascii="Arial" w:cs="Arial" w:eastAsia="Arial" w:hAnsi="Arial"/>
          <w:b/>
          <w:bCs/>
          <w:color w:val="2E75B6"/>
          <w:sz w:val="28"/>
          <w:szCs w:val="28"/>
        </w:rPr>
        <w:t xml:space="preserve">5.4  Recommended reading order</w:t>
      </w:r>
    </w:p>
    <w:p>
      <w:pPr>
        <w:spacing w:before="80" w:after="120"/>
      </w:pPr>
      <w:r>
        <w:rPr>
          <w:rFonts w:ascii="Arial" w:cs="Arial" w:eastAsia="Arial" w:hAnsi="Arial"/>
          <w:sz w:val="22"/>
          <w:szCs w:val="22"/>
        </w:rPr>
        <w:t xml:space="preserve">Now that you have this foundation, here is the order to go deeper:</w:t>
      </w:r>
    </w:p>
    <w:p>
      <w:pPr>
        <w:spacing w:before="0" w:after="80"/>
      </w:pPr>
    </w:p>
    <w:p>
      <w:pPr>
        <w:pStyle w:val="ListParagraph"/>
        <w:numPr>
          <w:ilvl w:val="0"/>
          <w:numId w:val="3"/>
        </w:numPr>
        <w:spacing w:before="40" w:after="40"/>
      </w:pPr>
      <w:r>
        <w:rPr>
          <w:rFonts w:ascii="Arial" w:cs="Arial" w:eastAsia="Arial" w:hAnsi="Arial"/>
          <w:sz w:val="22"/>
          <w:szCs w:val="22"/>
        </w:rPr>
        <w:t xml:space="preserve">Re-read Paper 1 (Jafari &amp; Rezvani 2021) focusing on their mathematical formulation in Section 3 and their MMDE implementation in Section 4. You now have the vocabulary to understand it.</w:t>
      </w:r>
    </w:p>
    <w:p>
      <w:pPr>
        <w:pStyle w:val="ListParagraph"/>
        <w:numPr>
          <w:ilvl w:val="0"/>
          <w:numId w:val="3"/>
        </w:numPr>
        <w:spacing w:before="40" w:after="40"/>
      </w:pPr>
      <w:r>
        <w:rPr>
          <w:rFonts w:ascii="Arial" w:cs="Arial" w:eastAsia="Arial" w:hAnsi="Arial"/>
          <w:sz w:val="22"/>
          <w:szCs w:val="22"/>
        </w:rPr>
        <w:t xml:space="preserve">Re-read Paper 2 (TOF-Broker paper) focusing on the EC formula and the experimental results — pay attention to how they measure pebble/boulder ratio and how they define their simulation scenarios.</w:t>
      </w:r>
    </w:p>
    <w:p>
      <w:pPr>
        <w:pStyle w:val="ListParagraph"/>
        <w:numPr>
          <w:ilvl w:val="0"/>
          <w:numId w:val="3"/>
        </w:numPr>
        <w:spacing w:before="40" w:after="40"/>
      </w:pPr>
      <w:r>
        <w:rPr>
          <w:rFonts w:ascii="Arial" w:cs="Arial" w:eastAsia="Arial" w:hAnsi="Arial"/>
          <w:sz w:val="22"/>
          <w:szCs w:val="22"/>
        </w:rPr>
        <w:t xml:space="preserve">Read Wang et al. 2020 (DRL for vehicular offloading) for the RL foundation. Focus on their state space definition and reward function — adapt these for your architecture.</w:t>
      </w:r>
    </w:p>
    <w:p>
      <w:pPr>
        <w:pStyle w:val="ListParagraph"/>
        <w:numPr>
          <w:ilvl w:val="0"/>
          <w:numId w:val="3"/>
        </w:numPr>
        <w:spacing w:before="40" w:after="40"/>
      </w:pPr>
      <w:r>
        <w:rPr>
          <w:rFonts w:ascii="Arial" w:cs="Arial" w:eastAsia="Arial" w:hAnsi="Arial"/>
          <w:sz w:val="22"/>
          <w:szCs w:val="22"/>
        </w:rPr>
        <w:t xml:space="preserve">Look up the pymoo NSGA-II documentation and run their basic example before trying to customize it for your problem.</w:t>
      </w:r>
    </w:p>
    <w:p>
      <w:pPr>
        <w:pStyle w:val="ListParagraph"/>
        <w:numPr>
          <w:ilvl w:val="0"/>
          <w:numId w:val="3"/>
        </w:numPr>
        <w:spacing w:before="40" w:after="40"/>
      </w:pPr>
      <w:r>
        <w:rPr>
          <w:rFonts w:ascii="Arial" w:cs="Arial" w:eastAsia="Arial" w:hAnsi="Arial"/>
          <w:sz w:val="22"/>
          <w:szCs w:val="22"/>
        </w:rPr>
        <w:t xml:space="preserve">Set up iFogSim and replicate the basic Paper 1 scenario before adding your own components. Getting a baseline running first is critical.</w:t>
      </w:r>
    </w:p>
    <w:p>
      <w:pPr>
        <w:spacing w:before="0" w:after="80"/>
      </w:pPr>
    </w:p>
    <w:p>
      <w:pPr>
        <w:pBdr>
          <w:bottom w:val="single" w:color="2E75B6" w:sz="6" w:space="1"/>
        </w:pBdr>
        <w:spacing w:before="200" w:after="200"/>
      </w:pPr>
    </w:p>
    <w:p>
      <w:pPr>
        <w:spacing w:before="0" w:after="80"/>
      </w:pPr>
    </w:p>
    <w:p>
      <w:pPr>
        <w:jc w:val="center"/>
      </w:pPr>
      <w:r>
        <w:rPr>
          <w:rFonts w:ascii="Arial" w:cs="Arial" w:eastAsia="Arial" w:hAnsi="Arial"/>
          <w:i/>
          <w:iCs/>
          <w:color w:val="888888"/>
          <w:sz w:val="20"/>
          <w:szCs w:val="20"/>
        </w:rPr>
        <w:t xml:space="preserve">End of document — come back with specific questions on any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2026-03-22T07:34:13.604Z</dcterms:created>
  <dcterms:modified xsi:type="dcterms:W3CDTF">2026-03-22T07:34:13.604Z</dcterms:modified>
</cp:coreProperties>
</file>

<file path=docProps/custom.xml><?xml version="1.0" encoding="utf-8"?>
<Properties xmlns="http://schemas.openxmlformats.org/officeDocument/2006/custom-properties" xmlns:vt="http://schemas.openxmlformats.org/officeDocument/2006/docPropsVTypes"/>
</file>