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PCNME — What Exists, What's Missing, and Reading Progress</w:t>
      </w:r>
    </w:p>
    <w:p>
      <w:pPr/>
      <w:r>
        <w:t xml:space="preserve">Sep 30, 2026</w:t>
      </w:r>
      <w:r>
        <w:t xml:space="preserve"> · </w:t>
      </w:r>
      <w:r>
        <w:t xml:space="preserve">@imed-eddin</w:t>
      </w:r>
    </w:p>
    <w:p>
      <w:pPr>
        <w:pStyle w:val="Heading2"/>
      </w:pPr>
      <w:r>
        <w:t xml:space="preserve">How to use this doc</w:t>
      </w:r>
    </w:p>
    <w:p>
      <w:pPr/>
      <w:r>
        <w:t xml:space="preserve">This is the one place for PCNME's status: what you have read, what already exists in the paper, and what is missing or wrong. You do not need to remember anything else.</w:t>
      </w:r>
    </w:p>
    <w:p>
      <w:pPr/>
      <w:r>
        <w:t xml:space="preserve">Right now only the reading tracker matters. The "missing or wrong" sections are parked: we work through them one item at a time after the reading, in the order they appear. Tick a box when an item is done.</w:t>
      </w:r>
    </w:p>
    <w:p>
      <w:pPr>
        <w:pStyle w:val="Heading2"/>
      </w:pPr>
      <w:r>
        <w:t xml:space="preserve">Reading progress</w:t>
      </w:r>
    </w:p>
    <w:p>
      <w:pPr/>
      <w:r>
        <w:t xml:space="preserve">Steps 1 and 2 are done. You are on step 3: Tang &amp; Wong (DQN for MEC). Nothing is read yet except the parts of Paper 1 we went through together.</w:t>
      </w:r>
    </w:p>
    <w:tbl>
      <w:tblPr>
        <w:tblStyle w:val="TableGrid"/>
        <w:tblW w:w="0" w:type="auto"/>
        <w:tblLayout w:type="fixed"/>
        <w:tblLook w:val="04A0" w:firstRow="1" w:lastRow="0" w:firstColumn="0" w:lastColumn="0" w:noHBand="0" w:noVBand="1"/>
      </w:tblPr>
      <w:tblGrid>
        <w:gridCol w:w="720"/>
        <w:gridCol w:w="4920"/>
        <w:gridCol w:w="1504"/>
        <w:gridCol w:w="2216"/>
      </w:tblGrid>
      <w:tr>
        <w:trPr>
          <w:tblHeader/>
        </w:trPr>
        <w:tc>
          <w:tcPr>
            <w:tcW w:w="720" w:type="dxa"/>
            <w:shd w:val="clear" w:color="auto" w:fill="F2F2F2"/>
          </w:tcPr>
          <w:p>
            <w:pPr/>
            <w:r>
              <w:t xml:space="preserve">Step</w:t>
            </w:r>
          </w:p>
        </w:tc>
        <w:tc>
          <w:tcPr>
            <w:tcW w:w="4920" w:type="dxa"/>
            <w:shd w:val="clear" w:color="auto" w:fill="F2F2F2"/>
          </w:tcPr>
          <w:p>
            <w:pPr/>
            <w:r>
              <w:t xml:space="preserve">What</w:t>
            </w:r>
          </w:p>
        </w:tc>
        <w:tc>
          <w:tcPr>
            <w:tcW w:w="1504" w:type="dxa"/>
            <w:shd w:val="clear" w:color="auto" w:fill="F2F2F2"/>
          </w:tcPr>
          <w:p>
            <w:pPr/>
            <w:r>
              <w:t xml:space="preserve">Type</w:t>
            </w:r>
          </w:p>
        </w:tc>
        <w:tc>
          <w:tcPr>
            <w:tcW w:w="2216" w:type="dxa"/>
            <w:shd w:val="clear" w:color="auto" w:fill="F2F2F2"/>
          </w:tcPr>
          <w:p>
            <w:pPr/>
            <w:r>
              <w:t xml:space="preserve">Status</w:t>
            </w:r>
          </w:p>
        </w:tc>
      </w:tr>
      <w:tr>
        <w:tc>
          <w:tcPr>
            <w:tcW w:w="720" w:type="dxa"/>
          </w:tcPr>
          <w:p>
            <w:pPr/>
            <w:r>
              <w:t xml:space="preserve">1</w:t>
            </w:r>
          </w:p>
        </w:tc>
        <w:tc>
          <w:tcPr>
            <w:tcW w:w="4920" w:type="dxa"/>
          </w:tcPr>
          <w:p>
            <w:pPr/>
            <w:r>
              <w:t xml:space="preserve">NSGA-II lesson ("NSGA-II from zero" HTML)</w:t>
            </w:r>
          </w:p>
        </w:tc>
        <w:tc>
          <w:tcPr>
            <w:tcW w:w="1504" w:type="dxa"/>
          </w:tcPr>
          <w:p>
            <w:pPr/>
            <w:r>
              <w:t xml:space="preserve">Deep</w:t>
            </w:r>
          </w:p>
        </w:tc>
        <w:tc>
          <w:tcPr>
            <w:tcW w:w="2216" w:type="dxa"/>
          </w:tcPr>
          <w:p>
            <w:pPr/>
            <w:r>
              <w:t xml:space="preserve">Done (8 October)</w:t>
            </w:r>
          </w:p>
        </w:tc>
      </w:tr>
      <w:tr>
        <w:tc>
          <w:tcPr>
            <w:tcW w:w="720" w:type="dxa"/>
          </w:tcPr>
          <w:p>
            <w:pPr/>
            <w:r>
              <w:t xml:space="preserve">2</w:t>
            </w:r>
          </w:p>
        </w:tc>
        <w:tc>
          <w:tcPr>
            <w:tcW w:w="4920" w:type="dxa"/>
          </w:tcPr>
          <w:p>
            <w:pPr/>
            <w:r>
              <w:t xml:space="preserve">RL lesson ("RL from zero" HTML), then the VFC paper (Toopchinezhad &amp; Ahmadi, PPO)</w:t>
            </w:r>
          </w:p>
        </w:tc>
        <w:tc>
          <w:tcPr>
            <w:tcW w:w="1504" w:type="dxa"/>
          </w:tcPr>
          <w:p>
            <w:pPr/>
            <w:r>
              <w:t xml:space="preserve">Deep, with the supervisor's notes</w:t>
            </w:r>
          </w:p>
        </w:tc>
        <w:tc>
          <w:tcPr>
            <w:tcW w:w="2216" w:type="dxa"/>
          </w:tcPr>
          <w:p>
            <w:pPr/>
            <w:r>
              <w:t xml:space="preserve">Done (9 October)</w:t>
            </w:r>
          </w:p>
        </w:tc>
      </w:tr>
      <w:tr>
        <w:tc>
          <w:tcPr>
            <w:tcW w:w="720" w:type="dxa"/>
          </w:tcPr>
          <w:p>
            <w:pPr/>
            <w:r>
              <w:t xml:space="preserve">3</w:t>
            </w:r>
          </w:p>
        </w:tc>
        <w:tc>
          <w:tcPr>
            <w:tcW w:w="4920" w:type="dxa"/>
          </w:tcPr>
          <w:p>
            <w:pPr/>
            <w:r>
              <w:t xml:space="preserve">DQN for task offloading in MEC (Tang &amp; Wong, mingt2019 repo)</w:t>
            </w:r>
          </w:p>
        </w:tc>
        <w:tc>
          <w:tcPr>
            <w:tcW w:w="1504" w:type="dxa"/>
          </w:tcPr>
          <w:p>
            <w:pPr/>
            <w:r>
              <w:t xml:space="preserve">Deep</w:t>
            </w:r>
          </w:p>
        </w:tc>
        <w:tc>
          <w:tcPr>
            <w:tcW w:w="2216" w:type="dxa"/>
          </w:tcPr>
          <w:p>
            <w:pPr/>
            <w:r>
              <w:t xml:space="preserve">Summary read (9 October); deep read still to do</w:t>
            </w:r>
          </w:p>
        </w:tc>
      </w:tr>
      <w:tr>
        <w:tc>
          <w:tcPr>
            <w:tcW w:w="720" w:type="dxa"/>
          </w:tcPr>
          <w:p>
            <w:pPr/>
            <w:r>
              <w:t xml:space="preserve">4</w:t>
            </w:r>
          </w:p>
        </w:tc>
        <w:tc>
          <w:tcPr>
            <w:tcW w:w="4920" w:type="dxa"/>
          </w:tcPr>
          <w:p>
            <w:pPr/>
            <w:r>
              <w:t xml:space="preserve">QECO (energy-aware DRL)</w:t>
            </w:r>
          </w:p>
        </w:tc>
        <w:tc>
          <w:tcPr>
            <w:tcW w:w="1504" w:type="dxa"/>
          </w:tcPr>
          <w:p>
            <w:pPr/>
            <w:r>
              <w:t xml:space="preserve">Deep</w:t>
            </w:r>
          </w:p>
        </w:tc>
        <w:tc>
          <w:tcPr>
            <w:tcW w:w="2216" w:type="dxa"/>
          </w:tcPr>
          <w:p>
            <w:pPr/>
            <w:r>
              <w:t xml:space="preserve">Summary read (9 October); deep read still to do</w:t>
            </w:r>
          </w:p>
        </w:tc>
      </w:tr>
      <w:tr>
        <w:tc>
          <w:tcPr>
            <w:tcW w:w="720" w:type="dxa"/>
          </w:tcPr>
          <w:p>
            <w:pPr/>
            <w:r>
              <w:t xml:space="preserve">5</w:t>
            </w:r>
          </w:p>
        </w:tc>
        <w:tc>
          <w:tcPr>
            <w:tcW w:w="4920" w:type="dxa"/>
          </w:tcPr>
          <w:p>
            <w:pPr/>
            <w:r>
              <w:t xml:space="preserve">The 3 papers closest to your novelty: Wang et al. 2022 (offline expert, imitation learning, vehicular), Zhang et al. 2025 (behavior cloning into a DQN for offloading), Nahhas et al. 2024 (NSGA-III solutions as imitation expert)</w:t>
            </w:r>
          </w:p>
        </w:tc>
        <w:tc>
          <w:tcPr>
            <w:tcW w:w="1504" w:type="dxa"/>
          </w:tcPr>
          <w:p>
            <w:pPr/>
            <w:r>
              <w:t xml:space="preserve">Deep</w:t>
            </w:r>
          </w:p>
        </w:tc>
        <w:tc>
          <w:tcPr>
            <w:tcW w:w="2216" w:type="dxa"/>
          </w:tcPr>
          <w:p>
            <w:pPr/>
            <w:r>
              <w:t xml:space="preserve">Not started</w:t>
            </w:r>
          </w:p>
        </w:tc>
      </w:tr>
      <w:tr>
        <w:tc>
          <w:tcPr>
            <w:tcW w:w="720" w:type="dxa"/>
          </w:tcPr>
          <w:p>
            <w:pPr/>
            <w:r>
              <w:t xml:space="preserve">6</w:t>
            </w:r>
          </w:p>
        </w:tc>
        <w:tc>
          <w:tcPr>
            <w:tcW w:w="4920" w:type="dxa"/>
          </w:tcPr>
          <w:p>
            <w:pPr/>
            <w:r>
              <w:t xml:space="preserve">Handoff and DAG papers: MAPSM, PODRL, MATM, DAG-DQN, DCOM, Tof-NSGAII</w:t>
            </w:r>
          </w:p>
        </w:tc>
        <w:tc>
          <w:tcPr>
            <w:tcW w:w="1504" w:type="dxa"/>
          </w:tcPr>
          <w:p>
            <w:pPr/>
            <w:r>
              <w:t xml:space="preserve">Light: 5 answers each</w:t>
            </w:r>
          </w:p>
        </w:tc>
        <w:tc>
          <w:tcPr>
            <w:tcW w:w="2216" w:type="dxa"/>
          </w:tcPr>
          <w:p>
            <w:pPr/>
            <w:r>
              <w:t xml:space="preserve">Not started</w:t>
            </w:r>
          </w:p>
        </w:tc>
      </w:tr>
      <w:tr>
        <w:tc>
          <w:tcPr>
            <w:tcW w:w="720" w:type="dxa"/>
          </w:tcPr>
          <w:p>
            <w:pPr/>
            <w:r>
              <w:t xml:space="preserve">7</w:t>
            </w:r>
          </w:p>
        </w:tc>
        <w:tc>
          <w:tcPr>
            <w:tcW w:w="4920" w:type="dxa"/>
          </w:tcPr>
          <w:p>
            <w:pPr/>
            <w:r>
              <w:t xml:space="preserve">The other 10 papers (skip any already covered above)</w:t>
            </w:r>
          </w:p>
        </w:tc>
        <w:tc>
          <w:tcPr>
            <w:tcW w:w="1504" w:type="dxa"/>
          </w:tcPr>
          <w:p>
            <w:pPr/>
            <w:r>
              <w:t xml:space="preserve">Light: 5 answers each</w:t>
            </w:r>
          </w:p>
        </w:tc>
        <w:tc>
          <w:tcPr>
            <w:tcW w:w="2216" w:type="dxa"/>
          </w:tcPr>
          <w:p>
            <w:pPr/>
            <w:r>
              <w:t xml:space="preserve">Not started</w:t>
            </w:r>
          </w:p>
        </w:tc>
      </w:tr>
    </w:tbl>
    <w:p>
      <w:pPr/>
      <w:r>
        <w:t xml:space="preserve">Paper 1 (Jafari &amp; Rezvani): read together Sections 3.1 to 3.4 (energy, delay, objectives, exact method). Section 4 (NSGA-II) is covered by the lesson. Section 5 (results) is not read yet.</w:t>
      </w:r>
    </w:p>
    <w:p>
      <w:pPr/>
      <w:r>
        <w:t xml:space="preserve">Light reading = abstract, method, results, then answer: What problem? What method? What do they optimize? What do they compare against? What is missing?</w:t>
      </w:r>
    </w:p>
    <w:p>
      <w:pPr>
        <w:pStyle w:val="Heading2"/>
      </w:pPr>
      <w:r>
        <w:t xml:space="preserve">What the v1 paper (paper.tex) already has</w:t>
      </w:r>
    </w:p>
    <w:p>
      <w:pPr/>
      <w:r>
        <w:t xml:space="preserve">This compares the v1 paper (paper.tex, which will be rewritten) with Paper 1. The current design has moved on in several rows; the PCNME Architecture doc is the up-to-date version.</w:t>
      </w:r>
    </w:p>
    <w:tbl>
      <w:tblPr>
        <w:tblStyle w:val="TableGrid"/>
        <w:tblW w:w="0" w:type="auto"/>
        <w:tblLayout w:type="fixed"/>
        <w:tblLook w:val="04A0" w:firstRow="1" w:lastRow="0" w:firstColumn="0" w:lastColumn="0" w:noHBand="0" w:noVBand="1"/>
      </w:tblPr>
      <w:tblGrid>
        <w:gridCol w:w="2453"/>
        <w:gridCol w:w="4700"/>
        <w:gridCol w:w="2207"/>
      </w:tblGrid>
      <w:tr>
        <w:trPr>
          <w:tblHeader/>
        </w:trPr>
        <w:tc>
          <w:tcPr>
            <w:tcW w:w="2453" w:type="dxa"/>
            <w:shd w:val="clear" w:color="auto" w:fill="F2F2F2"/>
          </w:tcPr>
          <w:p>
            <w:pPr/>
            <w:r>
              <w:t xml:space="preserve">Part</w:t>
            </w:r>
          </w:p>
        </w:tc>
        <w:tc>
          <w:tcPr>
            <w:tcW w:w="4700" w:type="dxa"/>
            <w:shd w:val="clear" w:color="auto" w:fill="F2F2F2"/>
          </w:tcPr>
          <w:p>
            <w:pPr/>
            <w:r>
              <w:t xml:space="preserve">What exists</w:t>
            </w:r>
          </w:p>
        </w:tc>
        <w:tc>
          <w:tcPr>
            <w:tcW w:w="2207" w:type="dxa"/>
            <w:shd w:val="clear" w:color="auto" w:fill="F2F2F2"/>
          </w:tcPr>
          <w:p>
            <w:pPr/>
            <w:r>
              <w:t xml:space="preserve">Compared with Paper 1</w:t>
            </w:r>
          </w:p>
        </w:tc>
      </w:tr>
      <w:tr>
        <w:tc>
          <w:tcPr>
            <w:tcW w:w="2453" w:type="dxa"/>
          </w:tcPr>
          <w:p>
            <w:pPr/>
            <w:r>
              <w:t xml:space="preserve">System model</w:t>
            </w:r>
          </w:p>
        </w:tc>
        <w:tc>
          <w:tcPr>
            <w:tcW w:w="4700" w:type="dxa"/>
          </w:tcPr>
          <w:p>
            <w:pPr/>
            <w:r>
              <w:t xml:space="preserve">Fog nodes, cloud, moving vehicles with GPS position, speed and heading</w:t>
            </w:r>
          </w:p>
        </w:tc>
        <w:tc>
          <w:tcPr>
            <w:tcW w:w="2207" w:type="dxa"/>
          </w:tcPr>
          <w:p>
            <w:pPr/>
            <w:r>
              <w:t xml:space="preserve">Adds mobility</w:t>
            </w:r>
          </w:p>
        </w:tc>
      </w:tr>
      <w:tr>
        <w:tc>
          <w:tcPr>
            <w:tcW w:w="2453" w:type="dxa"/>
          </w:tcPr>
          <w:p>
            <w:pPr/>
            <w:r>
              <w:t xml:space="preserve">Task model</w:t>
            </w:r>
          </w:p>
        </w:tc>
        <w:tc>
          <w:tcPr>
            <w:tcW w:w="4700" w:type="dxa"/>
          </w:tcPr>
          <w:p>
            <w:pPr/>
            <w:r>
              <w:t xml:space="preserve">Tasks with internal steps (a DAG), placed as a whole, one end-to-end deadline</w:t>
            </w:r>
          </w:p>
        </w:tc>
        <w:tc>
          <w:tcPr>
            <w:tcW w:w="2207" w:type="dxa"/>
          </w:tcPr>
          <w:p>
            <w:pPr/>
            <w:r>
              <w:t xml:space="preserve">Richer: the steps' critical path is part of latency</w:t>
            </w:r>
          </w:p>
        </w:tc>
      </w:tr>
      <w:tr>
        <w:tc>
          <w:tcPr>
            <w:tcW w:w="2453" w:type="dxa"/>
          </w:tcPr>
          <w:p>
            <w:pPr/>
            <w:r>
              <w:t xml:space="preserve">Upload delay</w:t>
            </w:r>
          </w:p>
        </w:tc>
        <w:tc>
          <w:tcPr>
            <w:tcW w:w="4700" w:type="dxa"/>
          </w:tcPr>
          <w:p>
            <w:pPr/>
            <w:r>
              <w:t xml:space="preserve">Size ÷ bandwidth + fixed 5G delay</w:t>
            </w:r>
          </w:p>
        </w:tc>
        <w:tc>
          <w:tcPr>
            <w:tcW w:w="2207" w:type="dxa"/>
          </w:tcPr>
          <w:p>
            <w:pPr/>
            <w:r>
              <w:t xml:space="preserve">Better: adds propagation delay</w:t>
            </w:r>
          </w:p>
        </w:tc>
      </w:tr>
      <w:tr>
        <w:tc>
          <w:tcPr>
            <w:tcW w:w="2453" w:type="dxa"/>
          </w:tcPr>
          <w:p>
            <w:pPr/>
            <w:r>
              <w:t xml:space="preserve">Fog processing delay</w:t>
            </w:r>
          </w:p>
        </w:tc>
        <w:tc>
          <w:tcPr>
            <w:tcW w:w="4700" w:type="dxa"/>
          </w:tcPr>
          <w:p>
            <w:pPr/>
            <w:r>
              <w:t xml:space="preserve">MI ÷ MIPS, slowed by current load</w:t>
            </w:r>
          </w:p>
        </w:tc>
        <w:tc>
          <w:tcPr>
            <w:tcW w:w="2207" w:type="dxa"/>
          </w:tcPr>
          <w:p>
            <w:pPr/>
            <w:r>
              <w:t xml:space="preserve">Better: load-aware</w:t>
            </w:r>
          </w:p>
        </w:tc>
      </w:tr>
      <w:tr>
        <w:tc>
          <w:tcPr>
            <w:tcW w:w="2453" w:type="dxa"/>
          </w:tcPr>
          <w:p>
            <w:pPr/>
            <w:r>
              <w:t xml:space="preserve">Going to cloud</w:t>
            </w:r>
          </w:p>
        </w:tc>
        <w:tc>
          <w:tcPr>
            <w:tcW w:w="4700" w:type="dxa"/>
          </w:tcPr>
          <w:p>
            <w:pPr/>
            <w:r>
              <w:t xml:space="preserve">Clear yes/no per task (TOF-Broker)</w:t>
            </w:r>
          </w:p>
        </w:tc>
        <w:tc>
          <w:tcPr>
            <w:tcW w:w="2207" w:type="dxa"/>
          </w:tcPr>
          <w:p>
            <w:pPr/>
            <w:r>
              <w:t xml:space="preserve">Better than a fixed fraction α</w:t>
            </w:r>
          </w:p>
        </w:tc>
      </w:tr>
      <w:tr>
        <w:tc>
          <w:tcPr>
            <w:tcW w:w="2453" w:type="dxa"/>
          </w:tcPr>
          <w:p>
            <w:pPr/>
            <w:r>
              <w:t xml:space="preserve">Objectives</w:t>
            </w:r>
          </w:p>
        </w:tc>
        <w:tc>
          <w:tcPr>
            <w:tcW w:w="4700" w:type="dxa"/>
          </w:tcPr>
          <w:p>
            <w:pPr/>
            <w:r>
              <w:t xml:space="preserve">Total energy and total delay, deadline constraint</w:t>
            </w:r>
          </w:p>
        </w:tc>
        <w:tc>
          <w:tcPr>
            <w:tcW w:w="2207" w:type="dxa"/>
          </w:tcPr>
          <w:p>
            <w:pPr/>
            <w:r>
              <w:t xml:space="preserve">Same idea</w:t>
            </w:r>
          </w:p>
        </w:tc>
      </w:tr>
      <w:tr>
        <w:tc>
          <w:tcPr>
            <w:tcW w:w="2453" w:type="dxa"/>
          </w:tcPr>
          <w:p>
            <w:pPr/>
            <w:r>
              <w:t xml:space="preserve">Optimizer</w:t>
            </w:r>
          </w:p>
        </w:tc>
        <w:tc>
          <w:tcPr>
            <w:tcW w:w="4700" w:type="dxa"/>
          </w:tcPr>
          <w:p>
            <w:pPr/>
            <w:r>
              <w:t xml:space="preserve">Integer chromosome, non-dominated sorting, crowding distance, knee point</w:t>
            </w:r>
          </w:p>
        </w:tc>
        <w:tc>
          <w:tcPr>
            <w:tcW w:w="2207" w:type="dxa"/>
          </w:tcPr>
          <w:p>
            <w:pPr/>
            <w:r>
              <w:t xml:space="preserve">Same core; knee point is cleaner than weight sweeps</w:t>
            </w:r>
          </w:p>
        </w:tc>
      </w:tr>
      <w:tr>
        <w:tc>
          <w:tcPr>
            <w:tcW w:w="2453" w:type="dxa"/>
          </w:tcPr>
          <w:p>
            <w:pPr/>
            <w:r>
              <w:t xml:space="preserve">TOF-Broker</w:t>
            </w:r>
          </w:p>
        </w:tc>
        <w:tc>
          <w:tcPr>
            <w:tcW w:w="4700" w:type="dxa"/>
          </w:tcPr>
          <w:p>
            <w:pPr/>
            <w:r>
              <w:t xml:space="preserve">Boulder/pebble split (the aggregator is future work)</w:t>
            </w:r>
          </w:p>
        </w:tc>
        <w:tc>
          <w:tcPr>
            <w:tcW w:w="2207" w:type="dxa"/>
          </w:tcPr>
          <w:p>
            <w:pPr/>
            <w:r>
              <w:t xml:space="preserve">Not in Paper 1</w:t>
            </w:r>
          </w:p>
        </w:tc>
      </w:tr>
      <w:tr>
        <w:tc>
          <w:tcPr>
            <w:tcW w:w="2453" w:type="dxa"/>
          </w:tcPr>
          <w:p>
            <w:pPr/>
            <w:r>
              <w:t xml:space="preserve">DQN agent</w:t>
            </w:r>
          </w:p>
        </w:tc>
        <w:tc>
          <w:tcPr>
            <w:tcW w:w="4700" w:type="dxa"/>
          </w:tcPr>
          <w:p>
            <w:pPr/>
            <w:r>
              <w:t xml:space="preserve">v1: 11-value state (the design now uses 48 inputs, proposed), reward with dimensionless terms, replay buffer, target network</w:t>
            </w:r>
          </w:p>
        </w:tc>
        <w:tc>
          <w:tcPr>
            <w:tcW w:w="2207" w:type="dxa"/>
          </w:tcPr>
          <w:p>
            <w:pPr/>
            <w:r>
              <w:t xml:space="preserve">Not in Paper 1</w:t>
            </w:r>
          </w:p>
        </w:tc>
      </w:tr>
      <w:tr>
        <w:tc>
          <w:tcPr>
            <w:tcW w:w="2453" w:type="dxa"/>
          </w:tcPr>
          <w:p>
            <w:pPr/>
            <w:r>
              <w:t xml:space="preserve">Behavioral cloning</w:t>
            </w:r>
          </w:p>
        </w:tc>
        <w:tc>
          <w:tcPr>
            <w:tcW w:w="4700" w:type="dxa"/>
          </w:tcPr>
          <w:p>
            <w:pPr/>
            <w:r>
              <w:t xml:space="preserve">Pretraining the DQN from NSGA-II knee points</w:t>
            </w:r>
          </w:p>
        </w:tc>
        <w:tc>
          <w:tcPr>
            <w:tcW w:w="2207" w:type="dxa"/>
          </w:tcPr>
          <w:p>
            <w:pPr/>
            <w:r>
              <w:t xml:space="preserve">Not in Paper 1</w:t>
            </w:r>
          </w:p>
        </w:tc>
      </w:tr>
      <w:tr>
        <w:tc>
          <w:tcPr>
            <w:tcW w:w="2453" w:type="dxa"/>
          </w:tcPr>
          <w:p>
            <w:pPr/>
            <w:r>
              <w:t xml:space="preserve">Handoff</w:t>
            </w:r>
          </w:p>
        </w:tc>
        <w:tc>
          <w:tcPr>
            <w:tcW w:w="4700" w:type="dxa"/>
          </w:tcPr>
          <w:p>
            <w:pPr/>
            <w:r>
              <w:t xml:space="preserve">Zone exit time, proactive mode, reactive fallback</w:t>
            </w:r>
          </w:p>
        </w:tc>
        <w:tc>
          <w:tcPr>
            <w:tcW w:w="2207" w:type="dxa"/>
          </w:tcPr>
          <w:p>
            <w:pPr/>
            <w:r>
              <w:t xml:space="preserve">Not in Paper 1</w:t>
            </w:r>
          </w:p>
        </w:tc>
      </w:tr>
      <w:tr>
        <w:tc>
          <w:tcPr>
            <w:tcW w:w="2453" w:type="dxa"/>
          </w:tcPr>
          <w:p>
            <w:pPr/>
            <w:r>
              <w:t xml:space="preserve">Evaluation</w:t>
            </w:r>
          </w:p>
        </w:tc>
        <w:tc>
          <w:tcPr>
            <w:tcW w:w="4700" w:type="dxa"/>
          </w:tcPr>
          <w:p>
            <w:pPr/>
            <w:r>
              <w:t xml:space="preserve">Feasibility rate, latency, energy, handoff success, hypervolume</w:t>
            </w:r>
          </w:p>
        </w:tc>
        <w:tc>
          <w:tcPr>
            <w:tcW w:w="2207" w:type="dxa"/>
          </w:tcPr>
          <w:p>
            <w:pPr/>
            <w:r>
              <w:t xml:space="preserve">Hypervolume is the right front metric</w:t>
            </w:r>
          </w:p>
        </w:tc>
      </w:tr>
    </w:tbl>
    <w:p>
      <w:pPr/>
      <w:r>
        <w:t xml:space="preserve">Already correct, per the supervisor's checklist: the zone exit time is set to infinity when the car is not moving away, and the reward terms are dimensionless.</w:t>
      </w:r>
    </w:p>
    <w:p>
      <w:pPr>
        <w:pStyle w:val="Heading2"/>
      </w:pPr>
      <w:r>
        <w:t xml:space="preserve">Novelty: what is new and what is not</w:t>
      </w:r>
    </w:p>
    <w:p>
      <w:pPr/>
      <w:r>
        <w:t xml:space="preserve">Your work is not already done. No paper found (Consensus and Anara, 30 September 2026) combines 3 or more of your 5 parts. The new part is the chain: NSGA-II Pareto front, knee point as the expert, behavioral cloning into a DQN, for task offloading.</w:t>
      </w:r>
    </w:p>
    <w:tbl>
      <w:tblPr>
        <w:tblStyle w:val="TableGrid"/>
        <w:tblW w:w="0" w:type="auto"/>
        <w:tblLayout w:type="fixed"/>
        <w:tblLook w:val="04A0" w:firstRow="1" w:lastRow="0" w:firstColumn="0" w:lastColumn="0" w:noHBand="0" w:noVBand="1"/>
      </w:tblPr>
      <w:tblGrid>
        <w:gridCol w:w="2478"/>
        <w:gridCol w:w="4739"/>
        <w:gridCol w:w="2143"/>
      </w:tblGrid>
      <w:tr>
        <w:trPr>
          <w:tblHeader/>
        </w:trPr>
        <w:tc>
          <w:tcPr>
            <w:tcW w:w="2478" w:type="dxa"/>
            <w:shd w:val="clear" w:color="auto" w:fill="F2F2F2"/>
          </w:tcPr>
          <w:p>
            <w:pPr/>
            <w:r>
              <w:t xml:space="preserve">PCNME part</w:t>
            </w:r>
          </w:p>
        </w:tc>
        <w:tc>
          <w:tcPr>
            <w:tcW w:w="4739" w:type="dxa"/>
            <w:shd w:val="clear" w:color="auto" w:fill="F2F2F2"/>
          </w:tcPr>
          <w:p>
            <w:pPr/>
            <w:r>
              <w:t xml:space="preserve">Already done by others?</w:t>
            </w:r>
          </w:p>
        </w:tc>
        <w:tc>
          <w:tcPr>
            <w:tcW w:w="2143" w:type="dxa"/>
            <w:shd w:val="clear" w:color="auto" w:fill="F2F2F2"/>
          </w:tcPr>
          <w:p>
            <w:pPr/>
            <w:r>
              <w:t xml:space="preserve">How to present it</w:t>
            </w:r>
          </w:p>
        </w:tc>
      </w:tr>
      <w:tr>
        <w:tc>
          <w:tcPr>
            <w:tcW w:w="2478" w:type="dxa"/>
          </w:tcPr>
          <w:p>
            <w:pPr/>
            <w:r>
              <w:t xml:space="preserve">1. TOF-Broker (heavy/light split)</w:t>
            </w:r>
          </w:p>
        </w:tc>
        <w:tc>
          <w:tcPr>
            <w:tcW w:w="4739" w:type="dxa"/>
          </w:tcPr>
          <w:p>
            <w:pPr/>
            <w:r>
              <w:t xml:space="preserve">Partly: Tof-NSGAII routes tasks by type before NSGA-II</w:t>
            </w:r>
          </w:p>
        </w:tc>
        <w:tc>
          <w:tcPr>
            <w:tcW w:w="2143" w:type="dxa"/>
          </w:tcPr>
          <w:p>
            <w:pPr/>
            <w:r>
              <w:t xml:space="preserve">A design choice, not a novelty</w:t>
            </w:r>
          </w:p>
        </w:tc>
      </w:tr>
      <w:tr>
        <w:tc>
          <w:tcPr>
            <w:tcW w:w="2478" w:type="dxa"/>
          </w:tcPr>
          <w:p>
            <w:pPr/>
            <w:r>
              <w:t xml:space="preserve">2. NSGA-II energy + latency for fog-cloud</w:t>
            </w:r>
          </w:p>
        </w:tc>
        <w:tc>
          <w:tcPr>
            <w:tcW w:w="4739" w:type="dxa"/>
          </w:tcPr>
          <w:p>
            <w:pPr/>
            <w:r>
              <w:t xml:space="preserve">Yes, standard since Ali et al. 2020</w:t>
            </w:r>
          </w:p>
        </w:tc>
        <w:tc>
          <w:tcPr>
            <w:tcW w:w="2143" w:type="dxa"/>
          </w:tcPr>
          <w:p>
            <w:pPr/>
            <w:r>
              <w:t xml:space="preserve">Background</w:t>
            </w:r>
          </w:p>
        </w:tc>
      </w:tr>
      <w:tr>
        <w:tc>
          <w:tcPr>
            <w:tcW w:w="2478" w:type="dxa"/>
          </w:tcPr>
          <w:p>
            <w:pPr/>
            <w:r>
              <w:t xml:space="preserve">3. Behavioral cloning into a DQN</w:t>
            </w:r>
          </w:p>
        </w:tc>
        <w:tc>
          <w:tcPr>
            <w:tcW w:w="4739" w:type="dxa"/>
          </w:tcPr>
          <w:p>
            <w:pPr/>
            <w:r>
              <w:t xml:space="preserve">Yes, but never from a Pareto knee point in offloading (closest: Zhang 2025 uses a fuzzy expert; Nahhas 2024 uses NSGA-III, but in factory scheduling)</w:t>
            </w:r>
          </w:p>
        </w:tc>
        <w:tc>
          <w:tcPr>
            <w:tcW w:w="2143" w:type="dxa"/>
          </w:tcPr>
          <w:p>
            <w:pPr/>
            <w:r>
              <w:t xml:space="preserve">Main novelty, together with part 2</w:t>
            </w:r>
          </w:p>
        </w:tc>
      </w:tr>
      <w:tr>
        <w:tc>
          <w:tcPr>
            <w:tcW w:w="2478" w:type="dxa"/>
          </w:tcPr>
          <w:p>
            <w:pPr/>
            <w:r>
              <w:t xml:space="preserve">4. DQN for DAG tasks</w:t>
            </w:r>
          </w:p>
        </w:tc>
        <w:tc>
          <w:tcPr>
            <w:tcW w:w="4739" w:type="dxa"/>
          </w:tcPr>
          <w:p>
            <w:pPr/>
            <w:r>
              <w:t xml:space="preserve">Yes, many papers (DAG-DQN, DCOM, FedDQL)</w:t>
            </w:r>
          </w:p>
        </w:tc>
        <w:tc>
          <w:tcPr>
            <w:tcW w:w="2143" w:type="dxa"/>
          </w:tcPr>
          <w:p>
            <w:pPr/>
            <w:r>
              <w:t xml:space="preserve">Background</w:t>
            </w:r>
          </w:p>
        </w:tc>
      </w:tr>
      <w:tr>
        <w:tc>
          <w:tcPr>
            <w:tcW w:w="2478" w:type="dxa"/>
          </w:tcPr>
          <w:p>
            <w:pPr/>
            <w:r>
              <w:t xml:space="preserve">5. GPS-predicted proactive handoff</w:t>
            </w:r>
          </w:p>
        </w:tc>
        <w:tc>
          <w:tcPr>
            <w:tcW w:w="4739" w:type="dxa"/>
          </w:tcPr>
          <w:p>
            <w:pPr/>
            <w:r>
              <w:t xml:space="preserve">Yes, crowded (MAPSM, PODRL, MATM)</w:t>
            </w:r>
          </w:p>
        </w:tc>
        <w:tc>
          <w:tcPr>
            <w:tcW w:w="2143" w:type="dxa"/>
          </w:tcPr>
          <w:p>
            <w:pPr/>
            <w:r>
              <w:t xml:space="preserve">Supporting component; compare against them</w:t>
            </w:r>
          </w:p>
        </w:tc>
      </w:tr>
    </w:tbl>
    <w:p>
      <w:pPr/>
      <w:r>
        <w:t xml:space="preserve">Anara missed the closest paper Consensus found: Wang et al. 2022, where an offline expert is imitated online in vehicular edge computing. Neither search is exhaustive.</w:t>
      </w:r>
    </w:p>
    <w:p>
      <w:pPr>
        <w:pStyle w:val="ListParagraph"/>
        <w:numPr>
          <w:ilvl w:val="0"/>
          <w:numId w:val="2"/>
        </w:numPr>
      </w:pPr>
      <w:r>
        <w:t xml:space="preserve">☐ After reading step 5, write one contribution sentence: what PCNME does that Wang 2022, Zhang 2025 and Nahhas 2024 do not.</w:t>
      </w:r>
    </w:p>
    <w:p>
      <w:pPr>
        <w:pStyle w:val="ListParagraph"/>
        <w:numPr>
          <w:ilvl w:val="0"/>
          <w:numId w:val="2"/>
        </w:numPr>
      </w:pPr>
      <w:r>
        <w:t xml:space="preserve">☐ Related work: cite MAPSM, PODRL and MATM for handoff, and do not claim handoff alone as new.</w:t>
      </w:r>
    </w:p>
    <w:p>
      <w:pPr>
        <w:pStyle w:val="ListParagraph"/>
        <w:numPr>
          <w:ilvl w:val="0"/>
          <w:numId w:val="2"/>
        </w:numPr>
      </w:pPr>
      <w:r>
        <w:t xml:space="preserve">☐ Do not present the TOF-Broker as a novelty.</w:t>
      </w:r>
    </w:p>
    <w:p>
      <w:pPr>
        <w:pStyle w:val="Heading2"/>
      </w:pPr>
      <w:r>
        <w:t xml:space="preserve">Design decisions</w:t>
      </w:r>
    </w:p>
    <w:p>
      <w:pPr/>
      <w:r>
        <w:t xml:space="preserve">The full current design (components, data flows, all cases, decisions log, glossary) now lives in the PCNME Architecture doc; the agent's input and the messages are in "PCNME — State, Messages and Agent I/O", and every if-rule is in "PCNME — Decision Maker". Link: </w:t>
      </w:r>
      <w:r>
        <w:t xml:space="preserve">PCNME Architecture</w:t>
      </w:r>
      <w:r>
        <w:t xml:space="preserve">. The items below stay here as the to-do list.</w:t>
      </w:r>
    </w:p>
    <w:p>
      <w:pPr>
        <w:pStyle w:val="ListParagraph"/>
        <w:numPr>
          <w:ilvl w:val="0"/>
          <w:numId w:val="3"/>
        </w:numPr>
      </w:pPr>
      <w:r>
        <w:t xml:space="preserve">☒ </w:t>
      </w:r>
      <w:r>
        <w:rPr>
          <w:b/>
        </w:rPr>
        <w:t xml:space="preserve">TOF-Broker at the zone entry (decided 8 October).</w:t>
      </w:r>
      <w:r>
        <w:t xml:space="preserve"> It runs where the access point and the fog node sit together, before the fog queue: boulders go straight to the cloud and never touch a fog node; pebbles go to the zone's agent (the optimizer runs offline, not here). It only needs the task's size and deadline, so it needs no fog state.</w:t>
      </w:r>
    </w:p>
    <w:p>
      <w:pPr>
        <w:pStyle w:val="ListParagraph"/>
        <w:numPr>
          <w:ilvl w:val="0"/>
          <w:numId w:val="4"/>
        </w:numPr>
      </w:pPr>
      <w:r>
        <w:t xml:space="preserve">☒ </w:t>
      </w:r>
      <w:r>
        <w:rPr>
          <w:b/>
        </w:rPr>
        <w:t xml:space="preserve">Agent placement (decided 9 October).</w:t>
      </w:r>
      <w:r>
        <w:t xml:space="preserve"> One D3QN agent per fog zone (access point + co-located fog node), all starting from the same pretrained network; no agent on the cars, no single global agent. Per task: the car sends it to its current zone, which becomes the anchor. Boulder → cloud. Pebble → the anchor's agent picks here, a neighbour zone, or the cloud, once for the whole task. If the car is leaving, it can place the task in the zone the car is heading to. The node that ran the task publishes the result once; it reaches the car through its current zone, and the anchor gets a copy. Moving a half-run task between zones: future work. Still open: herding (several zones choosing the same quiet neighbour at once).</w:t>
      </w:r>
    </w:p>
    <w:p>
      <w:pPr>
        <w:pStyle w:val="ListParagraph"/>
        <w:numPr>
          <w:ilvl w:val="0"/>
          <w:numId w:val="5"/>
        </w:numPr>
      </w:pPr>
      <w:r>
        <w:t xml:space="preserve">☐ </w:t>
      </w:r>
      <w:r>
        <w:rPr>
          <w:b/>
        </w:rPr>
        <w:t xml:space="preserve">Layers and names for the system model (decided 12 October).</w:t>
      </w:r>
      <w:r>
        <w:t xml:space="preserve"> Vehicle layer (cars produce tasks). Access layer: the RSU or 5G base station, radio only; its range defines the coverage zone used for handoff. Fog layer: one fog zone per access point (the whole component: access point, coverage range, fog node, TOF-Broker, agent), holding the decision part (TOF-Broker + D3QN agent) and the execution part (the fog server). Cloud layer. Assumption to state: one fog server per access point. Pick one name for the server ("fog node") and say once that the literature also calls it an edge, MEC or VEC server.</w:t>
      </w:r>
    </w:p>
    <w:p>
      <w:pPr>
        <w:pStyle w:val="ListParagraph"/>
        <w:numPr>
          <w:ilvl w:val="0"/>
          <w:numId w:val="6"/>
        </w:numPr>
      </w:pPr>
      <w:r>
        <w:t xml:space="preserve">☐ </w:t>
      </w:r>
      <w:r>
        <w:rPr>
          <w:b/>
        </w:rPr>
        <w:t xml:space="preserve">Mobility must survive unpredictable driving (raised 12 October).</w:t>
      </w:r>
      <w:r>
        <w:t xml:space="preserve"> The zone exit time assumes the car keeps a straight line at constant speed; stops, traffic lights and turns break that. Plan: a separate mobility predictor feeds its output (exit time, likely next zone) into the agent's state; recompute it on every GPS update, not once; add a safety margin before choosing a proactive handoff; use the road grid to limit the possible next zones; the result is published once and follows the car through MQTT, so a wrong prediction costs time, never a lost task. A stopped car gets exit time = infinity, which is the safe case. Measure prediction error and handoff success in a scenario with random turns and stops. Learned trajectory prediction (as in MATM, PODRL) is not your contribution: cite it.</w:t>
      </w:r>
    </w:p>
    <w:p>
      <w:pPr/>
      <w:r>
        <w:rPr>
          <w:b/>
        </w:rPr>
        <w:t xml:space="preserve">Architecture checklist (12 October).</w:t>
      </w:r>
      <w:r>
        <w:t xml:space="preserve"> Everything the fog-zone design still has to define:</w:t>
      </w:r>
    </w:p>
    <w:p>
      <w:pPr>
        <w:pStyle w:val="ListParagraph"/>
        <w:numPr>
          <w:ilvl w:val="0"/>
          <w:numId w:val="7"/>
        </w:numPr>
      </w:pPr>
      <w:r>
        <w:t xml:space="preserve">☐ </w:t>
      </w:r>
      <w:r>
        <w:rPr>
          <w:b/>
        </w:rPr>
        <w:t xml:space="preserve">Mobility predictor:</w:t>
      </w:r>
      <w:r>
        <w:t xml:space="preserve"> supervised, not RL (the true future position is known afterwards). Start with motion math plus the road grid; keep it a swappable module; an LSTM/GRU only as an extension, and only with realistic traces, because random turns cannot be learned.</w:t>
      </w:r>
    </w:p>
    <w:p>
      <w:pPr>
        <w:pStyle w:val="ListParagraph"/>
        <w:numPr>
          <w:ilvl w:val="0"/>
          <w:numId w:val="7"/>
        </w:numPr>
      </w:pPr>
      <w:r>
        <w:t xml:space="preserve">☐ </w:t>
      </w:r>
      <w:r>
        <w:rPr>
          <w:b/>
        </w:rPr>
        <w:t xml:space="preserve">Boulders:</w:t>
      </w:r>
      <w:r>
        <w:t xml:space="preserve"> the TOF-Broker runs at the zone's entry, before the fog queue; boulders go straight to the cloud over the backhaul and never use fog CPU or queue.</w:t>
      </w:r>
    </w:p>
    <w:p>
      <w:pPr>
        <w:pStyle w:val="ListParagraph"/>
        <w:numPr>
          <w:ilvl w:val="0"/>
          <w:numId w:val="7"/>
        </w:numPr>
      </w:pPr>
      <w:r>
        <w:t xml:space="preserve">☐ </w:t>
      </w:r>
      <w:r>
        <w:rPr>
          <w:b/>
        </w:rPr>
        <w:t xml:space="preserve">Fog queue:</w:t>
      </w:r>
      <w:r>
        <w:t xml:space="preserve"> one queue per fog node (hard first, earliest deadline first, aging for soft tasks; FIFO as baseline), fed into fixed execution slots; its waiting time is part of latency; every zone's queue length is in the agent's state; a full queue is masked out of the action choices.</w:t>
      </w:r>
    </w:p>
    <w:p>
      <w:pPr>
        <w:pStyle w:val="ListParagraph"/>
        <w:numPr>
          <w:ilvl w:val="0"/>
          <w:numId w:val="7"/>
        </w:numPr>
      </w:pPr>
      <w:r>
        <w:t xml:space="preserve">☐ </w:t>
      </w:r>
      <w:r>
        <w:rPr>
          <w:b/>
        </w:rPr>
        <w:t xml:space="preserve">Fog-to-fog has two reasons:</w:t>
      </w:r>
      <w:r>
        <w:t xml:space="preserve"> the car is leaving (mobility) or this zone is busy and a neighbour is not (load balancing). Limit the choice to neighbouring zones and charge the backhaul transfer delay and energy.</w:t>
      </w:r>
    </w:p>
    <w:p>
      <w:pPr>
        <w:pStyle w:val="ListParagraph"/>
        <w:numPr>
          <w:ilvl w:val="0"/>
          <w:numId w:val="7"/>
        </w:numPr>
      </w:pPr>
      <w:r>
        <w:t xml:space="preserve">☐ </w:t>
      </w:r>
      <w:r>
        <w:rPr>
          <w:b/>
        </w:rPr>
        <w:t xml:space="preserve">Pebbles to the cloud:</w:t>
      </w:r>
      <w:r>
        <w:t xml:space="preserve"> keep the cloud as an agent action. The TOF split is static (by size); the agent is dynamic (by load).</w:t>
      </w:r>
    </w:p>
    <w:p>
      <w:pPr>
        <w:pStyle w:val="ListParagraph"/>
        <w:numPr>
          <w:ilvl w:val="0"/>
          <w:numId w:val="7"/>
        </w:numPr>
      </w:pPr>
      <w:r>
        <w:t xml:space="preserve">☒ </w:t>
      </w:r>
      <w:r>
        <w:rPr>
          <w:b/>
        </w:rPr>
        <w:t xml:space="preserve">Super task (aggregator): future work (decided 13 October).</w:t>
      </w:r>
      <w:r>
        <w:t xml:space="preserve"> Batching adds waiting time, and with deadlines around 33 ms plus a 50 to 200 ms cloud round trip, batched pebbles miss their deadlines. GPU micro-batching at the fog stays an open question.</w:t>
      </w:r>
    </w:p>
    <w:p>
      <w:pPr>
        <w:pStyle w:val="ListParagraph"/>
        <w:numPr>
          <w:ilvl w:val="0"/>
          <w:numId w:val="7"/>
        </w:numPr>
      </w:pPr>
      <w:r>
        <w:t xml:space="preserve">☐ </w:t>
      </w:r>
      <w:r>
        <w:rPr>
          <w:b/>
        </w:rPr>
        <w:t xml:space="preserve">Task types and deadlines:</w:t>
      </w:r>
      <w:r>
        <w:t xml:space="preserve"> define a task mix, for example per-frame object detection (tight, about 33 ms) versus map or analytics jobs (loose). The cloud can only serve loose-deadline tasks.</w:t>
      </w:r>
    </w:p>
    <w:p>
      <w:pPr>
        <w:pStyle w:val="ListParagraph"/>
        <w:numPr>
          <w:ilvl w:val="0"/>
          <w:numId w:val="7"/>
        </w:numPr>
      </w:pPr>
      <w:r>
        <w:t xml:space="preserve">☒ </w:t>
      </w:r>
      <w:r>
        <w:rPr>
          <w:b/>
        </w:rPr>
        <w:t xml:space="preserve">A task's steps are never split across zones (decided 13 October).</w:t>
      </w:r>
      <w:r>
        <w:t xml:space="preserve"> The whole task runs on one node; only its input moves. The DAG describes the work inside the task.</w:t>
      </w:r>
    </w:p>
    <w:p>
      <w:pPr>
        <w:pStyle w:val="ListParagraph"/>
        <w:numPr>
          <w:ilvl w:val="0"/>
          <w:numId w:val="7"/>
        </w:numPr>
      </w:pPr>
      <w:r>
        <w:t xml:space="preserve">☒ </w:t>
      </w:r>
      <w:r>
        <w:rPr>
          <w:b/>
        </w:rPr>
        <w:t xml:space="preserve">Late tasks: replaced by the hard/soft deadline rules (12 October).</w:t>
      </w:r>
      <w:r>
        <w:t xml:space="preserve"> Hard tasks are skipped or cancelled with a penalty; soft tasks are delivered late with a lateness penalty; failures are retried by the anchor (1 hard, 2 soft).</w:t>
      </w:r>
    </w:p>
    <w:p>
      <w:pPr>
        <w:pStyle w:val="ListParagraph"/>
        <w:numPr>
          <w:ilvl w:val="0"/>
          <w:numId w:val="7"/>
        </w:numPr>
      </w:pPr>
      <w:r>
        <w:t xml:space="preserve">☐ </w:t>
      </w:r>
      <w:r>
        <w:rPr>
          <w:b/>
        </w:rPr>
        <w:t xml:space="preserve">Backhaul:</w:t>
      </w:r>
      <w:r>
        <w:t xml:space="preserve"> define the links between zones and to the cloud (bandwidth, delay), including the queue on the cloud link.</w:t>
      </w:r>
    </w:p>
    <w:p>
      <w:pPr>
        <w:pStyle w:val="ListParagraph"/>
        <w:numPr>
          <w:ilvl w:val="0"/>
          <w:numId w:val="7"/>
        </w:numPr>
      </w:pPr>
      <w:r>
        <w:t xml:space="preserve">☐ </w:t>
      </w:r>
      <w:r>
        <w:rPr>
          <w:b/>
        </w:rPr>
        <w:t xml:space="preserve">State sharing:</w:t>
      </w:r>
      <w:r>
        <w:t xml:space="preserve"> how often zones broadcast their stats; old stats cause herding.</w:t>
      </w:r>
    </w:p>
    <w:p>
      <w:pPr>
        <w:pStyle w:val="ListParagraph"/>
        <w:numPr>
          <w:ilvl w:val="0"/>
          <w:numId w:val="7"/>
        </w:numPr>
      </w:pPr>
      <w:r>
        <w:t xml:space="preserve">☐ </w:t>
      </w:r>
      <w:r>
        <w:rPr>
          <w:b/>
        </w:rPr>
        <w:t xml:space="preserve">Whose energy:</w:t>
      </w:r>
      <w:r>
        <w:t xml:space="preserve"> car transmission energy plus fog and cloud compute energy; state it explicitly.</w:t>
      </w:r>
    </w:p>
    <w:p>
      <w:pPr>
        <w:pStyle w:val="ListParagraph"/>
        <w:numPr>
          <w:ilvl w:val="0"/>
          <w:numId w:val="7"/>
        </w:numPr>
      </w:pPr>
      <w:r>
        <w:t xml:space="preserve">☐ </w:t>
      </w:r>
      <w:r>
        <w:rPr>
          <w:b/>
        </w:rPr>
        <w:t xml:space="preserve">Training and deployment:</w:t>
      </w:r>
      <w:r>
        <w:t xml:space="preserve"> NSGA-II and pretraining from the knee-point expert (DQfD-style, proposed) offline in simulation, one network copied to every zone, then online fine-tuning.</w:t>
      </w:r>
    </w:p>
    <w:p>
      <w:pPr>
        <w:pStyle w:val="ListParagraph"/>
        <w:numPr>
          <w:ilvl w:val="0"/>
          <w:numId w:val="7"/>
        </w:numPr>
      </w:pPr>
      <w:r>
        <w:t xml:space="preserve">☐ </w:t>
      </w:r>
      <w:r>
        <w:rPr>
          <w:b/>
        </w:rPr>
        <w:t xml:space="preserve">Out of scope, one sentence each:</w:t>
      </w:r>
      <w:r>
        <w:t xml:space="preserve"> fog node failures, live migration of half-run tasks, cost as a third objective, the cloud super task (aggregator), splitting a task's steps across nodes, a full broker outage.</w:t>
      </w:r>
    </w:p>
    <w:p>
      <w:pPr/>
      <w:r>
        <w:rPr>
          <w:b/>
        </w:rPr>
        <w:t xml:space="preserve">Added 12 October (details in the architecture doc):</w:t>
      </w:r>
    </w:p>
    <w:p>
      <w:pPr>
        <w:pStyle w:val="ListParagraph"/>
        <w:numPr>
          <w:ilvl w:val="0"/>
          <w:numId w:val="8"/>
        </w:numPr>
      </w:pPr>
      <w:r>
        <w:t xml:space="preserve">☐ Simulator: anchor zone per task, GPS updates every 100 ms, every result published once by the node that ran the task (the anchor gets a copy); zone last will on zone/{id}/status.</w:t>
      </w:r>
    </w:p>
    <w:p>
      <w:pPr>
        <w:pStyle w:val="ListParagraph"/>
        <w:numPr>
          <w:ilvl w:val="0"/>
          <w:numId w:val="8"/>
        </w:numPr>
      </w:pPr>
      <w:r>
        <w:t xml:space="preserve">☐ Simulator: state copied to neighbours every 100 ms; experiment with 10 / 100 / 500 ms.</w:t>
      </w:r>
    </w:p>
    <w:p>
      <w:pPr>
        <w:pStyle w:val="ListParagraph"/>
        <w:numPr>
          <w:ilvl w:val="0"/>
          <w:numId w:val="8"/>
        </w:numPr>
      </w:pPr>
      <w:r>
        <w:t xml:space="preserve">☐ Simulator: hard and soft deadlines; coverage gaps and overlapping zones.</w:t>
      </w:r>
    </w:p>
    <w:p>
      <w:pPr>
        <w:pStyle w:val="ListParagraph"/>
        <w:numPr>
          <w:ilvl w:val="0"/>
          <w:numId w:val="8"/>
        </w:numPr>
      </w:pPr>
      <w:r>
        <w:t xml:space="preserve">☐ Workload: DAG generator plus 2–3 realistic applications; one placement per task, with the task's features (total work, critical-path work, input size, deadline) in the state.</w:t>
      </w:r>
    </w:p>
    <w:p>
      <w:pPr>
        <w:pStyle w:val="ListParagraph"/>
        <w:numPr>
          <w:ilvl w:val="0"/>
          <w:numId w:val="8"/>
        </w:numPr>
      </w:pPr>
      <w:r>
        <w:t xml:space="preserve">☐ City maps: a simple grid and a complex one, with traffic lights.</w:t>
      </w:r>
    </w:p>
    <w:p>
      <w:pPr>
        <w:pStyle w:val="ListParagraph"/>
        <w:numPr>
          <w:ilvl w:val="0"/>
          <w:numId w:val="8"/>
        </w:numPr>
      </w:pPr>
      <w:r>
        <w:t xml:space="preserve">☐ Phase 2: federated learning (FedAvg) with its ablation.</w:t>
      </w:r>
    </w:p>
    <w:p>
      <w:pPr>
        <w:pStyle w:val="ListParagraph"/>
        <w:numPr>
          <w:ilvl w:val="0"/>
          <w:numId w:val="9"/>
        </w:numPr>
      </w:pPr>
      <w:r>
        <w:t xml:space="preserve">☐ </w:t>
      </w:r>
      <w:r>
        <w:rPr>
          <w:b/>
        </w:rPr>
        <w:t xml:space="preserve">Simulator: build on the VFC paper's code (decided 9 October).</w:t>
      </w:r>
      <w:r>
        <w:t xml:space="preserve"> Add fog servers, energy, deadlines, tasks with internal steps, coverage zones and handoff, and the TOF split at the zone entry. Follow their code, not their equations, and check the repository license.</w:t>
      </w:r>
    </w:p>
    <w:p>
      <w:pPr>
        <w:pStyle w:val="Heading2"/>
      </w:pPr>
      <w:r>
        <w:t xml:space="preserve">Missing or wrong: delay model</w:t>
      </w:r>
    </w:p>
    <w:p>
      <w:pPr/>
      <w:r>
        <w:t xml:space="preserve">The most important gap in the whole paper is here: there is no queue waiting time, so the cloud can never get congested.</w:t>
      </w:r>
    </w:p>
    <w:p>
      <w:pPr>
        <w:pStyle w:val="ListParagraph"/>
        <w:numPr>
          <w:ilvl w:val="0"/>
          <w:numId w:val="10"/>
        </w:numPr>
      </w:pPr>
      <w:r>
        <w:t xml:space="preserve">☐ </w:t>
      </w:r>
      <w:r>
        <w:rPr>
          <w:b/>
        </w:rPr>
        <w:t xml:space="preserve">Add queue waiting time (resolved in the design by execution slots and the cloud-link queue; still to write in the new paper).</w:t>
      </w:r>
      <w:r>
        <w:t xml:space="preserve"> No latency formula has a waiting term, and the cloud has no load penalty. The supervisor's plan needs the cloud to collapse when traffic intensity passes 1, and with the current formulas that cannot happen. Add a queue on at least the link to the cloud and on each fog node.</w:t>
      </w:r>
    </w:p>
    <w:p>
      <w:pPr>
        <w:pStyle w:val="ListParagraph"/>
        <w:numPr>
          <w:ilvl w:val="0"/>
          <w:numId w:val="10"/>
        </w:numPr>
      </w:pPr>
      <w:r>
        <w:t xml:space="preserve">☐ </w:t>
      </w:r>
      <w:r>
        <w:rPr>
          <w:b/>
        </w:rPr>
        <w:t xml:space="preserve">Execution slots (decided 14 October).</w:t>
      </w:r>
      <w:r>
        <w:t xml:space="preserve"> Every node has a fixed number of execution slots; a task runs only when a slot is free and otherwise waits in the node's in-memory priority queue. This is how the queue waiting time above is produced in the simulator and the testbed. Verify with the M/M/1 test.</w:t>
      </w:r>
    </w:p>
    <w:p>
      <w:pPr>
        <w:pStyle w:val="ListParagraph"/>
        <w:numPr>
          <w:ilvl w:val="0"/>
          <w:numId w:val="10"/>
        </w:numPr>
      </w:pPr>
      <w:r>
        <w:t xml:space="preserve">☐ </w:t>
      </w:r>
      <w:r>
        <w:rPr>
          <w:b/>
        </w:rPr>
        <w:t xml:space="preserve">Cloud path skips the 5G upload (bug).</w:t>
      </w:r>
      <w:r>
        <w:t xml:space="preserve"> For a task sent to the cloud, latency is backbone + WAN + execution. The vehicle still has to upload over 5G first. Add the access time to the cloud case.</w:t>
      </w:r>
    </w:p>
    <w:p>
      <w:pPr>
        <w:pStyle w:val="ListParagraph"/>
        <w:numPr>
          <w:ilvl w:val="0"/>
          <w:numId w:val="10"/>
        </w:numPr>
      </w:pPr>
      <w:r>
        <w:t xml:space="preserve">☐ </w:t>
      </w:r>
      <w:r>
        <w:rPr>
          <w:b/>
        </w:rPr>
        <w:t xml:space="preserve">Answer going back is not counted.</w:t>
      </w:r>
      <w:r>
        <w:t xml:space="preserve"> Paper 1 counts the reply size. Add it, or write one sentence saying outputs are small enough to ignore.</w:t>
      </w:r>
    </w:p>
    <w:p>
      <w:pPr>
        <w:pStyle w:val="ListParagraph"/>
        <w:numPr>
          <w:ilvl w:val="0"/>
          <w:numId w:val="10"/>
        </w:numPr>
      </w:pPr>
      <w:r>
        <w:t xml:space="preserve">☐ </w:t>
      </w:r>
      <w:r>
        <w:rPr>
          <w:b/>
        </w:rPr>
        <w:t xml:space="preserve">Load does not grow with assignment.</w:t>
      </w:r>
      <w:r>
        <w:t xml:space="preserve"> Fog load is frozen during a batch, so 20 tasks on one fog cost the same as 1. The optimizer will pile everything on the least-loaded fog.</w:t>
      </w:r>
    </w:p>
    <w:p>
      <w:pPr>
        <w:pStyle w:val="Heading2"/>
      </w:pPr>
      <w:r>
        <w:t xml:space="preserve">Missing or wrong: energy model</w:t>
      </w:r>
    </w:p>
    <w:p>
      <w:pPr/>
      <w:r>
        <w:t xml:space="preserve">The energy model is simpler than Paper 1's. That is allowed, but each simplification needs one sentence of justification in the paper.</w:t>
      </w:r>
    </w:p>
    <w:p>
      <w:pPr>
        <w:pStyle w:val="ListParagraph"/>
        <w:numPr>
          <w:ilvl w:val="0"/>
          <w:numId w:val="11"/>
        </w:numPr>
      </w:pPr>
      <w:r>
        <w:t xml:space="preserve">☐ </w:t>
      </w:r>
      <w:r>
        <w:rPr>
          <w:b/>
        </w:rPr>
        <w:t xml:space="preserve">Storage energy is missing.</w:t>
      </w:r>
      <w:r>
        <w:t xml:space="preserve"> Paper 1 counts energy to store each byte. Add a term, or state that storage energy is folded into the compute constant κ.</w:t>
      </w:r>
    </w:p>
    <w:p>
      <w:pPr>
        <w:pStyle w:val="ListParagraph"/>
        <w:numPr>
          <w:ilvl w:val="0"/>
          <w:numId w:val="11"/>
        </w:numPr>
      </w:pPr>
      <w:r>
        <w:t xml:space="preserve">☐ </w:t>
      </w:r>
      <w:r>
        <w:rPr>
          <w:b/>
        </w:rPr>
        <w:t xml:space="preserve">Energy of the answer going back is missing.</w:t>
      </w:r>
      <w:r>
        <w:t xml:space="preserve"> Paper 1 counts it. Add it, or justify leaving it out.</w:t>
      </w:r>
    </w:p>
    <w:p>
      <w:pPr>
        <w:pStyle w:val="ListParagraph"/>
        <w:numPr>
          <w:ilvl w:val="0"/>
          <w:numId w:val="11"/>
        </w:numPr>
      </w:pPr>
      <w:r>
        <w:t xml:space="preserve">☐ </w:t>
      </w:r>
      <w:r>
        <w:rPr>
          <w:b/>
        </w:rPr>
        <w:t xml:space="preserve">Processing energy is one constant × MI.</w:t>
      </w:r>
      <w:r>
        <w:t xml:space="preserve"> Paper 1 uses idle and busy power × processing time. Proposed now: busy power × measured execution time, because execution time comes from the time table, which also matches Paper 1 more closely.</w:t>
      </w:r>
    </w:p>
    <w:p>
      <w:pPr>
        <w:pStyle w:val="ListParagraph"/>
        <w:numPr>
          <w:ilvl w:val="0"/>
          <w:numId w:val="11"/>
        </w:numPr>
      </w:pPr>
      <w:r>
        <w:t xml:space="preserve">☐ </w:t>
      </w:r>
      <w:r>
        <w:rPr>
          <w:b/>
        </w:rPr>
        <w:t xml:space="preserve">Upload energy ignores the receiving side.</w:t>
      </w:r>
      <w:r>
        <w:t xml:space="preserve"> Paper 1 also counts the fog's receiving cost. Justify or add.</w:t>
      </w:r>
    </w:p>
    <w:p>
      <w:pPr>
        <w:pStyle w:val="ListParagraph"/>
        <w:numPr>
          <w:ilvl w:val="0"/>
          <w:numId w:val="11"/>
        </w:numPr>
      </w:pPr>
      <w:r>
        <w:t xml:space="preserve">☐ </w:t>
      </w:r>
      <w:r>
        <w:rPr>
          <w:b/>
        </w:rPr>
        <w:t xml:space="preserve">Your α means something else than Paper 1's α.</w:t>
      </w:r>
      <w:r>
        <w:t xml:space="preserve"> Yours is a WAN energy penalty, theirs is the fraction of requests sent to the cloud. Rename yours to avoid confusion.</w:t>
      </w:r>
    </w:p>
    <w:p>
      <w:pPr>
        <w:pStyle w:val="Heading2"/>
      </w:pPr>
      <w:r>
        <w:t xml:space="preserve">Missing or wrong: the NSGA-II optimizer</w:t>
      </w:r>
    </w:p>
    <w:p>
      <w:pPr/>
      <w:r>
        <w:t xml:space="preserve">The skeleton is right; the problems are in how children are made and selected. These fixes now matter most: your main novelty is cloning the knee point, so a wrong optimizer means a wrong expert. Read the NSGA lesson first: after it, every item here will make sense.</w:t>
      </w:r>
    </w:p>
    <w:p>
      <w:pPr>
        <w:pStyle w:val="ListParagraph"/>
        <w:numPr>
          <w:ilvl w:val="0"/>
          <w:numId w:val="12"/>
        </w:numPr>
      </w:pPr>
      <w:r>
        <w:t xml:space="preserve">☐ </w:t>
      </w:r>
      <w:r>
        <w:rPr>
          <w:b/>
        </w:rPr>
        <w:t xml:space="preserve">Mutation does arithmetic on node IDs (bug).</w:t>
      </w:r>
      <w:r>
        <w:t xml:space="preserve"> r1 + F × (r2 − r3) on node labels means nothing: "fog 4 minus fog 1" is not a direction. Use a categorical operator, for example copy r2's gene where r2 and r3 disagree, otherwise keep r1's gene.</w:t>
      </w:r>
    </w:p>
    <w:p>
      <w:pPr>
        <w:pStyle w:val="ListParagraph"/>
        <w:numPr>
          <w:ilvl w:val="0"/>
          <w:numId w:val="12"/>
        </w:numPr>
      </w:pPr>
      <w:r>
        <w:t xml:space="preserve">☐ </w:t>
      </w:r>
      <w:r>
        <w:rPr>
          <w:b/>
        </w:rPr>
        <w:t xml:space="preserve">It is not MMDE.</w:t>
      </w:r>
      <w:r>
        <w:t xml:space="preserve"> What is written is plain DE with binomial crossover: no min-heap, no bottom-boosting, no partial regeneration. Decided 8 October: plain NSGA-II in pymoo, so MMDE is dropped and this item only needs one sentence in the rewrite.</w:t>
      </w:r>
    </w:p>
    <w:p>
      <w:pPr>
        <w:pStyle w:val="ListParagraph"/>
        <w:numPr>
          <w:ilvl w:val="0"/>
          <w:numId w:val="12"/>
        </w:numPr>
      </w:pPr>
      <w:r>
        <w:t xml:space="preserve">☐ </w:t>
      </w:r>
      <w:r>
        <w:rPr>
          <w:b/>
        </w:rPr>
        <w:t xml:space="preserve">Selection rule contradicts itself.</w:t>
      </w:r>
      <w:r>
        <w:t xml:space="preserve"> The text says "replace if not dominated", the formula says "replace if it dominates or equals", and the algorithm then merges and re-sorts again. Pick one scheme and write only that one.</w:t>
      </w:r>
    </w:p>
    <w:p>
      <w:pPr>
        <w:pStyle w:val="ListParagraph"/>
        <w:numPr>
          <w:ilvl w:val="0"/>
          <w:numId w:val="12"/>
        </w:numPr>
      </w:pPr>
      <w:r>
        <w:t xml:space="preserve">☐ </w:t>
      </w:r>
      <w:r>
        <w:rPr>
          <w:b/>
        </w:rPr>
        <w:t xml:space="preserve">No parent selection.</w:t>
      </w:r>
      <w:r>
        <w:t xml:space="preserve"> r1, r2, r3 are picked uniformly, so rank and crowding never decide who breeds. Add tournament selection.</w:t>
      </w:r>
    </w:p>
    <w:p>
      <w:pPr>
        <w:pStyle w:val="ListParagraph"/>
        <w:numPr>
          <w:ilvl w:val="0"/>
          <w:numId w:val="12"/>
        </w:numPr>
      </w:pPr>
      <w:r>
        <w:t xml:space="preserve">☐ </w:t>
      </w:r>
      <w:r>
        <w:rPr>
          <w:b/>
        </w:rPr>
        <w:t xml:space="preserve">No constraint handling.</w:t>
      </w:r>
      <w:r>
        <w:t xml:space="preserve"> Nothing says what happens to a plan that breaks a deadline or a fog capacity. State the rule: an infeasible plan always loses to a feasible one.</w:t>
      </w:r>
    </w:p>
    <w:p>
      <w:pPr>
        <w:pStyle w:val="ListParagraph"/>
        <w:numPr>
          <w:ilvl w:val="0"/>
          <w:numId w:val="12"/>
        </w:numPr>
      </w:pPr>
      <w:r>
        <w:t xml:space="preserve">☐ </w:t>
      </w:r>
      <w:r>
        <w:rPr>
          <w:b/>
        </w:rPr>
        <w:t xml:space="preserve">Latency objective does not match the problem.</w:t>
      </w:r>
      <w:r>
        <w:t xml:space="preserve"> Use one latency definition in both the problem and the optimizer: input transfer + queue wait + the critical path of the task's steps on the chosen node + result return.</w:t>
      </w:r>
    </w:p>
    <w:p>
      <w:pPr>
        <w:pStyle w:val="Heading2"/>
      </w:pPr>
      <w:r>
        <w:t xml:space="preserve">Wrong citations and inconsistencies</w:t>
      </w:r>
    </w:p>
    <w:p>
      <w:pPr/>
      <w:r>
        <w:t xml:space="preserve">These are quick text fixes, but a supervisor who has read Paper 1 will catch every one.</w:t>
      </w:r>
    </w:p>
    <w:p>
      <w:pPr>
        <w:pStyle w:val="ListParagraph"/>
        <w:numPr>
          <w:ilvl w:val="0"/>
          <w:numId w:val="13"/>
        </w:numPr>
      </w:pPr>
      <w:r>
        <w:t xml:space="preserve">☐ </w:t>
      </w:r>
      <w:r>
        <w:rPr>
          <w:b/>
        </w:rPr>
        <w:t xml:space="preserve">MMDE is credited as "proposed in [1]".</w:t>
      </w:r>
      <w:r>
        <w:t xml:space="preserve"> It was proposed by Qiu et al. (2017). Jafari &amp; Rezvani only used it.</w:t>
      </w:r>
    </w:p>
    <w:p>
      <w:pPr>
        <w:pStyle w:val="ListParagraph"/>
        <w:numPr>
          <w:ilvl w:val="0"/>
          <w:numId w:val="13"/>
        </w:numPr>
      </w:pPr>
      <w:r>
        <w:t xml:space="preserve">☐ </w:t>
      </w:r>
      <w:r>
        <w:rPr>
          <w:b/>
        </w:rPr>
        <w:t xml:space="preserve">"Consistent with Jafari and Rezvani" is false.</w:t>
      </w:r>
      <w:r>
        <w:t xml:space="preserve"> Their processing time has no load term. The load-aware version is your improvement: claim it as yours.</w:t>
      </w:r>
    </w:p>
    <w:p>
      <w:pPr>
        <w:pStyle w:val="ListParagraph"/>
        <w:numPr>
          <w:ilvl w:val="0"/>
          <w:numId w:val="13"/>
        </w:numPr>
      </w:pPr>
      <w:r>
        <w:t xml:space="preserve">☐ </w:t>
      </w:r>
      <w:r>
        <w:rPr>
          <w:b/>
        </w:rPr>
        <w:t xml:space="preserve">F = 0.5 and CR = 0.9 are cited to Jafari &amp; Rezvani.</w:t>
      </w:r>
      <w:r>
        <w:t xml:space="preserve"> Those values are not in their paper. Cite Qiu et al. (2017) or call them standard DE defaults.</w:t>
      </w:r>
    </w:p>
    <w:p>
      <w:pPr>
        <w:pStyle w:val="ListParagraph"/>
        <w:numPr>
          <w:ilvl w:val="0"/>
          <w:numId w:val="13"/>
        </w:numPr>
      </w:pPr>
      <w:r>
        <w:t xml:space="preserve">☐ </w:t>
      </w:r>
      <w:r>
        <w:rPr>
          <w:b/>
        </w:rPr>
        <w:t xml:space="preserve">"Standard NSGA-II uses polynomial mutation".</w:t>
      </w:r>
      <w:r>
        <w:t xml:space="preserve"> True in general, but Paper 1 uses swap mutation. Do not imply you replaced what they did.</w:t>
      </w:r>
    </w:p>
    <w:p>
      <w:pPr>
        <w:pStyle w:val="ListParagraph"/>
        <w:numPr>
          <w:ilvl w:val="0"/>
          <w:numId w:val="13"/>
        </w:numPr>
      </w:pPr>
      <w:r>
        <w:t xml:space="preserve">☐ </w:t>
      </w:r>
      <w:r>
        <w:rPr>
          <w:b/>
        </w:rPr>
        <w:t xml:space="preserve">State size is 11 in one place and 13 in others.</w:t>
      </w:r>
      <w:r>
        <w:t xml:space="preserve"> The state section says 11, but the parameter table says 13, the first network layer is written 256 × 13, and the two complexity numbers differ (35,776 and 36,288). The new design uses 48 inputs (proposed), so the rewrite replaces all of these.</w:t>
      </w:r>
    </w:p>
    <w:p>
      <w:pPr>
        <w:pStyle w:val="ListParagraph"/>
        <w:numPr>
          <w:ilvl w:val="0"/>
          <w:numId w:val="14"/>
        </w:numPr>
      </w:pPr>
      <w:r>
        <w:t xml:space="preserve">☐ </w:t>
      </w:r>
      <w:r>
        <w:rPr>
          <w:b/>
        </w:rPr>
        <w:t xml:space="preserve">Check who wrote reference [2].</w:t>
      </w:r>
      <w:r>
        <w:t xml:space="preserve"> Your paper cites it as Nouri &amp; Rezvani, J. Supercomputing 2024. Anara found the same title by Mokni &amp; Yassa, Research Square 2024 (Tof-NSGAII). Your TOF-Broker, EC threshold and Boulder/Pebble names come from this paper, so the authors and venue must be right.</w:t>
      </w:r>
    </w:p>
    <w:p>
      <w:pPr>
        <w:pStyle w:val="Heading2"/>
      </w:pPr>
      <w:r>
        <w:t xml:space="preserve">Supervisor's equation fixes</w:t>
      </w:r>
    </w:p>
    <w:p>
      <w:pPr/>
      <w:r>
        <w:t xml:space="preserve">His notes refer to the DSLAB2 report, which seems older than the methodology PDF. Two of his four fixes are already in the PDF.</w:t>
      </w:r>
    </w:p>
    <w:tbl>
      <w:tblPr>
        <w:tblStyle w:val="TableGrid"/>
        <w:tblW w:w="0" w:type="auto"/>
        <w:tblLayout w:type="fixed"/>
        <w:tblLook w:val="04A0" w:firstRow="1" w:lastRow="0" w:firstColumn="0" w:lastColumn="0" w:noHBand="0" w:noVBand="1"/>
      </w:tblPr>
      <w:tblGrid>
        <w:gridCol w:w="2904"/>
        <w:gridCol w:w="2699"/>
        <w:gridCol w:w="3757"/>
      </w:tblGrid>
      <w:tr>
        <w:trPr>
          <w:tblHeader/>
        </w:trPr>
        <w:tc>
          <w:tcPr>
            <w:tcW w:w="2904" w:type="dxa"/>
            <w:shd w:val="clear" w:color="auto" w:fill="F2F2F2"/>
          </w:tcPr>
          <w:p>
            <w:pPr/>
            <w:r>
              <w:t xml:space="preserve">Fix</w:t>
            </w:r>
          </w:p>
        </w:tc>
        <w:tc>
          <w:tcPr>
            <w:tcW w:w="2699" w:type="dxa"/>
            <w:shd w:val="clear" w:color="auto" w:fill="F2F2F2"/>
          </w:tcPr>
          <w:p>
            <w:pPr/>
            <w:r>
              <w:t xml:space="preserve">Status in the methodology PDF</w:t>
            </w:r>
          </w:p>
        </w:tc>
        <w:tc>
          <w:tcPr>
            <w:tcW w:w="3757" w:type="dxa"/>
            <w:shd w:val="clear" w:color="auto" w:fill="F2F2F2"/>
          </w:tcPr>
          <w:p>
            <w:pPr/>
            <w:r>
              <w:t xml:space="preserve">What to do</w:t>
            </w:r>
          </w:p>
        </w:tc>
      </w:tr>
      <w:tr>
        <w:tc>
          <w:tcPr>
            <w:tcW w:w="2904" w:type="dxa"/>
          </w:tcPr>
          <w:p>
            <w:pPr/>
            <w:r>
              <w:t xml:space="preserve">Double DQN: arg min should be arg max</w:t>
            </w:r>
          </w:p>
        </w:tc>
        <w:tc>
          <w:tcPr>
            <w:tcW w:w="2699" w:type="dxa"/>
          </w:tcPr>
          <w:p>
            <w:pPr/>
            <w:r>
              <w:t xml:space="preserve">The PDF uses plain DQN with max, so no arg min appears</w:t>
            </w:r>
          </w:p>
        </w:tc>
        <w:tc>
          <w:tcPr>
            <w:tcW w:w="3757" w:type="dxa"/>
          </w:tcPr>
          <w:p>
            <w:pPr/>
            <w:r>
              <w:t xml:space="preserve">Decided: D3QN (double + dueling), so arg max everywhere</w:t>
            </w:r>
          </w:p>
        </w:tc>
      </w:tr>
      <w:tr>
        <w:tc>
          <w:tcPr>
            <w:tcW w:w="2904" w:type="dxa"/>
          </w:tcPr>
          <w:p>
            <w:pPr/>
            <w:r>
              <w:t xml:space="preserve">TOF-Broker θ: say it is in seconds</w:t>
            </w:r>
          </w:p>
        </w:tc>
        <w:tc>
          <w:tcPr>
            <w:tcW w:w="2699" w:type="dxa"/>
          </w:tcPr>
          <w:p>
            <w:pPr/>
            <w:r>
              <w:t xml:space="preserve">The PDF already says seconds</w:t>
            </w:r>
          </w:p>
        </w:tc>
        <w:tc>
          <w:tcPr>
            <w:tcW w:w="3757" w:type="dxa"/>
          </w:tcPr>
          <w:p>
            <w:pPr/>
            <w:r>
              <w:t xml:space="preserve">Decided: compare against the deadline (execution time on the strongest fog class ≥ α × deadline); the value of α is still open</w:t>
            </w:r>
          </w:p>
        </w:tc>
      </w:tr>
      <w:tr>
        <w:tc>
          <w:tcPr>
            <w:tcW w:w="2904" w:type="dxa"/>
          </w:tcPr>
          <w:p>
            <w:pPr/>
            <w:r>
              <w:t xml:space="preserve">Zone exit time: infinity when not moving away</w:t>
            </w:r>
          </w:p>
        </w:tc>
        <w:tc>
          <w:tcPr>
            <w:tcW w:w="2699" w:type="dxa"/>
          </w:tcPr>
          <w:p>
            <w:pPr/>
            <w:r>
              <w:t xml:space="preserve">Already done</w:t>
            </w:r>
          </w:p>
        </w:tc>
        <w:tc>
          <w:tcPr>
            <w:tcW w:w="3757" w:type="dxa"/>
          </w:tcPr>
          <w:p>
            <w:pPr/>
            <w:r>
              <w:t xml:space="preserve">Nothing</w:t>
            </w:r>
          </w:p>
        </w:tc>
      </w:tr>
      <w:tr>
        <w:tc>
          <w:tcPr>
            <w:tcW w:w="2904" w:type="dxa"/>
          </w:tcPr>
          <w:p>
            <w:pPr/>
            <w:r>
              <w:t xml:space="preserve">Reward: all terms dimensionless</w:t>
            </w:r>
          </w:p>
        </w:tc>
        <w:tc>
          <w:tcPr>
            <w:tcW w:w="2699" w:type="dxa"/>
          </w:tcPr>
          <w:p>
            <w:pPr/>
            <w:r>
              <w:t xml:space="preserve">Already done</w:t>
            </w:r>
          </w:p>
        </w:tc>
        <w:tc>
          <w:tcPr>
            <w:tcW w:w="3757" w:type="dxa"/>
          </w:tcPr>
          <w:p>
            <w:pPr/>
            <w:r>
              <w:t xml:space="preserve">Nothing</w:t>
            </w:r>
          </w:p>
        </w:tc>
      </w:tr>
    </w:tbl>
    <w:p>
      <w:pPr/>
      <w:r>
        <w:rPr>
          <w:b/>
        </w:rPr>
        <w:t xml:space="preserve">Supervisor's review (28 September): status on 13 October</w:t>
      </w:r>
    </w:p>
    <w:tbl>
      <w:tblPr>
        <w:tblStyle w:val="TableGrid"/>
        <w:tblW w:w="0" w:type="auto"/>
        <w:tblLayout w:type="fixed"/>
        <w:tblLook w:val="04A0" w:firstRow="1" w:lastRow="0" w:firstColumn="0" w:lastColumn="0" w:noHBand="0" w:noVBand="1"/>
      </w:tblPr>
      <w:tblGrid>
        <w:gridCol w:w="2809"/>
        <w:gridCol w:w="2255"/>
        <w:gridCol w:w="4295"/>
      </w:tblGrid>
      <w:tr>
        <w:trPr>
          <w:tblHeader/>
        </w:trPr>
        <w:tc>
          <w:tcPr>
            <w:tcW w:w="2809" w:type="dxa"/>
            <w:shd w:val="clear" w:color="auto" w:fill="F2F2F2"/>
          </w:tcPr>
          <w:p>
            <w:pPr/>
            <w:r>
              <w:t xml:space="preserve">His point</w:t>
            </w:r>
          </w:p>
        </w:tc>
        <w:tc>
          <w:tcPr>
            <w:tcW w:w="2255" w:type="dxa"/>
            <w:shd w:val="clear" w:color="auto" w:fill="F2F2F2"/>
          </w:tcPr>
          <w:p>
            <w:pPr/>
            <w:r>
              <w:t xml:space="preserve">Status</w:t>
            </w:r>
          </w:p>
        </w:tc>
        <w:tc>
          <w:tcPr>
            <w:tcW w:w="4295" w:type="dxa"/>
            <w:shd w:val="clear" w:color="auto" w:fill="F2F2F2"/>
          </w:tcPr>
          <w:p>
            <w:pPr/>
            <w:r>
              <w:t xml:space="preserve">Where it is handled</w:t>
            </w:r>
          </w:p>
        </w:tc>
      </w:tr>
      <w:tr>
        <w:tc>
          <w:tcPr>
            <w:tcW w:w="2809" w:type="dxa"/>
          </w:tcPr>
          <w:p>
            <w:pPr/>
            <w:r>
              <w:t xml:space="preserve">Pareto collapse: only the minimum-latency solution was kept, but the reward includes energy</w:t>
            </w:r>
          </w:p>
        </w:tc>
        <w:tc>
          <w:tcPr>
            <w:tcW w:w="2255" w:type="dxa"/>
          </w:tcPr>
          <w:p>
            <w:pPr/>
            <w:r>
              <w:t xml:space="preserve">Fixed in the design</w:t>
            </w:r>
          </w:p>
        </w:tc>
        <w:tc>
          <w:tcPr>
            <w:tcW w:w="4295" w:type="dxa"/>
          </w:tcPr>
          <w:p>
            <w:pPr/>
            <w:r>
              <w:t xml:space="preserve">The expert is the knee point; reward weights w₁, w₂ come from the knee; the whole front is stored as (state, action, w)</w:t>
            </w:r>
          </w:p>
        </w:tc>
      </w:tr>
      <w:tr>
        <w:tc>
          <w:tcPr>
            <w:tcW w:w="2809" w:type="dxa"/>
          </w:tcPr>
          <w:p>
            <w:pPr/>
            <w:r>
              <w:t xml:space="preserve">The state sees only one fog node</w:t>
            </w:r>
          </w:p>
        </w:tc>
        <w:tc>
          <w:tcPr>
            <w:tcW w:w="2255" w:type="dxa"/>
          </w:tcPr>
          <w:p>
            <w:pPr/>
            <w:r>
              <w:t xml:space="preserve">Fixed in the design</w:t>
            </w:r>
          </w:p>
        </w:tc>
        <w:tc>
          <w:tcPr>
            <w:tcW w:w="4295" w:type="dxa"/>
          </w:tcPr>
          <w:p>
            <w:pPr/>
            <w:r>
              <w:t xml:space="preserve">State = own zone + all neighbours + cloud link + mobility prediction + task features (48 inputs, proposed)</w:t>
            </w:r>
          </w:p>
        </w:tc>
      </w:tr>
      <w:tr>
        <w:tc>
          <w:tcPr>
            <w:tcW w:w="2809" w:type="dxa"/>
          </w:tcPr>
          <w:p>
            <w:pPr/>
            <w:r>
              <w:t xml:space="preserve">Plain behavioral cloning drifts; the expert saw more than the agent</w:t>
            </w:r>
          </w:p>
        </w:tc>
        <w:tc>
          <w:tcPr>
            <w:tcW w:w="2255" w:type="dxa"/>
          </w:tcPr>
          <w:p>
            <w:pPr/>
            <w:r>
              <w:t xml:space="preserve">Half fixed</w:t>
            </w:r>
          </w:p>
        </w:tc>
        <w:tc>
          <w:tcPr>
            <w:tcW w:w="4295" w:type="dxa"/>
          </w:tcPr>
          <w:p>
            <w:pPr/>
            <w:r>
              <w:t xml:space="preserve">Online learning corrects drift; DQfD-style pretraining with a fading behavioral-cloning term is proposed; IQL as an ablation</w:t>
            </w:r>
          </w:p>
        </w:tc>
      </w:tr>
      <w:tr>
        <w:tc>
          <w:tcPr>
            <w:tcW w:w="2809" w:type="dxa"/>
          </w:tcPr>
          <w:p>
            <w:pPr/>
            <w:r>
              <w:t xml:space="preserve">DAG promised but not used</w:t>
            </w:r>
          </w:p>
        </w:tc>
        <w:tc>
          <w:tcPr>
            <w:tcW w:w="2255" w:type="dxa"/>
          </w:tcPr>
          <w:p>
            <w:pPr/>
            <w:r>
              <w:t xml:space="preserve">Fixed in the design</w:t>
            </w:r>
          </w:p>
        </w:tc>
        <w:tc>
          <w:tcPr>
            <w:tcW w:w="4295" w:type="dxa"/>
          </w:tcPr>
          <w:p>
            <w:pPr/>
            <w:r>
              <w:t xml:space="preserve">The DAG describes the work inside one task; its critical path is part of latency</w:t>
            </w:r>
          </w:p>
        </w:tc>
      </w:tr>
      <w:tr>
        <w:tc>
          <w:tcPr>
            <w:tcW w:w="2809" w:type="dxa"/>
          </w:tcPr>
          <w:p>
            <w:pPr/>
            <w:r>
              <w:t xml:space="preserve">T_exit is fragile</w:t>
            </w:r>
          </w:p>
        </w:tc>
        <w:tc>
          <w:tcPr>
            <w:tcW w:w="2255" w:type="dxa"/>
          </w:tcPr>
          <w:p>
            <w:pPr/>
            <w:r>
              <w:t xml:space="preserve">Fixed in the design</w:t>
            </w:r>
          </w:p>
        </w:tc>
        <w:tc>
          <w:tcPr>
            <w:tcW w:w="4295" w:type="dxa"/>
          </w:tcPr>
          <w:p>
            <w:pPr/>
            <w:r>
              <w:t xml:space="preserve">Predictor recomputed every GPS update, road grid, safety margin, T_exit = ∞ when not leaving</w:t>
            </w:r>
          </w:p>
        </w:tc>
      </w:tr>
      <w:tr>
        <w:tc>
          <w:tcPr>
            <w:tcW w:w="2809" w:type="dxa"/>
          </w:tcPr>
          <w:p>
            <w:pPr/>
            <w:r>
              <w:t xml:space="preserve">Where the TOF-Broker lives; fog-to-fog; queues; full fog</w:t>
            </w:r>
          </w:p>
        </w:tc>
        <w:tc>
          <w:tcPr>
            <w:tcW w:w="2255" w:type="dxa"/>
          </w:tcPr>
          <w:p>
            <w:pPr/>
            <w:r>
              <w:t xml:space="preserve">Fixed in the design</w:t>
            </w:r>
          </w:p>
        </w:tc>
        <w:tc>
          <w:tcPr>
            <w:tcW w:w="4295" w:type="dxa"/>
          </w:tcPr>
          <w:p>
            <w:pPr/>
            <w:r>
              <w:t xml:space="preserve">TOF at the zone entry; one queue per fog node; neighbour fog-to-fog; full or offline zones masked</w:t>
            </w:r>
          </w:p>
        </w:tc>
      </w:tr>
      <w:tr>
        <w:tc>
          <w:tcPr>
            <w:tcW w:w="2809" w:type="dxa"/>
          </w:tcPr>
          <w:p>
            <w:pPr/>
            <w:r>
              <w:t xml:space="preserve">Online evaluation metrics missing</w:t>
            </w:r>
          </w:p>
        </w:tc>
        <w:tc>
          <w:tcPr>
            <w:tcW w:w="2255" w:type="dxa"/>
          </w:tcPr>
          <w:p>
            <w:pPr/>
            <w:r>
              <w:t xml:space="preserve">Fixed in the design</w:t>
            </w:r>
          </w:p>
        </w:tc>
        <w:tc>
          <w:tcPr>
            <w:tcW w:w="4295" w:type="dxa"/>
          </w:tcPr>
          <w:p>
            <w:pPr/>
            <w:r>
              <w:t xml:space="preserve">On time / late / dropped / failed, latency, energy, handoff success, episodes to converge</w:t>
            </w:r>
          </w:p>
        </w:tc>
      </w:tr>
      <w:tr>
        <w:tc>
          <w:tcPr>
            <w:tcW w:w="2809" w:type="dxa"/>
          </w:tcPr>
          <w:p>
            <w:pPr/>
            <w:r>
              <w:t xml:space="preserve">arg max, θ in seconds, T_exit = ∞, dimensionless reward</w:t>
            </w:r>
          </w:p>
        </w:tc>
        <w:tc>
          <w:tcPr>
            <w:tcW w:w="2255" w:type="dxa"/>
          </w:tcPr>
          <w:p>
            <w:pPr/>
            <w:r>
              <w:t xml:space="preserve">Fixed in the design</w:t>
            </w:r>
          </w:p>
        </w:tc>
        <w:tc>
          <w:tcPr>
            <w:tcW w:w="4295" w:type="dxa"/>
          </w:tcPr>
          <w:p>
            <w:pPr/>
            <w:r>
              <w:t xml:space="preserve">Not yet written in the rewritten paper</w:t>
            </w:r>
          </w:p>
        </w:tc>
      </w:tr>
      <w:tr>
        <w:tc>
          <w:tcPr>
            <w:tcW w:w="2809" w:type="dxa"/>
          </w:tcPr>
          <w:p>
            <w:pPr/>
            <w:r>
              <w:t xml:space="preserve">Four verification tests (units, hand calculation, M/M/1, asserts)</w:t>
            </w:r>
          </w:p>
        </w:tc>
        <w:tc>
          <w:tcPr>
            <w:tcW w:w="2255" w:type="dxa"/>
          </w:tcPr>
          <w:p>
            <w:pPr/>
            <w:r>
              <w:t xml:space="preserve">Not done</w:t>
            </w:r>
          </w:p>
        </w:tc>
        <w:tc>
          <w:tcPr>
            <w:tcW w:w="4295" w:type="dxa"/>
          </w:tcPr>
          <w:p>
            <w:pPr/>
            <w:r>
              <w:t xml:space="preserve">Code, see Verification before experiments</w:t>
            </w:r>
          </w:p>
        </w:tc>
      </w:tr>
      <w:tr>
        <w:tc>
          <w:tcPr>
            <w:tcW w:w="2809" w:type="dxa"/>
          </w:tcPr>
          <w:p>
            <w:pPr/>
            <w:r>
              <w:t xml:space="preserve">Scenarios S1–S6 by traffic intensity, 5 seeds, 95% CI, worst 1%</w:t>
            </w:r>
          </w:p>
        </w:tc>
        <w:tc>
          <w:tcPr>
            <w:tcW w:w="2255" w:type="dxa"/>
          </w:tcPr>
          <w:p>
            <w:pPr/>
            <w:r>
              <w:t xml:space="preserve">Planned</w:t>
            </w:r>
          </w:p>
        </w:tc>
        <w:tc>
          <w:tcPr>
            <w:tcW w:w="4295" w:type="dxa"/>
          </w:tcPr>
          <w:p>
            <w:pPr/>
            <w:r>
              <w:t xml:space="preserve">See Experiments</w:t>
            </w:r>
          </w:p>
        </w:tc>
      </w:tr>
    </w:tbl>
    <w:p>
      <w:pPr>
        <w:pStyle w:val="ListParagraph"/>
        <w:numPr>
          <w:ilvl w:val="0"/>
          <w:numId w:val="15"/>
        </w:numPr>
      </w:pPr>
      <w:r>
        <w:t xml:space="preserve">☐ Make one single up-to-date version of the paper, so the report and the PDF stop disagreeing.</w:t>
      </w:r>
    </w:p>
    <w:p>
      <w:pPr>
        <w:pStyle w:val="ListParagraph"/>
        <w:numPr>
          <w:ilvl w:val="0"/>
          <w:numId w:val="15"/>
        </w:numPr>
      </w:pPr>
      <w:r>
        <w:t xml:space="preserve">☐ Decided 9 October: D3QN (double + dueling), the same family as QECO. Add an LSTM only if an experiment shows load history helps.</w:t>
      </w:r>
    </w:p>
    <w:p>
      <w:pPr>
        <w:pStyle w:val="Heading2"/>
      </w:pPr>
      <w:r>
        <w:t xml:space="preserve">Verification before experiments</w:t>
      </w:r>
    </w:p>
    <w:p>
      <w:pPr/>
      <w:r>
        <w:t xml:space="preserve">None of these exist yet. The supervisor wants all four passing before the big experiment; they go in the repo under tests/.</w:t>
      </w:r>
    </w:p>
    <w:p>
      <w:pPr>
        <w:pStyle w:val="ListParagraph"/>
        <w:numPr>
          <w:ilvl w:val="0"/>
          <w:numId w:val="16"/>
        </w:numPr>
      </w:pPr>
      <w:r>
        <w:t xml:space="preserve">☐ </w:t>
      </w:r>
      <w:r>
        <w:rPr>
          <w:b/>
        </w:rPr>
        <w:t xml:space="preserve">Units table.</w:t>
      </w:r>
      <w:r>
        <w:t xml:space="preserve"> Every symbol with its unit; every equation must balance.</w:t>
      </w:r>
    </w:p>
    <w:p>
      <w:pPr>
        <w:pStyle w:val="ListParagraph"/>
        <w:numPr>
          <w:ilvl w:val="0"/>
          <w:numId w:val="16"/>
        </w:numPr>
      </w:pPr>
      <w:r>
        <w:t xml:space="preserve">☐ </w:t>
      </w:r>
      <w:r>
        <w:rPr>
          <w:b/>
        </w:rPr>
        <w:t xml:space="preserve">Hand-calculation test.</w:t>
      </w:r>
      <w:r>
        <w:t xml:space="preserve"> One task, empty system, fixed numbers. Compute the delay on paper, run the simulator, results must match within 1%. Once per destination.</w:t>
      </w:r>
    </w:p>
    <w:p>
      <w:pPr>
        <w:pStyle w:val="ListParagraph"/>
        <w:numPr>
          <w:ilvl w:val="0"/>
          <w:numId w:val="16"/>
        </w:numPr>
      </w:pPr>
      <w:r>
        <w:t xml:space="preserve">☐ </w:t>
      </w:r>
      <w:r>
        <w:rPr>
          <w:b/>
        </w:rPr>
        <w:t xml:space="preserve">Queueing test.</w:t>
      </w:r>
      <w:r>
        <w:t xml:space="preserve"> Set one node up as an M/M/1 queue. The simulated mean waiting time must match W = λ ÷ (μ(μ − λ)). Needs the queue waiting time from the delay section first.</w:t>
      </w:r>
    </w:p>
    <w:p>
      <w:pPr>
        <w:pStyle w:val="ListParagraph"/>
        <w:numPr>
          <w:ilvl w:val="0"/>
          <w:numId w:val="16"/>
        </w:numPr>
      </w:pPr>
      <w:r>
        <w:t xml:space="preserve">☐ </w:t>
      </w:r>
      <w:r>
        <w:rPr>
          <w:b/>
        </w:rPr>
        <w:t xml:space="preserve">Sanity asserts in the code.</w:t>
      </w:r>
      <w:r>
        <w:t xml:space="preserve"> No negative delays, total delay = sum of its parts, energy ≥ 0, feasibility between 0 and 1.</w:t>
      </w:r>
    </w:p>
    <w:p>
      <w:pPr>
        <w:pStyle w:val="Heading2"/>
      </w:pPr>
      <w:r>
        <w:t xml:space="preserve">Experiments: baselines and scenarios</w:t>
      </w:r>
    </w:p>
    <w:p>
      <w:pPr/>
      <w:r>
        <w:t xml:space="preserve">Nothing here exists yet; it all comes from the supervisor's plan and starts after the fixes above.</w:t>
      </w:r>
    </w:p>
    <w:tbl>
      <w:tblPr>
        <w:tblStyle w:val="TableGrid"/>
        <w:tblW w:w="0" w:type="auto"/>
        <w:tblLayout w:type="fixed"/>
        <w:tblLook w:val="04A0" w:firstRow="1" w:lastRow="0" w:firstColumn="0" w:lastColumn="0" w:noHBand="0" w:noVBand="1"/>
      </w:tblPr>
      <w:tblGrid>
        <w:gridCol w:w="2243"/>
        <w:gridCol w:w="3208"/>
        <w:gridCol w:w="3909"/>
      </w:tblGrid>
      <w:tr>
        <w:trPr>
          <w:tblHeader/>
        </w:trPr>
        <w:tc>
          <w:tcPr>
            <w:tcW w:w="2243" w:type="dxa"/>
            <w:shd w:val="clear" w:color="auto" w:fill="F2F2F2"/>
          </w:tcPr>
          <w:p>
            <w:pPr/>
            <w:r>
              <w:t xml:space="preserve">Baseline</w:t>
            </w:r>
          </w:p>
        </w:tc>
        <w:tc>
          <w:tcPr>
            <w:tcW w:w="3208" w:type="dxa"/>
            <w:shd w:val="clear" w:color="auto" w:fill="F2F2F2"/>
          </w:tcPr>
          <w:p>
            <w:pPr/>
            <w:r>
              <w:t xml:space="preserve">Why</w:t>
            </w:r>
          </w:p>
        </w:tc>
        <w:tc>
          <w:tcPr>
            <w:tcW w:w="3909" w:type="dxa"/>
            <w:shd w:val="clear" w:color="auto" w:fill="F2F2F2"/>
          </w:tcPr>
          <w:p>
            <w:pPr/>
            <w:r>
              <w:t xml:space="preserve">Note</w:t>
            </w:r>
          </w:p>
        </w:tc>
      </w:tr>
      <w:tr>
        <w:tc>
          <w:tcPr>
            <w:tcW w:w="2243" w:type="dxa"/>
          </w:tcPr>
          <w:p>
            <w:pPr/>
            <w:r>
              <w:t xml:space="preserve">VFC paper, PPO agent</w:t>
            </w:r>
          </w:p>
        </w:tc>
        <w:tc>
          <w:tcPr>
            <w:tcW w:w="3208" w:type="dxa"/>
          </w:tcPr>
          <w:p>
            <w:pPr/>
            <w:r>
              <w:t xml:space="preserve">Open-source vehicular environment</w:t>
            </w:r>
          </w:p>
        </w:tc>
        <w:tc>
          <w:tcPr>
            <w:tcW w:w="3909" w:type="dxa"/>
          </w:tcPr>
          <w:p>
            <w:pPr/>
            <w:r>
              <w:t xml:space="preserve">Follow its code, not its equations (3 errors found). Delay only, so no energy claims against it</w:t>
            </w:r>
          </w:p>
        </w:tc>
      </w:tr>
      <w:tr>
        <w:tc>
          <w:tcPr>
            <w:tcW w:w="2243" w:type="dxa"/>
          </w:tcPr>
          <w:p>
            <w:pPr/>
            <w:r>
              <w:t xml:space="preserve">DQN for MEC (Tang &amp; Wong, mingt2019)</w:t>
            </w:r>
          </w:p>
        </w:tc>
        <w:tc>
          <w:tcPr>
            <w:tcW w:w="3208" w:type="dxa"/>
          </w:tcPr>
          <w:p>
            <w:pPr/>
            <w:r>
              <w:t xml:space="preserve">Well-known DQN offloading agent</w:t>
            </w:r>
          </w:p>
        </w:tc>
        <w:tc>
          <w:tcPr>
            <w:tcW w:w="3909" w:type="dxa"/>
          </w:tcPr>
          <w:p>
            <w:pPr/>
            <w:r>
              <w:t xml:space="preserve">Uses LSTM + dueling + double DQN, so it is not the same architecture as yours</w:t>
            </w:r>
          </w:p>
        </w:tc>
      </w:tr>
      <w:tr>
        <w:tc>
          <w:tcPr>
            <w:tcW w:w="2243" w:type="dxa"/>
          </w:tcPr>
          <w:p>
            <w:pPr/>
            <w:r>
              <w:t xml:space="preserve">QECO</w:t>
            </w:r>
          </w:p>
        </w:tc>
        <w:tc>
          <w:tcPr>
            <w:tcW w:w="3208" w:type="dxa"/>
          </w:tcPr>
          <w:p>
            <w:pPr/>
            <w:r>
              <w:t xml:space="preserve">The only baseline that also cares about energy</w:t>
            </w:r>
          </w:p>
        </w:tc>
        <w:tc>
          <w:tcPr>
            <w:tcW w:w="3909" w:type="dxa"/>
          </w:tcPr>
          <w:p>
            <w:pPr/>
            <w:r>
              <w:t xml:space="preserve">Main opponent on the energy axis</w:t>
            </w:r>
          </w:p>
        </w:tc>
      </w:tr>
      <w:tr>
        <w:tc>
          <w:tcPr>
            <w:tcW w:w="2243" w:type="dxa"/>
          </w:tcPr>
          <w:p>
            <w:pPr/>
            <w:r>
              <w:t xml:space="preserve">D3QN without pretraining</w:t>
            </w:r>
          </w:p>
        </w:tc>
        <w:tc>
          <w:tcPr>
            <w:tcW w:w="3208" w:type="dxa"/>
          </w:tcPr>
          <w:p>
            <w:pPr/>
            <w:r>
              <w:t xml:space="preserve">Shows what pretraining adds</w:t>
            </w:r>
          </w:p>
        </w:tc>
        <w:tc>
          <w:tcPr>
            <w:tcW w:w="3909" w:type="dxa"/>
          </w:tcPr>
          <w:p>
            <w:pPr/>
            <w:r>
              <w:t xml:space="preserve">Your own agent, random start</w:t>
            </w:r>
          </w:p>
        </w:tc>
      </w:tr>
      <w:tr>
        <w:tc>
          <w:tcPr>
            <w:tcW w:w="2243" w:type="dxa"/>
          </w:tcPr>
          <w:p>
            <w:pPr/>
            <w:r>
              <w:t xml:space="preserve">D3QN pretrained from a simple expert (for example greedy)</w:t>
            </w:r>
          </w:p>
        </w:tc>
        <w:tc>
          <w:tcPr>
            <w:tcW w:w="3208" w:type="dxa"/>
          </w:tcPr>
          <w:p>
            <w:pPr/>
            <w:r>
              <w:t xml:space="preserve">Shows that the knee point is a better expert than a simple rule, which is your novelty claim</w:t>
            </w:r>
          </w:p>
        </w:tc>
        <w:tc>
          <w:tcPr>
            <w:tcW w:w="3909" w:type="dxa"/>
          </w:tcPr>
          <w:p>
            <w:pPr/>
            <w:r>
              <w:t xml:space="preserve">Same agent and training budget; only the expert changes</w:t>
            </w:r>
          </w:p>
        </w:tc>
      </w:tr>
    </w:tbl>
    <w:p>
      <w:pPr/>
      <w:r>
        <w:t xml:space="preserve">Scenarios, designed by load (traffic intensity TI), not by number of cars:</w:t>
      </w:r>
    </w:p>
    <w:tbl>
      <w:tblPr>
        <w:tblStyle w:val="TableGrid"/>
        <w:tblW w:w="0" w:type="auto"/>
        <w:tblLayout w:type="fixed"/>
        <w:tblLook w:val="04A0" w:firstRow="1" w:lastRow="0" w:firstColumn="0" w:lastColumn="0" w:noHBand="0" w:noVBand="1"/>
      </w:tblPr>
      <w:tblGrid>
        <w:gridCol w:w="1753"/>
        <w:gridCol w:w="1224"/>
        <w:gridCol w:w="1265"/>
        <w:gridCol w:w="1114"/>
        <w:gridCol w:w="4003"/>
      </w:tblGrid>
      <w:tr>
        <w:trPr>
          <w:tblHeader/>
        </w:trPr>
        <w:tc>
          <w:tcPr>
            <w:tcW w:w="1753" w:type="dxa"/>
            <w:shd w:val="clear" w:color="auto" w:fill="F2F2F2"/>
          </w:tcPr>
          <w:p>
            <w:pPr/>
            <w:r>
              <w:t xml:space="preserve">Scenario</w:t>
            </w:r>
          </w:p>
        </w:tc>
        <w:tc>
          <w:tcPr>
            <w:tcW w:w="1224" w:type="dxa"/>
            <w:shd w:val="clear" w:color="auto" w:fill="F2F2F2"/>
          </w:tcPr>
          <w:p>
            <w:pPr/>
            <w:r>
              <w:t xml:space="preserve">Load (TI)</w:t>
            </w:r>
          </w:p>
        </w:tc>
        <w:tc>
          <w:tcPr>
            <w:tcW w:w="1265" w:type="dxa"/>
            <w:shd w:val="clear" w:color="auto" w:fill="F2F2F2"/>
          </w:tcPr>
          <w:p>
            <w:pPr/>
            <w:r>
              <w:t xml:space="preserve">Deadlines</w:t>
            </w:r>
          </w:p>
        </w:tc>
        <w:tc>
          <w:tcPr>
            <w:tcW w:w="1114" w:type="dxa"/>
            <w:shd w:val="clear" w:color="auto" w:fill="F2F2F2"/>
          </w:tcPr>
          <w:p>
            <w:pPr/>
            <w:r>
              <w:t xml:space="preserve">Mobility</w:t>
            </w:r>
          </w:p>
        </w:tc>
        <w:tc>
          <w:tcPr>
            <w:tcW w:w="4003" w:type="dxa"/>
            <w:shd w:val="clear" w:color="auto" w:fill="F2F2F2"/>
          </w:tcPr>
          <w:p>
            <w:pPr/>
            <w:r>
              <w:t xml:space="preserve">Shows</w:t>
            </w:r>
          </w:p>
        </w:tc>
      </w:tr>
      <w:tr>
        <w:tc>
          <w:tcPr>
            <w:tcW w:w="1753" w:type="dxa"/>
          </w:tcPr>
          <w:p>
            <w:pPr/>
            <w:r>
              <w:t xml:space="preserve">S1 Light</w:t>
            </w:r>
          </w:p>
        </w:tc>
        <w:tc>
          <w:tcPr>
            <w:tcW w:w="1224" w:type="dxa"/>
          </w:tcPr>
          <w:p>
            <w:pPr/>
            <w:r>
              <w:t xml:space="preserve">about 0.5</w:t>
            </w:r>
          </w:p>
        </w:tc>
        <w:tc>
          <w:tcPr>
            <w:tcW w:w="1265" w:type="dxa"/>
          </w:tcPr>
          <w:p>
            <w:pPr/>
            <w:r>
              <w:t xml:space="preserve">Loose</w:t>
            </w:r>
          </w:p>
        </w:tc>
        <w:tc>
          <w:tcPr>
            <w:tcW w:w="1114" w:type="dxa"/>
          </w:tcPr>
          <w:p>
            <w:pPr/>
            <w:r>
              <w:t xml:space="preserve">Low</w:t>
            </w:r>
          </w:p>
        </w:tc>
        <w:tc>
          <w:tcPr>
            <w:tcW w:w="4003" w:type="dxa"/>
          </w:tcPr>
          <w:p>
            <w:pPr/>
            <w:r>
              <w:t xml:space="preserve">Sanity: everyone works</w:t>
            </w:r>
          </w:p>
        </w:tc>
      </w:tr>
      <w:tr>
        <w:tc>
          <w:tcPr>
            <w:tcW w:w="1753" w:type="dxa"/>
          </w:tcPr>
          <w:p>
            <w:pPr/>
            <w:r>
              <w:t xml:space="preserve">S2 Critical</w:t>
            </w:r>
          </w:p>
        </w:tc>
        <w:tc>
          <w:tcPr>
            <w:tcW w:w="1224" w:type="dxa"/>
          </w:tcPr>
          <w:p>
            <w:pPr/>
            <w:r>
              <w:t xml:space="preserve">about 0.9</w:t>
            </w:r>
          </w:p>
        </w:tc>
        <w:tc>
          <w:tcPr>
            <w:tcW w:w="1265" w:type="dxa"/>
          </w:tcPr>
          <w:p>
            <w:pPr/>
            <w:r>
              <w:t xml:space="preserve">Loose</w:t>
            </w:r>
          </w:p>
        </w:tc>
        <w:tc>
          <w:tcPr>
            <w:tcW w:w="1114" w:type="dxa"/>
          </w:tcPr>
          <w:p>
            <w:pPr/>
            <w:r>
              <w:t xml:space="preserve">Low</w:t>
            </w:r>
          </w:p>
        </w:tc>
        <w:tc>
          <w:tcPr>
            <w:tcW w:w="4003" w:type="dxa"/>
          </w:tcPr>
          <w:p>
            <w:pPr/>
            <w:r>
              <w:t xml:space="preserve">Queues start to matter</w:t>
            </w:r>
          </w:p>
        </w:tc>
      </w:tr>
      <w:tr>
        <w:tc>
          <w:tcPr>
            <w:tcW w:w="1753" w:type="dxa"/>
          </w:tcPr>
          <w:p>
            <w:pPr/>
            <w:r>
              <w:t xml:space="preserve">S3 Overload</w:t>
            </w:r>
          </w:p>
        </w:tc>
        <w:tc>
          <w:tcPr>
            <w:tcW w:w="1224" w:type="dxa"/>
          </w:tcPr>
          <w:p>
            <w:pPr/>
            <w:r>
              <w:t xml:space="preserve">1.5 to 2</w:t>
            </w:r>
          </w:p>
        </w:tc>
        <w:tc>
          <w:tcPr>
            <w:tcW w:w="1265" w:type="dxa"/>
          </w:tcPr>
          <w:p>
            <w:pPr/>
            <w:r>
              <w:t xml:space="preserve">Loose</w:t>
            </w:r>
          </w:p>
        </w:tc>
        <w:tc>
          <w:tcPr>
            <w:tcW w:w="1114" w:type="dxa"/>
          </w:tcPr>
          <w:p>
            <w:pPr/>
            <w:r>
              <w:t xml:space="preserve">Low</w:t>
            </w:r>
          </w:p>
        </w:tc>
        <w:tc>
          <w:tcPr>
            <w:tcW w:w="4003" w:type="dxa"/>
          </w:tcPr>
          <w:p>
            <w:pPr/>
            <w:r>
              <w:t xml:space="preserve">Cloud congests (its link queue grows without limit), as in the VFC paper</w:t>
            </w:r>
          </w:p>
        </w:tc>
      </w:tr>
      <w:tr>
        <w:tc>
          <w:tcPr>
            <w:tcW w:w="1753" w:type="dxa"/>
          </w:tcPr>
          <w:p>
            <w:pPr/>
            <w:r>
              <w:t xml:space="preserve">S4 Tight deadlines</w:t>
            </w:r>
          </w:p>
        </w:tc>
        <w:tc>
          <w:tcPr>
            <w:tcW w:w="1224" w:type="dxa"/>
          </w:tcPr>
          <w:p>
            <w:pPr/>
            <w:r>
              <w:t xml:space="preserve">about 0.9</w:t>
            </w:r>
          </w:p>
        </w:tc>
        <w:tc>
          <w:tcPr>
            <w:tcW w:w="1265" w:type="dxa"/>
          </w:tcPr>
          <w:p>
            <w:pPr/>
            <w:r>
              <w:t xml:space="preserve">Tight</w:t>
            </w:r>
          </w:p>
        </w:tc>
        <w:tc>
          <w:tcPr>
            <w:tcW w:w="1114" w:type="dxa"/>
          </w:tcPr>
          <w:p>
            <w:pPr/>
            <w:r>
              <w:t xml:space="preserve">Low</w:t>
            </w:r>
          </w:p>
        </w:tc>
        <w:tc>
          <w:tcPr>
            <w:tcW w:w="4003" w:type="dxa"/>
          </w:tcPr>
          <w:p>
            <w:pPr/>
            <w:r>
              <w:t xml:space="preserve">Feasibility separates methods</w:t>
            </w:r>
          </w:p>
        </w:tc>
      </w:tr>
      <w:tr>
        <w:tc>
          <w:tcPr>
            <w:tcW w:w="1753" w:type="dxa"/>
          </w:tcPr>
          <w:p>
            <w:pPr/>
            <w:r>
              <w:t xml:space="preserve">S5 High mobility</w:t>
            </w:r>
          </w:p>
        </w:tc>
        <w:tc>
          <w:tcPr>
            <w:tcW w:w="1224" w:type="dxa"/>
          </w:tcPr>
          <w:p>
            <w:pPr/>
            <w:r>
              <w:t xml:space="preserve">about 0.9</w:t>
            </w:r>
          </w:p>
        </w:tc>
        <w:tc>
          <w:tcPr>
            <w:tcW w:w="1265" w:type="dxa"/>
          </w:tcPr>
          <w:p>
            <w:pPr/>
            <w:r>
              <w:t xml:space="preserve">Tight</w:t>
            </w:r>
          </w:p>
        </w:tc>
        <w:tc>
          <w:tcPr>
            <w:tcW w:w="1114" w:type="dxa"/>
          </w:tcPr>
          <w:p>
            <w:pPr/>
            <w:r>
              <w:t xml:space="preserve">High</w:t>
            </w:r>
          </w:p>
        </w:tc>
        <w:tc>
          <w:tcPr>
            <w:tcW w:w="4003" w:type="dxa"/>
          </w:tcPr>
          <w:p>
            <w:pPr/>
            <w:r>
              <w:t xml:space="preserve">Handoff component earns its place</w:t>
            </w:r>
          </w:p>
        </w:tc>
      </w:tr>
      <w:tr>
        <w:tc>
          <w:tcPr>
            <w:tcW w:w="1753" w:type="dxa"/>
          </w:tcPr>
          <w:p>
            <w:pPr/>
            <w:r>
              <w:t xml:space="preserve">S6 Mixed fog</w:t>
            </w:r>
          </w:p>
        </w:tc>
        <w:tc>
          <w:tcPr>
            <w:tcW w:w="1224" w:type="dxa"/>
          </w:tcPr>
          <w:p>
            <w:pPr/>
            <w:r>
              <w:t xml:space="preserve">about 0.9</w:t>
            </w:r>
          </w:p>
        </w:tc>
        <w:tc>
          <w:tcPr>
            <w:tcW w:w="1265" w:type="dxa"/>
          </w:tcPr>
          <w:p>
            <w:pPr/>
            <w:r>
              <w:t xml:space="preserve">Tight</w:t>
            </w:r>
          </w:p>
        </w:tc>
        <w:tc>
          <w:tcPr>
            <w:tcW w:w="1114" w:type="dxa"/>
          </w:tcPr>
          <w:p>
            <w:pPr/>
            <w:r>
              <w:t xml:space="preserve">Low</w:t>
            </w:r>
          </w:p>
        </w:tc>
        <w:tc>
          <w:tcPr>
            <w:tcW w:w="4003" w:type="dxa"/>
          </w:tcPr>
          <w:p>
            <w:pPr/>
            <w:r>
              <w:t xml:space="preserve">Placement intelligence matters</w:t>
            </w:r>
          </w:p>
        </w:tc>
      </w:tr>
    </w:tbl>
    <w:p>
      <w:pPr/>
      <w:r>
        <w:t xml:space="preserve">5 seeds per scenario and method; report mean ± 95% confidence interval and the worst 1% latency. Run S1 to S3 first; if the cloud does not collapse in S3, stop and debug the queueing.</w:t>
      </w:r>
    </w:p>
    <w:p>
      <w:pPr>
        <w:pStyle w:val="Heading2"/>
      </w:pPr>
      <w:r>
        <w:t xml:space="preserve">Design holes (18 October)</w:t>
      </w:r>
    </w:p>
    <w:p>
      <w:pPr/>
      <w:r>
        <w:t xml:space="preserve">Cases the design does not handle yet. Fix these, and agree on them, before the final PCNME document and before coding.</w:t>
      </w:r>
    </w:p>
    <w:p>
      <w:pPr/>
      <w:r>
        <w:rPr>
          <w:b/>
        </w:rPr>
        <w:t xml:space="preserve">Must fix before coding</w:t>
      </w:r>
    </w:p>
    <w:p>
      <w:pPr>
        <w:pStyle w:val="ListParagraph"/>
        <w:numPr>
          <w:ilvl w:val="0"/>
          <w:numId w:val="17"/>
        </w:numPr>
      </w:pPr>
      <w:r>
        <w:t xml:space="preserve">☐ </w:t>
      </w:r>
      <w:r>
        <w:rPr>
          <w:b/>
        </w:rPr>
        <w:t xml:space="preserve">1. Cancelling a task on another node.</w:t>
      </w:r>
      <w:r>
        <w:t xml:space="preserve"> When a hard task's deadline passes, the anchor cancels it, but nothing tells the node running it. Proposed fix: the work notice carries deadline_at; every node enforces it itself (skips or stops a hard task past its deadline); the anchor uses its own timer.</w:t>
      </w:r>
    </w:p>
    <w:p>
      <w:pPr>
        <w:pStyle w:val="ListParagraph"/>
        <w:numPr>
          <w:ilvl w:val="0"/>
          <w:numId w:val="17"/>
        </w:numPr>
      </w:pPr>
      <w:r>
        <w:t xml:space="preserve">☐ </w:t>
      </w:r>
      <w:r>
        <w:rPr>
          <w:b/>
        </w:rPr>
        <w:t xml:space="preserve">2. Detecting a lost or failed task.</w:t>
      </w:r>
      <w:r>
        <w:t xml:space="preserve"> The anchor has no timeout rule, so it never knows when to retry. Proposed fix: timer = expected finish + margin; on timeout, retry (C14); every attempt has a number, and late duplicates are ignored by task id.</w:t>
      </w:r>
    </w:p>
    <w:p>
      <w:pPr>
        <w:pStyle w:val="ListParagraph"/>
        <w:numPr>
          <w:ilvl w:val="0"/>
          <w:numId w:val="17"/>
        </w:numPr>
      </w:pPr>
      <w:r>
        <w:t xml:space="preserve">☐ </w:t>
      </w:r>
      <w:r>
        <w:rPr>
          <w:b/>
        </w:rPr>
        <w:t xml:space="preserve">3. A task arrives at a full queue.</w:t>
      </w:r>
      <w:r>
        <w:t xml:space="preserve"> The neighbour's state was a little old, or several zones picked it at once (herding). Proposed fix: the target refuses; the anchor treats it as a failure and retries elsewhere, or runs it locally if time allows.</w:t>
      </w:r>
    </w:p>
    <w:p>
      <w:pPr>
        <w:pStyle w:val="ListParagraph"/>
        <w:numPr>
          <w:ilvl w:val="0"/>
          <w:numId w:val="17"/>
        </w:numPr>
      </w:pPr>
      <w:r>
        <w:t xml:space="preserve">☐ </w:t>
      </w:r>
      <w:r>
        <w:rPr>
          <w:b/>
        </w:rPr>
        <w:t xml:space="preserve">4. The RL step is not defined.</w:t>
      </w:r>
      <w:r>
        <w:t xml:space="preserve"> What is the "next state" after a task, and is each task a one-step episode? Proposed fix: next state = the state at the same zone's next pebble decision, γ = 0.9, as in Tang &amp; Wong and QECO.</w:t>
      </w:r>
    </w:p>
    <w:p>
      <w:pPr>
        <w:pStyle w:val="ListParagraph"/>
        <w:numPr>
          <w:ilvl w:val="0"/>
          <w:numId w:val="17"/>
        </w:numPr>
      </w:pPr>
      <w:r>
        <w:t xml:space="preserve">☐ </w:t>
      </w:r>
      <w:r>
        <w:rPr>
          <w:b/>
        </w:rPr>
        <w:t xml:space="preserve">5. Turning NSGA-II plans into training data.</w:t>
      </w:r>
      <w:r>
        <w:t xml:space="preserve"> NSGA-II plans a batch with full knowledge; how a plan becomes (48 inputs, action) pairs is not defined. Proposed fix: replay each plan in fast mode and record the agent's inputs at the moment each task is placed.</w:t>
      </w:r>
    </w:p>
    <w:p>
      <w:pPr>
        <w:pStyle w:val="ListParagraph"/>
        <w:numPr>
          <w:ilvl w:val="0"/>
          <w:numId w:val="17"/>
        </w:numPr>
      </w:pPr>
      <w:r>
        <w:t xml:space="preserve">☐ </w:t>
      </w:r>
      <w:r>
        <w:rPr>
          <w:b/>
        </w:rPr>
        <w:t xml:space="preserve">6. What fast mode is exactly.</w:t>
      </w:r>
      <w:r>
        <w:t xml:space="preserve"> One place says "same zone code with an in-process bus", another "built on the VFC code". Proposed fix: fast mode = our zone code + in-process bus + simulated clock; from VFC we reuse the radio model, the city grid, mobility and parameters, not its whole environment.</w:t>
      </w:r>
    </w:p>
    <w:p>
      <w:pPr>
        <w:pStyle w:val="ListParagraph"/>
        <w:numPr>
          <w:ilvl w:val="0"/>
          <w:numId w:val="17"/>
        </w:numPr>
      </w:pPr>
      <w:r>
        <w:t xml:space="preserve">☐ </w:t>
      </w:r>
      <w:r>
        <w:rPr>
          <w:b/>
        </w:rPr>
        <w:t xml:space="preserve">7. Baselines do not fit our actions.</w:t>
      </w:r>
      <w:r>
        <w:t xml:space="preserve"> VFC PPO, Tang &amp; Wong and QECO decide on the device, with different states and actions. Proposed fix: run each baseline's algorithm inside our zone agent with the same inputs, actions and masks, and say so in the thesis.</w:t>
      </w:r>
    </w:p>
    <w:p>
      <w:pPr>
        <w:pStyle w:val="ListParagraph"/>
        <w:numPr>
          <w:ilvl w:val="0"/>
          <w:numId w:val="17"/>
        </w:numPr>
      </w:pPr>
      <w:r>
        <w:t xml:space="preserve">☐ </w:t>
      </w:r>
      <w:r>
        <w:rPr>
          <w:b/>
        </w:rPr>
        <w:t xml:space="preserve">8. Neighbour positions and FedAvg.</w:t>
      </w:r>
      <w:r>
        <w:t xml:space="preserve"> Position 2 is a different zone for each agent, so averaging weights only makes sense if positions are interchangeable. Proposed fix: shuffle which neighbour sits in which position during training.</w:t>
      </w:r>
    </w:p>
    <w:p>
      <w:pPr>
        <w:pStyle w:val="ListParagraph"/>
        <w:numPr>
          <w:ilvl w:val="0"/>
          <w:numId w:val="17"/>
        </w:numPr>
      </w:pPr>
      <w:r>
        <w:t xml:space="preserve">☐ </w:t>
      </w:r>
      <w:r>
        <w:rPr>
          <w:b/>
        </w:rPr>
        <w:t xml:space="preserve">9. Energy model.</w:t>
      </w:r>
      <w:r>
        <w:t xml:space="preserve"> Whose energy is counted (car, fog, backhaul, cloud) and what E_ref is are not defined. Proposed fix: define each term, and E_ref = the energy of running the task at its anchor.</w:t>
      </w:r>
    </w:p>
    <w:p>
      <w:pPr>
        <w:pStyle w:val="ListParagraph"/>
        <w:numPr>
          <w:ilvl w:val="0"/>
          <w:numId w:val="17"/>
        </w:numPr>
      </w:pPr>
      <w:r>
        <w:t xml:space="preserve">☐ </w:t>
      </w:r>
      <w:r>
        <w:rPr>
          <w:b/>
        </w:rPr>
        <w:t xml:space="preserve">10. TOF threshold.</w:t>
      </w:r>
      <w:r>
        <w:t xml:space="preserve"> α and "the strongest fog class" have no values yet. Proposed fix: pick α (for example 0.8) and name the class.</w:t>
      </w:r>
    </w:p>
    <w:p>
      <w:pPr/>
      <w:r>
        <w:rPr>
          <w:b/>
        </w:rPr>
        <w:t xml:space="preserve">Important</w:t>
      </w:r>
    </w:p>
    <w:p>
      <w:pPr>
        <w:pStyle w:val="ListParagraph"/>
        <w:numPr>
          <w:ilvl w:val="0"/>
          <w:numId w:val="18"/>
        </w:numPr>
      </w:pPr>
      <w:r>
        <w:t xml:space="preserve">☐ </w:t>
      </w:r>
      <w:r>
        <w:rPr>
          <w:b/>
        </w:rPr>
        <w:t xml:space="preserve">11. Who is a neighbour.</w:t>
      </w:r>
      <w:r>
        <w:t xml:space="preserve"> When zone 5 joins, nothing says which zones count it as a neighbour. Proposed fix: the 4 nearest zones whose coverage overlaps or lies within a set distance, from zone/{id}/status.</w:t>
      </w:r>
    </w:p>
    <w:p>
      <w:pPr>
        <w:pStyle w:val="ListParagraph"/>
        <w:numPr>
          <w:ilvl w:val="0"/>
          <w:numId w:val="18"/>
        </w:numPr>
      </w:pPr>
      <w:r>
        <w:t xml:space="preserve">☐ </w:t>
      </w:r>
      <w:r>
        <w:rPr>
          <w:b/>
        </w:rPr>
        <w:t xml:space="preserve">12. Upload cut by a handover.</w:t>
      </w:r>
      <w:r>
        <w:t xml:space="preserve"> The car leaves before its upload finishes. Proposed fix: the car re-uploads to its new zone, which becomes the anchor.</w:t>
      </w:r>
    </w:p>
    <w:p>
      <w:pPr>
        <w:pStyle w:val="ListParagraph"/>
        <w:numPr>
          <w:ilvl w:val="0"/>
          <w:numId w:val="18"/>
        </w:numPr>
      </w:pPr>
      <w:r>
        <w:t xml:space="preserve">☐ </w:t>
      </w:r>
      <w:r>
        <w:rPr>
          <w:b/>
        </w:rPr>
        <w:t xml:space="preserve">13. Clocks.</w:t>
      </w:r>
      <w:r>
        <w:t xml:space="preserve"> Deadlines are absolute times compared on different machines. The testbed shares one clock; a real deployment needs time sync (NTP/PTP). State it as an assumption.</w:t>
      </w:r>
    </w:p>
    <w:p>
      <w:pPr>
        <w:pStyle w:val="ListParagraph"/>
        <w:numPr>
          <w:ilvl w:val="0"/>
          <w:numId w:val="18"/>
        </w:numPr>
      </w:pPr>
      <w:r>
        <w:t xml:space="preserve">☐ </w:t>
      </w:r>
      <w:r>
        <w:rPr>
          <w:b/>
        </w:rPr>
        <w:t xml:space="preserve">14. Knee point → w₁, w₂.</w:t>
      </w:r>
      <w:r>
        <w:t xml:space="preserve"> "The slope of the front" needs an exact formula with normalised axes.</w:t>
      </w:r>
    </w:p>
    <w:p>
      <w:pPr>
        <w:pStyle w:val="ListParagraph"/>
        <w:numPr>
          <w:ilvl w:val="0"/>
          <w:numId w:val="18"/>
        </w:numPr>
      </w:pPr>
      <w:r>
        <w:t xml:space="preserve">☐ </w:t>
      </w:r>
      <w:r>
        <w:rPr>
          <w:b/>
        </w:rPr>
        <w:t xml:space="preserve">15. Duplicate results at the car.</w:t>
      </w:r>
      <w:r>
        <w:t xml:space="preserve"> QoS 1, resends and retries can deliver a result twice. Proposed fix: the car ignores duplicates by task id.</w:t>
      </w:r>
    </w:p>
    <w:p>
      <w:pPr>
        <w:pStyle w:val="ListParagraph"/>
        <w:numPr>
          <w:ilvl w:val="0"/>
          <w:numId w:val="18"/>
        </w:numPr>
      </w:pPr>
      <w:r>
        <w:t xml:space="preserve">☐ </w:t>
      </w:r>
      <w:r>
        <w:rPr>
          <w:b/>
        </w:rPr>
        <w:t xml:space="preserve">20. Subscription and registry cleanup (added 19 Oct).</w:t>
      </w:r>
      <w:r>
        <w:t xml:space="preserve"> When does a zone unsubscribe from car/{id}/result after the car leaves it (for example, no GPS for X ms), and when are car-registry entries for departed cars deleted? Needed for the coverage-gap flow (C12).</w:t>
      </w:r>
    </w:p>
    <w:p>
      <w:pPr>
        <w:pStyle w:val="ListParagraph"/>
        <w:numPr>
          <w:ilvl w:val="0"/>
          <w:numId w:val="18"/>
        </w:numPr>
      </w:pPr>
      <w:r>
        <w:t xml:space="preserve">☐ </w:t>
      </w:r>
      <w:r>
        <w:rPr>
          <w:b/>
        </w:rPr>
        <w:t xml:space="preserve">21. Soft-task hold limit in a coverage gap (added 19 Oct).</w:t>
      </w:r>
      <w:r>
        <w:t xml:space="preserve"> The architecture doc says "for example 10 × the deadline"; the number is not decided.</w:t>
      </w:r>
    </w:p>
    <w:p>
      <w:pPr/>
      <w:r>
        <w:rPr>
          <w:b/>
        </w:rPr>
        <w:t xml:space="preserve">Accepted (out of scope or assumptions; one sentence each in the thesis)</w:t>
      </w:r>
    </w:p>
    <w:p>
      <w:pPr>
        <w:pStyle w:val="ListParagraph"/>
        <w:numPr>
          <w:ilvl w:val="0"/>
          <w:numId w:val="19"/>
        </w:numPr>
      </w:pPr>
      <w:r>
        <w:t xml:space="preserve">☐ </w:t>
      </w:r>
      <w:r>
        <w:rPr>
          <w:b/>
        </w:rPr>
        <w:t xml:space="preserve">16.</w:t>
      </w:r>
      <w:r>
        <w:t xml:space="preserve"> The anchor zone dies: its own tasks are lost (the car may still get the result, but no reward is recorded).</w:t>
      </w:r>
    </w:p>
    <w:p>
      <w:pPr>
        <w:pStyle w:val="ListParagraph"/>
        <w:numPr>
          <w:ilvl w:val="0"/>
          <w:numId w:val="19"/>
        </w:numPr>
      </w:pPr>
      <w:r>
        <w:t xml:space="preserve">☐ </w:t>
      </w:r>
      <w:r>
        <w:rPr>
          <w:b/>
        </w:rPr>
        <w:t xml:space="preserve">17.</w:t>
      </w:r>
      <w:r>
        <w:t xml:space="preserve"> The cloud is assumed always available (not stated anywhere yet).</w:t>
      </w:r>
    </w:p>
    <w:p>
      <w:pPr>
        <w:pStyle w:val="ListParagraph"/>
        <w:numPr>
          <w:ilvl w:val="0"/>
          <w:numId w:val="19"/>
        </w:numPr>
      </w:pPr>
      <w:r>
        <w:t xml:space="preserve">☐ </w:t>
      </w:r>
      <w:r>
        <w:rPr>
          <w:b/>
        </w:rPr>
        <w:t xml:space="preserve">18.</w:t>
      </w:r>
      <w:r>
        <w:t xml:space="preserve"> A full broker outage (already out of scope).</w:t>
      </w:r>
    </w:p>
    <w:p>
      <w:pPr>
        <w:pStyle w:val="ListParagraph"/>
        <w:numPr>
          <w:ilvl w:val="0"/>
          <w:numId w:val="19"/>
        </w:numPr>
      </w:pPr>
      <w:r>
        <w:t xml:space="preserve">☐ </w:t>
      </w:r>
      <w:r>
        <w:rPr>
          <w:b/>
        </w:rPr>
        <w:t xml:space="preserve">19.</w:t>
      </w:r>
      <w:r>
        <w:t xml:space="preserve"> Security and privacy of messages and data (not covered).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PCNME — What Exists, What's Missing, and Reading Progress</dc:title>
  <dc:description>Claude Docs node/985c31e9-b714@71 docx-w7</dc:description>
  <cp:revision>71</cp:revision>
</cp:coreProperties>
</file>