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p>
    <w:p>
      <w:pPr>
        <w:spacing w:before="0" w:after="80"/>
        <w:jc w:val="center"/>
      </w:pPr>
      <w:r>
        <w:rPr>
          <w:rFonts w:ascii="Arial" w:cs="Arial" w:eastAsia="Arial" w:hAnsi="Arial"/>
          <w:b/>
          <w:bCs/>
          <w:color w:val="2471A3"/>
          <w:sz w:val="22"/>
          <w:szCs w:val="22"/>
        </w:rPr>
        <w:t xml:space="preserve">LITERATURE REVIEW  |  PAPERS 6–10</w:t>
      </w:r>
    </w:p>
    <w:p>
      <w:pPr>
        <w:spacing w:before="0" w:after="200"/>
        <w:jc w:val="center"/>
      </w:pPr>
      <w:r>
        <w:rPr>
          <w:rFonts w:ascii="Arial" w:cs="Arial" w:eastAsia="Arial" w:hAnsi="Arial"/>
          <w:b/>
          <w:bCs/>
          <w:color w:val="1A5276"/>
          <w:sz w:val="54"/>
          <w:szCs w:val="54"/>
        </w:rPr>
        <w:t xml:space="preserve">5 New Papers for Your Thesis</w:t>
      </w:r>
    </w:p>
    <w:p>
      <w:pPr>
        <w:jc w:val="center"/>
      </w:pPr>
      <w:r>
        <w:rPr>
          <w:rFonts w:ascii="Arial" w:cs="Arial" w:eastAsia="Arial" w:hAnsi="Arial"/>
          <w:i/>
          <w:iCs/>
          <w:color w:val="555555"/>
          <w:sz w:val="23"/>
          <w:szCs w:val="23"/>
        </w:rPr>
        <w:t xml:space="preserve">DRL Offloading  |  SDN-Fog  |  DAG + NSGA-II  |  Mobility-Aware  |  Spatiotemporal Prediction</w:t>
      </w:r>
    </w:p>
    <w:p>
      <w:pPr>
        <w:spacing w:before="0" w:after="160"/>
      </w:pPr>
    </w:p>
    <w:p>
      <w:pPr>
        <w:jc w:val="center"/>
      </w:pPr>
      <w:r>
        <w:rPr>
          <w:rFonts w:ascii="Arial" w:cs="Arial" w:eastAsia="Arial" w:hAnsi="Arial"/>
          <w:color w:val="666666"/>
          <w:sz w:val="21"/>
          <w:szCs w:val="21"/>
        </w:rPr>
        <w:t xml:space="preserve">All papers: 2024–2025. Each reviewed with: Problem, Contributions, Methodology, Real-time constraints, Future work.</w:t>
      </w:r>
    </w:p>
    <w:p>
      <w:pPr>
        <w:spacing w:before="0" w:after="640"/>
      </w:pPr>
    </w:p>
    <w:p>
      <w:r>
        <w:br w:type="page"/>
      </w:r>
    </w:p>
    <w:p>
      <w:pPr>
        <w:pStyle w:val="Heading1"/>
        <w:spacing w:before="400" w:after="120"/>
      </w:pPr>
      <w:r>
        <w:rPr>
          <w:rFonts w:ascii="Arial" w:cs="Arial" w:eastAsia="Arial" w:hAnsi="Arial"/>
          <w:b/>
          <w:bCs/>
          <w:color w:val="1A5276"/>
          <w:sz w:val="36"/>
          <w:szCs w:val="36"/>
        </w:rPr>
        <w:t xml:space="preserve">Why These 5 Papers — What Gap Each Fills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CONTEXT</w:t>
            </w:r>
          </w:p>
        </w:tc>
        <w:tc>
          <w:tcPr>
            <w:tcW w:type="dxa" w:w="79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20"/>
            </w:tcMar>
          </w:tcPr>
          <w:p>
            <w:r>
              <w:rPr>
                <w:rFonts w:ascii="Arial" w:cs="Arial" w:eastAsia="Arial" w:hAnsi="Arial"/>
                <w:sz w:val="21"/>
                <w:szCs w:val="21"/>
              </w:rPr>
              <w:t xml:space="preserve">Your existing 5 papers cover: NSGA-II baseline (P1), TOF-Broker (P2), SDN survey (P3), MSA taxonomy (P4), Mobility/buffers (P5). The 5 new papers below fill the specific gaps that your architecture introduces but your current reading does not cover.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80"/>
            </w:tcMar>
          </w:tcPr>
          <w:p>
            <w:r>
              <w:rPr>
                <w:rFonts w:ascii="Arial" w:cs="Arial" w:eastAsia="Arial" w:hAnsi="Arial"/>
                <w:b/>
                <w:bCs/>
                <w:color w:val="FFFFFF"/>
                <w:sz w:val="20"/>
                <w:szCs w:val="20"/>
              </w:rPr>
              <w:t xml:space="preserve">New Paper</w:t>
            </w:r>
          </w:p>
        </w:tc>
        <w:tc>
          <w:tcPr>
            <w:tcW w:type="dxa" w:w="3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80"/>
            </w:tcMar>
          </w:tcPr>
          <w:p>
            <w:r>
              <w:rPr>
                <w:rFonts w:ascii="Arial" w:cs="Arial" w:eastAsia="Arial" w:hAnsi="Arial"/>
                <w:b/>
                <w:bCs/>
                <w:color w:val="FFFFFF"/>
                <w:sz w:val="20"/>
                <w:szCs w:val="20"/>
              </w:rPr>
              <w:t xml:space="preserve">Gap it fills</w:t>
            </w:r>
          </w:p>
        </w:tc>
        <w:tc>
          <w:tcPr>
            <w:tcW w:type="dxa" w:w="4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80"/>
            </w:tcMar>
          </w:tcPr>
          <w:p>
            <w:r>
              <w:rPr>
                <w:rFonts w:ascii="Arial" w:cs="Arial" w:eastAsia="Arial" w:hAnsi="Arial"/>
                <w:b/>
                <w:bCs/>
                <w:color w:val="FFFFFF"/>
                <w:sz w:val="20"/>
                <w:szCs w:val="20"/>
              </w:rPr>
              <w:t xml:space="preserve">How it connects to your architecture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sz w:val="20"/>
                <w:szCs w:val="20"/>
              </w:rPr>
              <w:t xml:space="preserve">Paper 6 — DRL VFC (2024)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20"/>
                <w:szCs w:val="20"/>
              </w:rPr>
              <w:t xml:space="preserve">You have no paper justifying DRL in vehicular fog specifically — your RL agents lack a direct literature anchor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20"/>
                <w:szCs w:val="20"/>
              </w:rPr>
              <w:t xml:space="preserve">Directly justifies your DRL-based Agent 1 for vehicular task placement. Provides state/reward design patterns you can adopt.</w:t>
            </w:r>
          </w:p>
        </w:tc>
      </w:tr>
      <w:tr>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80"/>
            </w:tcMar>
          </w:tcPr>
          <w:p>
            <w:r>
              <w:rPr>
                <w:rFonts w:ascii="Arial" w:cs="Arial" w:eastAsia="Arial" w:hAnsi="Arial"/>
                <w:b/>
                <w:bCs/>
                <w:sz w:val="20"/>
                <w:szCs w:val="20"/>
              </w:rPr>
              <w:t xml:space="preserve">Paper 7 — CSFD SDN+Fog+DRL (2025)</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80"/>
            </w:tcMar>
          </w:tcPr>
          <w:p>
            <w:r>
              <w:rPr>
                <w:rFonts w:ascii="Arial" w:cs="Arial" w:eastAsia="Arial" w:hAnsi="Arial"/>
                <w:b w:val="false"/>
                <w:bCs w:val="false"/>
                <w:sz w:val="20"/>
                <w:szCs w:val="20"/>
              </w:rPr>
              <w:t xml:space="preserve">Your SDN section has no paper combining SDN + fog + DRL together — Paper 3 is just an SDN survey</w:t>
            </w:r>
          </w:p>
        </w:tc>
        <w:tc>
          <w:tcPr>
            <w:tcW w:type="dxa" w:w="4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80"/>
            </w:tcMar>
          </w:tcPr>
          <w:p>
            <w:r>
              <w:rPr>
                <w:rFonts w:ascii="Arial" w:cs="Arial" w:eastAsia="Arial" w:hAnsi="Arial"/>
                <w:b w:val="false"/>
                <w:bCs w:val="false"/>
                <w:sz w:val="20"/>
                <w:szCs w:val="20"/>
              </w:rPr>
              <w:t xml:space="preserve">Justifies your RL Agent 2 (SDN routing). Their CSFD architecture is the closest published system to your SDN+Agent 2 design.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sz w:val="20"/>
                <w:szCs w:val="20"/>
              </w:rPr>
              <w:t xml:space="preserve">Paper 8 — DAG + MRL + NSGA-II (2025)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20"/>
                <w:szCs w:val="20"/>
              </w:rPr>
              <w:t xml:space="preserve">You have no paper treating DAGs with NSGA-II — P4 is a survey, not a method paper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20"/>
                <w:szCs w:val="20"/>
              </w:rPr>
              <w:t xml:space="preserve">Directly combines DAG task modelling with NSGA-II, exactly what your architecture does. Gives you DAG formulation patterns to cite.</w:t>
            </w:r>
          </w:p>
        </w:tc>
      </w:tr>
      <w:tr>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80"/>
            </w:tcMar>
          </w:tcPr>
          <w:p>
            <w:r>
              <w:rPr>
                <w:rFonts w:ascii="Arial" w:cs="Arial" w:eastAsia="Arial" w:hAnsi="Arial"/>
                <w:b/>
                <w:bCs/>
                <w:sz w:val="20"/>
                <w:szCs w:val="20"/>
              </w:rPr>
              <w:t xml:space="preserve">Paper 9 — MAVTO Mobility (2024)</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80"/>
            </w:tcMar>
          </w:tcPr>
          <w:p>
            <w:r>
              <w:rPr>
                <w:rFonts w:ascii="Arial" w:cs="Arial" w:eastAsia="Arial" w:hAnsi="Arial"/>
                <w:b w:val="false"/>
                <w:bCs w:val="false"/>
                <w:sz w:val="20"/>
                <w:szCs w:val="20"/>
              </w:rPr>
              <w:t xml:space="preserve">Paper 5 is reactive mobility. You need a proactive prediction paper to justify your trajectory-based handoff</w:t>
            </w:r>
          </w:p>
        </w:tc>
        <w:tc>
          <w:tcPr>
            <w:tcW w:type="dxa" w:w="4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80"/>
            </w:tcMar>
          </w:tcPr>
          <w:p>
            <w:r>
              <w:rPr>
                <w:rFonts w:ascii="Arial" w:cs="Arial" w:eastAsia="Arial" w:hAnsi="Arial"/>
                <w:b w:val="false"/>
                <w:bCs w:val="false"/>
                <w:sz w:val="20"/>
                <w:szCs w:val="20"/>
              </w:rPr>
              <w:t xml:space="preserve">MAVTO introduces predictive offloading modes (direct, predictive, hybrid) — identical to your T_exit prediction architecture. Strong citation.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sz w:val="20"/>
                <w:szCs w:val="20"/>
              </w:rPr>
              <w:t xml:space="preserve">Paper 10 — Spatiotemporal VEC (2025)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20"/>
                <w:szCs w:val="20"/>
              </w:rPr>
              <w:t xml:space="preserve">Your architecture mentions vehicle trajectory prediction but has no methodological foundation for 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20"/>
                <w:szCs w:val="20"/>
              </w:rPr>
              <w:t xml:space="preserve">Introduces STGNN for trajectory forecasting + A3C for task caching. Gives your RL training data pipeline a 2025 citation anchor.</w:t>
            </w:r>
          </w:p>
        </w:tc>
      </w:tr>
    </w:tbl>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276" w:val="clear"/>
            <w:tcMar>
              <w:top w:type="dxa" w:w="60"/>
              <w:left w:type="dxa" w:w="160"/>
              <w:bottom w:type="dxa" w:w="60"/>
              <w:right w:type="dxa" w:w="120"/>
            </w:tcMar>
          </w:tcPr>
          <w:p>
            <w:r>
              <w:rPr>
                <w:rFonts w:ascii="Arial" w:cs="Arial" w:eastAsia="Arial" w:hAnsi="Arial"/>
                <w:b/>
                <w:bCs/>
                <w:color w:val="FFFFFF"/>
                <w:sz w:val="22"/>
                <w:szCs w:val="22"/>
              </w:rPr>
              <w:t xml:space="preserve">Paper 6 — DRL for Delay-Optimized Task Offloading in Vehicular Fog Computing</w:t>
            </w:r>
          </w:p>
        </w:tc>
      </w:tr>
    </w:tbl>
    <w:p>
      <w:pPr>
        <w:spacing w:before="0" w:after="40"/>
      </w:pPr>
    </w:p>
    <w:p>
      <w:pPr>
        <w:spacing w:before="60" w:after="120"/>
      </w:pPr>
      <w:r>
        <w:rPr>
          <w:rFonts w:ascii="Arial" w:cs="Arial" w:eastAsia="Arial" w:hAnsi="Arial"/>
          <w:b/>
          <w:bCs/>
          <w:color w:val="444444"/>
          <w:sz w:val="22"/>
          <w:szCs w:val="22"/>
        </w:rPr>
        <w:t xml:space="preserve">Source: </w:t>
      </w:r>
      <w:r>
        <w:rPr>
          <w:rFonts w:ascii="Arial" w:cs="Arial" w:eastAsia="Arial" w:hAnsi="Arial"/>
          <w:color w:val="2471A3"/>
          <w:sz w:val="22"/>
          <w:szCs w:val="22"/>
          <w:u w:val="single"/>
        </w:rPr>
        <w:t xml:space="preserve">https://arxiv.org/html/2410.03472</w:t>
      </w:r>
    </w:p>
    <w:p>
      <w:pPr>
        <w:spacing w:before="60" w:after="120"/>
      </w:pPr>
      <w:r>
        <w:rPr>
          <w:rFonts w:ascii="Arial" w:cs="Arial" w:eastAsia="Arial" w:hAnsi="Arial"/>
          <w:b/>
          <w:bCs/>
          <w:color w:val="444444"/>
          <w:sz w:val="22"/>
          <w:szCs w:val="22"/>
        </w:rPr>
        <w:t xml:space="preserve">Year: </w:t>
      </w:r>
      <w:r>
        <w:rPr>
          <w:rFonts w:ascii="Arial" w:cs="Arial" w:eastAsia="Arial" w:hAnsi="Arial"/>
          <w:color w:val="222222"/>
          <w:sz w:val="22"/>
          <w:szCs w:val="22"/>
        </w:rPr>
        <w:t xml:space="preserve">2024   |   </w:t>
      </w:r>
      <w:r>
        <w:rPr>
          <w:rFonts w:ascii="Arial" w:cs="Arial" w:eastAsia="Arial" w:hAnsi="Arial"/>
          <w:b/>
          <w:bCs/>
          <w:color w:val="444444"/>
          <w:sz w:val="22"/>
          <w:szCs w:val="22"/>
        </w:rPr>
        <w:t xml:space="preserve">Venue: </w:t>
      </w:r>
      <w:r>
        <w:rPr>
          <w:rFonts w:ascii="Arial" w:cs="Arial" w:eastAsia="Arial" w:hAnsi="Arial"/>
          <w:color w:val="222222"/>
          <w:sz w:val="22"/>
          <w:szCs w:val="22"/>
        </w:rPr>
        <w:t xml:space="preserve">arXiv (Oct 2024) — peer-reviewed conference submission</w:t>
      </w:r>
    </w:p>
    <w:p>
      <w:pPr>
        <w:spacing w:before="0" w:after="40"/>
      </w:pPr>
    </w:p>
    <w:p>
      <w:pPr>
        <w:pStyle w:val="Heading3"/>
        <w:spacing w:before="200" w:after="80"/>
      </w:pPr>
      <w:r>
        <w:rPr>
          <w:rFonts w:ascii="Arial" w:cs="Arial" w:eastAsia="Arial" w:hAnsi="Arial"/>
          <w:b/>
          <w:bCs/>
          <w:color w:val="1F618D"/>
          <w:sz w:val="24"/>
          <w:szCs w:val="24"/>
        </w:rPr>
        <w:t xml:space="preserve">1. Main Problem They Solved</w:t>
      </w:r>
    </w:p>
    <w:p>
      <w:pPr>
        <w:spacing w:before="60" w:after="120"/>
      </w:pPr>
      <w:r>
        <w:rPr>
          <w:rFonts w:ascii="Arial" w:cs="Arial" w:eastAsia="Arial" w:hAnsi="Arial"/>
          <w:sz w:val="22"/>
          <w:szCs w:val="22"/>
        </w:rPr>
        <w:t xml:space="preserve">The core problem is intelligent, dynamic task offloading in Vehicular Fog Computing (VFC). In VFC, mobile client vehicles with insufficient compute power need to offload tasks to nearby parked service vehicles. The challenge is that the set of available service vehicles changes constantly as vehicles move, park, and depart. Traditional greedy algorithms and static rule-based methods cannot adapt to this dynamic topology.</w:t>
      </w:r>
    </w:p>
    <w:p>
      <w:pPr>
        <w:spacing w:before="60" w:after="120"/>
      </w:pPr>
      <w:r>
        <w:rPr>
          <w:rFonts w:ascii="Arial" w:cs="Arial" w:eastAsia="Arial" w:hAnsi="Arial"/>
          <w:sz w:val="22"/>
          <w:szCs w:val="22"/>
        </w:rPr>
        <w:t xml:space="preserve">Their specific sub-problems were: (1) which service vehicle should a client vehicle offload to, given thousands of possible server candidates that change every few seconds; and (2) how to minimise global queue congestion across all service nodes simultaneously, rather than just minimising single-task delay.</w:t>
      </w:r>
    </w:p>
    <w:p>
      <w:pPr>
        <w:spacing w:before="0" w:after="40"/>
      </w:pPr>
    </w:p>
    <w:p>
      <w:pPr>
        <w:pStyle w:val="Heading3"/>
        <w:spacing w:before="200" w:after="80"/>
      </w:pPr>
      <w:r>
        <w:rPr>
          <w:rFonts w:ascii="Arial" w:cs="Arial" w:eastAsia="Arial" w:hAnsi="Arial"/>
          <w:b/>
          <w:bCs/>
          <w:color w:val="1F618D"/>
          <w:sz w:val="24"/>
          <w:szCs w:val="24"/>
        </w:rPr>
        <w:t xml:space="preserve">2. Contributions</w:t>
      </w:r>
    </w:p>
    <w:p>
      <w:pPr>
        <w:pStyle w:val="ListParagraph"/>
        <w:numPr>
          <w:ilvl w:val="0"/>
          <w:numId w:val="2"/>
        </w:numPr>
        <w:spacing w:before="40" w:after="40"/>
      </w:pPr>
      <w:r>
        <w:rPr>
          <w:rFonts w:ascii="Arial" w:cs="Arial" w:eastAsia="Arial" w:hAnsi="Arial"/>
          <w:sz w:val="22"/>
          <w:szCs w:val="22"/>
        </w:rPr>
        <w:t xml:space="preserve">A realistic simulation environment for VFC based on a grid-planned city model (inspired by Salt Lake City's 200m x 200m block structure). This is directly usable as a reference for your own simulation grid design.</w:t>
      </w:r>
    </w:p>
    <w:p>
      <w:pPr>
        <w:pStyle w:val="ListParagraph"/>
        <w:numPr>
          <w:ilvl w:val="0"/>
          <w:numId w:val="2"/>
        </w:numPr>
        <w:spacing w:before="40" w:after="40"/>
      </w:pPr>
      <w:r>
        <w:rPr>
          <w:rFonts w:ascii="Arial" w:cs="Arial" w:eastAsia="Arial" w:hAnsi="Arial"/>
          <w:sz w:val="22"/>
          <w:szCs w:val="22"/>
        </w:rPr>
        <w:t xml:space="preserve">A DRL-based offloading algorithm trained and tested end-to-end in this environment. The DRL model significantly outperforms greedy and round-robin baselines on global task delay.</w:t>
      </w:r>
    </w:p>
    <w:p>
      <w:pPr>
        <w:pStyle w:val="ListParagraph"/>
        <w:numPr>
          <w:ilvl w:val="0"/>
          <w:numId w:val="2"/>
        </w:numPr>
        <w:spacing w:before="40" w:after="40"/>
      </w:pPr>
      <w:r>
        <w:rPr>
          <w:rFonts w:ascii="Arial" w:cs="Arial" w:eastAsia="Arial" w:hAnsi="Arial"/>
          <w:sz w:val="22"/>
          <w:szCs w:val="22"/>
        </w:rPr>
        <w:t xml:space="preserve">Demonstration that DRL reduces queue congestion specifically — not just average delay. This is important because queue buildup is what causes cascade failures in high-load scenarios.</w:t>
      </w:r>
    </w:p>
    <w:p>
      <w:pPr>
        <w:pStyle w:val="ListParagraph"/>
        <w:numPr>
          <w:ilvl w:val="0"/>
          <w:numId w:val="2"/>
        </w:numPr>
        <w:spacing w:before="40" w:after="40"/>
      </w:pPr>
      <w:r>
        <w:rPr>
          <w:rFonts w:ascii="Arial" w:cs="Arial" w:eastAsia="Arial" w:hAnsi="Arial"/>
          <w:sz w:val="22"/>
          <w:szCs w:val="22"/>
        </w:rPr>
        <w:t xml:space="preserve">Realistic hardware and task specifications: they model actual IoT sensor tasks with real MI and data size values, making their parameters directly reusable in your simulation.</w:t>
      </w:r>
    </w:p>
    <w:p>
      <w:pPr>
        <w:pStyle w:val="ListParagraph"/>
        <w:numPr>
          <w:ilvl w:val="0"/>
          <w:numId w:val="2"/>
        </w:numPr>
        <w:spacing w:before="40" w:after="40"/>
      </w:pPr>
      <w:r>
        <w:rPr>
          <w:rFonts w:ascii="Arial" w:cs="Arial" w:eastAsia="Arial" w:hAnsi="Arial"/>
          <w:sz w:val="22"/>
          <w:szCs w:val="22"/>
        </w:rPr>
        <w:t xml:space="preserve">Proof that DRL handles the cold-start problem better than expected when trained on even a moderately-sized simulated environment — key justification for your offline pre-training approach.</w:t>
      </w:r>
    </w:p>
    <w:p>
      <w:pPr>
        <w:spacing w:before="0" w:after="40"/>
      </w:pPr>
    </w:p>
    <w:p>
      <w:pPr>
        <w:pStyle w:val="Heading3"/>
        <w:spacing w:before="200" w:after="80"/>
      </w:pPr>
      <w:r>
        <w:rPr>
          <w:rFonts w:ascii="Arial" w:cs="Arial" w:eastAsia="Arial" w:hAnsi="Arial"/>
          <w:b/>
          <w:bCs/>
          <w:color w:val="1F618D"/>
          <w:sz w:val="24"/>
          <w:szCs w:val="24"/>
        </w:rPr>
        <w:t xml:space="preserve">3. Methodology Structure</w:t>
      </w:r>
    </w:p>
    <w:p>
      <w:pPr>
        <w:spacing w:before="60" w:after="120"/>
      </w:pPr>
      <w:r>
        <w:rPr>
          <w:rFonts w:ascii="Arial" w:cs="Arial" w:eastAsia="Arial" w:hAnsi="Arial"/>
          <w:sz w:val="22"/>
          <w:szCs w:val="22"/>
        </w:rPr>
        <w:t xml:space="preserve">The simulation environment models an urban grid. Client vehicles are placed randomly on roads and move at configurable speeds. Parked service vehicles act as fog nodes with fixed positions. Each client vehicle is described by: position (x,y), velocity, average task arrival rate (tasks/second), and task parameters.</w:t>
      </w:r>
    </w:p>
    <w:p>
      <w:pPr>
        <w:spacing w:before="60" w:after="120"/>
      </w:pPr>
      <w:r>
        <w:rPr>
          <w:rFonts w:ascii="Arial" w:cs="Arial" w:eastAsia="Arial" w:hAnsi="Arial"/>
          <w:sz w:val="22"/>
          <w:szCs w:val="22"/>
        </w:rPr>
        <w:t xml:space="preserve">The DRL model uses a Deep Q-Network (DQN) architecture. State space: current queue depths at all candidate service nodes, distance to each candidate, current channel quality. Action space: discrete — select one of K candidate service vehicles or defer. Reward: negative of the task's end-to-end delay plus a congestion penalty term.</w:t>
      </w:r>
    </w:p>
    <w:p>
      <w:pPr>
        <w:spacing w:before="60" w:after="120"/>
      </w:pPr>
      <w:r>
        <w:rPr>
          <w:rFonts w:ascii="Arial" w:cs="Arial" w:eastAsia="Arial" w:hAnsi="Arial"/>
          <w:sz w:val="22"/>
          <w:szCs w:val="22"/>
        </w:rPr>
        <w:t xml:space="preserve">Training: standard epsilon-greedy exploration with experience replay buffer. The agent observes state, takes action, receives reward, stores transition in replay buffer, samples mini-batches for gradient updates. The model is trained until convergence (measured by plateau in average reward per episode).</w:t>
      </w:r>
    </w:p>
    <w:p>
      <w:pPr>
        <w:spacing w:before="60" w:after="120"/>
      </w:pPr>
      <w:r>
        <w:rPr>
          <w:rFonts w:ascii="Arial" w:cs="Arial" w:eastAsia="Arial" w:hAnsi="Arial"/>
          <w:sz w:val="22"/>
          <w:szCs w:val="22"/>
        </w:rPr>
        <w:t xml:space="preserve">Baselines compared: random selection, nearest-node greedy, round-robin, and traditional cloud offloading. DRL outperforms all four.</w:t>
      </w:r>
    </w:p>
    <w:p>
      <w:pPr>
        <w:spacing w:before="0" w:after="40"/>
      </w:pPr>
    </w:p>
    <w:p>
      <w:pPr>
        <w:pStyle w:val="Heading3"/>
        <w:spacing w:before="200" w:after="80"/>
      </w:pPr>
      <w:r>
        <w:rPr>
          <w:rFonts w:ascii="Arial" w:cs="Arial" w:eastAsia="Arial" w:hAnsi="Arial"/>
          <w:b/>
          <w:bCs/>
          <w:color w:val="1F618D"/>
          <w:sz w:val="24"/>
          <w:szCs w:val="24"/>
        </w:rPr>
        <w:t xml:space="preserve">4. Real-Time? Constraints and Limitations</w:t>
      </w:r>
    </w:p>
    <w:p>
      <w:pPr>
        <w:spacing w:before="60" w:after="120"/>
      </w:pPr>
      <w:r>
        <w:rPr>
          <w:rFonts w:ascii="Arial" w:cs="Arial" w:eastAsia="Arial" w:hAnsi="Arial"/>
          <w:sz w:val="22"/>
          <w:szCs w:val="22"/>
        </w:rPr>
        <w:t xml:space="preserve">Yes — the system is intended for real-time deployment. DRL inference is fast (single forward pass through a neural network, microseconds). The bottleneck is not inference but state observation — gathering queue depths from all candidate nodes requires network communication.</w:t>
      </w:r>
    </w:p>
    <w:p>
      <w:pPr>
        <w:spacing w:before="60" w:after="120"/>
      </w:pPr>
      <w:r>
        <w:rPr>
          <w:rFonts w:ascii="Arial" w:cs="Arial" w:eastAsia="Arial" w:hAnsi="Arial"/>
          <w:sz w:val="22"/>
          <w:szCs w:val="22"/>
        </w:rPr>
        <w:t xml:space="preserve">Constraint 1 — Static parked servers: they use parked vehicles as service nodes, which are relatively stable. Your system uses fixed infrastructure fog nodes which is simpler and more reliable.</w:t>
      </w:r>
    </w:p>
    <w:p>
      <w:pPr>
        <w:spacing w:before="60" w:after="120"/>
      </w:pPr>
      <w:r>
        <w:rPr>
          <w:rFonts w:ascii="Arial" w:cs="Arial" w:eastAsia="Arial" w:hAnsi="Arial"/>
          <w:sz w:val="22"/>
          <w:szCs w:val="22"/>
        </w:rPr>
        <w:t xml:space="preserve">Constraint 2 — No mobility during task execution: once a task is offloaded, they assume the client vehicle stays connected until the result returns. This is the same gap Paper 5 addressed with NTB/HTB buffers.</w:t>
      </w:r>
    </w:p>
    <w:p>
      <w:pPr>
        <w:spacing w:before="60" w:after="120"/>
      </w:pPr>
      <w:r>
        <w:rPr>
          <w:rFonts w:ascii="Arial" w:cs="Arial" w:eastAsia="Arial" w:hAnsi="Arial"/>
          <w:sz w:val="22"/>
          <w:szCs w:val="22"/>
        </w:rPr>
        <w:t xml:space="preserve">Limitation 1: No energy objective — they only optimise delay. Your system adds energy as a second objective via NSGA-II, making your work more comprehensive.</w:t>
      </w:r>
    </w:p>
    <w:p>
      <w:pPr>
        <w:spacing w:before="60" w:after="120"/>
      </w:pPr>
      <w:r>
        <w:rPr>
          <w:rFonts w:ascii="Arial" w:cs="Arial" w:eastAsia="Arial" w:hAnsi="Arial"/>
          <w:sz w:val="22"/>
          <w:szCs w:val="22"/>
        </w:rPr>
        <w:t xml:space="preserve">Limitation 2: Single-agent DRL only — there is no second agent for network routing. Your dual-agent design is a direct extension of this.</w:t>
      </w:r>
    </w:p>
    <w:p>
      <w:pPr>
        <w:spacing w:before="60" w:after="120"/>
      </w:pPr>
      <w:r>
        <w:rPr>
          <w:rFonts w:ascii="Arial" w:cs="Arial" w:eastAsia="Arial" w:hAnsi="Arial"/>
          <w:sz w:val="22"/>
          <w:szCs w:val="22"/>
        </w:rPr>
        <w:t xml:space="preserve">Limitation 3: No pre-training from an offline optimizer. They train DRL from scratch (cold start). Your NSGA-II pre-training approach directly addresses this and is a meaningful improvement.</w:t>
      </w:r>
    </w:p>
    <w:p>
      <w:pPr>
        <w:spacing w:before="0" w:after="40"/>
      </w:pPr>
    </w:p>
    <w:p>
      <w:pPr>
        <w:pStyle w:val="Heading3"/>
        <w:spacing w:before="200" w:after="80"/>
      </w:pPr>
      <w:r>
        <w:rPr>
          <w:rFonts w:ascii="Arial" w:cs="Arial" w:eastAsia="Arial" w:hAnsi="Arial"/>
          <w:b/>
          <w:bCs/>
          <w:color w:val="1F618D"/>
          <w:sz w:val="24"/>
          <w:szCs w:val="24"/>
        </w:rPr>
        <w:t xml:space="preserve">5. Future Work and Room for Improvement</w:t>
      </w:r>
    </w:p>
    <w:p>
      <w:pPr>
        <w:spacing w:before="60" w:after="120"/>
      </w:pPr>
      <w:r>
        <w:rPr>
          <w:rFonts w:ascii="Arial" w:cs="Arial" w:eastAsia="Arial" w:hAnsi="Arial"/>
          <w:sz w:val="22"/>
          <w:szCs w:val="22"/>
        </w:rPr>
        <w:t xml:space="preserve">The authors explicitly suggest: (1) integrating energy consumption as a second optimisation objective alongside delay; (2) adding a mobility model where service vehicles also move; (3) experimenting with multi-agent DRL where each service node runs its own local agent; (4) incorporating task priority levels into the reward function.</w:t>
      </w:r>
    </w:p>
    <w:p>
      <w:pPr>
        <w:spacing w:before="60" w:after="120"/>
      </w:pPr>
      <w:r>
        <w:rPr>
          <w:rFonts w:ascii="Arial" w:cs="Arial" w:eastAsia="Arial" w:hAnsi="Arial"/>
          <w:sz w:val="22"/>
          <w:szCs w:val="22"/>
        </w:rPr>
        <w:t xml:space="preserve">YOUR OPPORTUNITY: Every one of their suggested future directions is already in your architecture. Citing this paper and positioning your work as the natural extension of theirs is a strong narrative for your thesis introduction.</w:t>
      </w:r>
    </w:p>
    <w:p>
      <w:pPr>
        <w:spacing w:before="0" w:after="40"/>
      </w:pPr>
    </w:p>
    <w:p>
      <w:pPr>
        <w:spacing w:before="0" w:after="80"/>
      </w:pPr>
    </w:p>
    <w:p>
      <w:pPr>
        <w:pBdr>
          <w:bottom w:val="single" w:color="2471A3" w:sz="8" w:space="1"/>
        </w:pBdr>
        <w:spacing w:before="240"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4C81" w:val="clear"/>
            <w:tcMar>
              <w:top w:type="dxa" w:w="60"/>
              <w:left w:type="dxa" w:w="160"/>
              <w:bottom w:type="dxa" w:w="60"/>
              <w:right w:type="dxa" w:w="120"/>
            </w:tcMar>
          </w:tcPr>
          <w:p>
            <w:r>
              <w:rPr>
                <w:rFonts w:ascii="Arial" w:cs="Arial" w:eastAsia="Arial" w:hAnsi="Arial"/>
                <w:b/>
                <w:bCs/>
                <w:color w:val="FFFFFF"/>
                <w:sz w:val="22"/>
                <w:szCs w:val="22"/>
              </w:rPr>
              <w:t xml:space="preserve">Paper 7 — CSFD: Congestion-Aware SDN-Fog with Deep Reinforcement Learning for Vehicular Networks</w:t>
            </w:r>
          </w:p>
        </w:tc>
      </w:tr>
    </w:tbl>
    <w:p>
      <w:pPr>
        <w:spacing w:before="0" w:after="40"/>
      </w:pPr>
    </w:p>
    <w:p>
      <w:pPr>
        <w:spacing w:before="60" w:after="120"/>
      </w:pPr>
      <w:r>
        <w:rPr>
          <w:rFonts w:ascii="Arial" w:cs="Arial" w:eastAsia="Arial" w:hAnsi="Arial"/>
          <w:b/>
          <w:bCs/>
          <w:color w:val="444444"/>
          <w:sz w:val="22"/>
          <w:szCs w:val="22"/>
        </w:rPr>
        <w:t xml:space="preserve">Source: </w:t>
      </w:r>
      <w:r>
        <w:rPr>
          <w:rFonts w:ascii="Arial" w:cs="Arial" w:eastAsia="Arial" w:hAnsi="Arial"/>
          <w:color w:val="2471A3"/>
          <w:sz w:val="22"/>
          <w:szCs w:val="22"/>
          <w:u w:val="single"/>
        </w:rPr>
        <w:t xml:space="preserve">https://link.springer.com/article/10.1007/s10470-025-02541-7</w:t>
      </w:r>
    </w:p>
    <w:p>
      <w:pPr>
        <w:spacing w:before="60" w:after="120"/>
      </w:pPr>
      <w:r>
        <w:rPr>
          <w:rFonts w:ascii="Arial" w:cs="Arial" w:eastAsia="Arial" w:hAnsi="Arial"/>
          <w:b/>
          <w:bCs/>
          <w:color w:val="444444"/>
          <w:sz w:val="22"/>
          <w:szCs w:val="22"/>
        </w:rPr>
        <w:t xml:space="preserve">Year: </w:t>
      </w:r>
      <w:r>
        <w:rPr>
          <w:rFonts w:ascii="Arial" w:cs="Arial" w:eastAsia="Arial" w:hAnsi="Arial"/>
          <w:color w:val="222222"/>
          <w:sz w:val="22"/>
          <w:szCs w:val="22"/>
        </w:rPr>
        <w:t xml:space="preserve">2025   |   </w:t>
      </w:r>
      <w:r>
        <w:rPr>
          <w:rFonts w:ascii="Arial" w:cs="Arial" w:eastAsia="Arial" w:hAnsi="Arial"/>
          <w:b/>
          <w:bCs/>
          <w:color w:val="444444"/>
          <w:sz w:val="22"/>
          <w:szCs w:val="22"/>
        </w:rPr>
        <w:t xml:space="preserve">Venue: </w:t>
      </w:r>
      <w:r>
        <w:rPr>
          <w:rFonts w:ascii="Arial" w:cs="Arial" w:eastAsia="Arial" w:hAnsi="Arial"/>
          <w:color w:val="222222"/>
          <w:sz w:val="22"/>
          <w:szCs w:val="22"/>
        </w:rPr>
        <w:t xml:space="preserve">Analog Integrated Circuits and Signal Processing, Springer (Dec 2025)</w:t>
      </w:r>
    </w:p>
    <w:p>
      <w:pPr>
        <w:spacing w:before="0" w:after="40"/>
      </w:pPr>
    </w:p>
    <w:p>
      <w:pPr>
        <w:pStyle w:val="Heading3"/>
        <w:spacing w:before="200" w:after="80"/>
      </w:pPr>
      <w:r>
        <w:rPr>
          <w:rFonts w:ascii="Arial" w:cs="Arial" w:eastAsia="Arial" w:hAnsi="Arial"/>
          <w:b/>
          <w:bCs/>
          <w:color w:val="1F618D"/>
          <w:sz w:val="24"/>
          <w:szCs w:val="24"/>
        </w:rPr>
        <w:t xml:space="preserve">1. Main Problem They Solved</w:t>
      </w:r>
    </w:p>
    <w:p>
      <w:pPr>
        <w:spacing w:before="60" w:after="120"/>
      </w:pPr>
      <w:r>
        <w:rPr>
          <w:rFonts w:ascii="Arial" w:cs="Arial" w:eastAsia="Arial" w:hAnsi="Arial"/>
          <w:sz w:val="22"/>
          <w:szCs w:val="22"/>
        </w:rPr>
        <w:t xml:space="preserve">The problem is network congestion in vehicular SDN-Fog systems. Existing approaches handle either SDN routing OR fog offloading, but not both together. When hundreds of vehicles simultaneously submit tasks, the network between fog nodes becomes congested, creating latency spikes that cancel out the latency benefits of fog computing.</w:t>
      </w:r>
    </w:p>
    <w:p>
      <w:pPr>
        <w:spacing w:before="60" w:after="120"/>
      </w:pPr>
      <w:r>
        <w:rPr>
          <w:rFonts w:ascii="Arial" w:cs="Arial" w:eastAsia="Arial" w:hAnsi="Arial"/>
          <w:sz w:val="22"/>
          <w:szCs w:val="22"/>
        </w:rPr>
        <w:t xml:space="preserve">Their specific insight: SDN's centralised controller can see global network state, but without intelligence it still makes reactive routing decisions. By the time the controller detects congestion and re-routes, many packets are already queued. The solution is predictive — use DRL to anticipate congestion before it occurs and pre-route traffic proactively.</w:t>
      </w:r>
    </w:p>
    <w:p>
      <w:pPr>
        <w:spacing w:before="0" w:after="40"/>
      </w:pPr>
    </w:p>
    <w:p>
      <w:pPr>
        <w:pStyle w:val="Heading3"/>
        <w:spacing w:before="200" w:after="80"/>
      </w:pPr>
      <w:r>
        <w:rPr>
          <w:rFonts w:ascii="Arial" w:cs="Arial" w:eastAsia="Arial" w:hAnsi="Arial"/>
          <w:b/>
          <w:bCs/>
          <w:color w:val="1F618D"/>
          <w:sz w:val="24"/>
          <w:szCs w:val="24"/>
        </w:rPr>
        <w:t xml:space="preserve">2. Contributions</w:t>
      </w:r>
    </w:p>
    <w:p>
      <w:pPr>
        <w:pStyle w:val="ListParagraph"/>
        <w:numPr>
          <w:ilvl w:val="0"/>
          <w:numId w:val="2"/>
        </w:numPr>
        <w:spacing w:before="40" w:after="40"/>
      </w:pPr>
      <w:r>
        <w:rPr>
          <w:rFonts w:ascii="Arial" w:cs="Arial" w:eastAsia="Arial" w:hAnsi="Arial"/>
          <w:sz w:val="22"/>
          <w:szCs w:val="22"/>
        </w:rPr>
        <w:t xml:space="preserve">CSFD (Congestion-aware SDN-Fog with Deep Reinforcement Learning) — a novel hybrid architecture that combines SDN's centralised control with a fog-layer adaptive DRL decision module.</w:t>
      </w:r>
    </w:p>
    <w:p>
      <w:pPr>
        <w:pStyle w:val="ListParagraph"/>
        <w:numPr>
          <w:ilvl w:val="0"/>
          <w:numId w:val="2"/>
        </w:numPr>
        <w:spacing w:before="40" w:after="40"/>
      </w:pPr>
      <w:r>
        <w:rPr>
          <w:rFonts w:ascii="Arial" w:cs="Arial" w:eastAsia="Arial" w:hAnsi="Arial"/>
          <w:sz w:val="22"/>
          <w:szCs w:val="22"/>
        </w:rPr>
        <w:t xml:space="preserve">A DRL-enabled fog decision layer that performs congestion prediction and dynamic route optimisation in coordination with the SDN controller. The fog layer learns traffic patterns; the SDN controller executes the routing decisions.</w:t>
      </w:r>
    </w:p>
    <w:p>
      <w:pPr>
        <w:pStyle w:val="ListParagraph"/>
        <w:numPr>
          <w:ilvl w:val="0"/>
          <w:numId w:val="2"/>
        </w:numPr>
        <w:spacing w:before="40" w:after="40"/>
      </w:pPr>
      <w:r>
        <w:rPr>
          <w:rFonts w:ascii="Arial" w:cs="Arial" w:eastAsia="Arial" w:hAnsi="Arial"/>
          <w:sz w:val="22"/>
          <w:szCs w:val="22"/>
        </w:rPr>
        <w:t xml:space="preserve">Higher packet delivery ratio, lower latency, and reduced routing overhead compared to both DRL-only and SDN-only baselines.</w:t>
      </w:r>
    </w:p>
    <w:p>
      <w:pPr>
        <w:pStyle w:val="ListParagraph"/>
        <w:numPr>
          <w:ilvl w:val="0"/>
          <w:numId w:val="2"/>
        </w:numPr>
        <w:spacing w:before="40" w:after="40"/>
      </w:pPr>
      <w:r>
        <w:rPr>
          <w:rFonts w:ascii="Arial" w:cs="Arial" w:eastAsia="Arial" w:hAnsi="Arial"/>
          <w:sz w:val="22"/>
          <w:szCs w:val="22"/>
        </w:rPr>
        <w:t xml:space="preserve">Validation in a VANET (Vehicular Ad-Hoc Network) environment — directly applicable to your vehicular scenario.</w:t>
      </w:r>
    </w:p>
    <w:p>
      <w:pPr>
        <w:spacing w:before="0" w:after="40"/>
      </w:pPr>
    </w:p>
    <w:p>
      <w:pPr>
        <w:pStyle w:val="Heading3"/>
        <w:spacing w:before="200" w:after="80"/>
      </w:pPr>
      <w:r>
        <w:rPr>
          <w:rFonts w:ascii="Arial" w:cs="Arial" w:eastAsia="Arial" w:hAnsi="Arial"/>
          <w:b/>
          <w:bCs/>
          <w:color w:val="1F618D"/>
          <w:sz w:val="24"/>
          <w:szCs w:val="24"/>
        </w:rPr>
        <w:t xml:space="preserve">3. Methodology Structure</w:t>
      </w:r>
    </w:p>
    <w:p>
      <w:pPr>
        <w:spacing w:before="60" w:after="120"/>
      </w:pPr>
      <w:r>
        <w:rPr>
          <w:rFonts w:ascii="Arial" w:cs="Arial" w:eastAsia="Arial" w:hAnsi="Arial"/>
          <w:sz w:val="22"/>
          <w:szCs w:val="22"/>
        </w:rPr>
        <w:t xml:space="preserve">The architecture has two layers of intelligence: (1) the SDN Control Plane holds a global view of link utilisation, queue states, and historical traffic patterns; (2) a DRL agent embedded in the fog layer observes local + global state and outputs routing decisions.</w:t>
      </w:r>
    </w:p>
    <w:p>
      <w:pPr>
        <w:spacing w:before="60" w:after="120"/>
      </w:pPr>
      <w:r>
        <w:rPr>
          <w:rFonts w:ascii="Arial" w:cs="Arial" w:eastAsia="Arial" w:hAnsi="Arial"/>
          <w:sz w:val="22"/>
          <w:szCs w:val="22"/>
        </w:rPr>
        <w:t xml:space="preserve">The DRL agent uses a state vector containing: current link utilisation on each path, queue occupancy at each intermediate node, predicted traffic demand for next 5 seconds (from a learned model), and current task submission rates from vehicles in each zone.</w:t>
      </w:r>
    </w:p>
    <w:p>
      <w:pPr>
        <w:spacing w:before="60" w:after="120"/>
      </w:pPr>
      <w:r>
        <w:rPr>
          <w:rFonts w:ascii="Arial" w:cs="Arial" w:eastAsia="Arial" w:hAnsi="Arial"/>
          <w:sz w:val="22"/>
          <w:szCs w:val="22"/>
        </w:rPr>
        <w:t xml:space="preserve">Action space: select which physical path to route each incoming traffic flow through. Multiple paths exist between any fog node and the cloud. Priority levels can be assigned to flows.</w:t>
      </w:r>
    </w:p>
    <w:p>
      <w:pPr>
        <w:spacing w:before="60" w:after="120"/>
      </w:pPr>
      <w:r>
        <w:rPr>
          <w:rFonts w:ascii="Arial" w:cs="Arial" w:eastAsia="Arial" w:hAnsi="Arial"/>
          <w:sz w:val="22"/>
          <w:szCs w:val="22"/>
        </w:rPr>
        <w:t xml:space="preserve">Reward: weighted combination of packet delivery ratio (maximise), end-to-end delay (minimise), and routing overhead (minimise). Large negative penalty when congestion causes packet drop.</w:t>
      </w:r>
    </w:p>
    <w:p>
      <w:pPr>
        <w:spacing w:before="60" w:after="120"/>
      </w:pPr>
      <w:r>
        <w:rPr>
          <w:rFonts w:ascii="Arial" w:cs="Arial" w:eastAsia="Arial" w:hAnsi="Arial"/>
          <w:sz w:val="22"/>
          <w:szCs w:val="22"/>
        </w:rPr>
        <w:t xml:space="preserve">The SDN controller translates the DRL agent's path decisions into OpenFlow flow rules installed on physical switches. Pre-installation of rules before traffic arrival is the key mechanism that eliminates reactive latency.</w:t>
      </w:r>
    </w:p>
    <w:p>
      <w:pPr>
        <w:spacing w:before="0" w:after="40"/>
      </w:pPr>
    </w:p>
    <w:p>
      <w:pPr>
        <w:pStyle w:val="Heading3"/>
        <w:spacing w:before="200" w:after="80"/>
      </w:pPr>
      <w:r>
        <w:rPr>
          <w:rFonts w:ascii="Arial" w:cs="Arial" w:eastAsia="Arial" w:hAnsi="Arial"/>
          <w:b/>
          <w:bCs/>
          <w:color w:val="1F618D"/>
          <w:sz w:val="24"/>
          <w:szCs w:val="24"/>
        </w:rPr>
        <w:t xml:space="preserve">4. Real-Time? Constraints and Limitations</w:t>
      </w:r>
    </w:p>
    <w:p>
      <w:pPr>
        <w:spacing w:before="60" w:after="120"/>
      </w:pPr>
      <w:r>
        <w:rPr>
          <w:rFonts w:ascii="Arial" w:cs="Arial" w:eastAsia="Arial" w:hAnsi="Arial"/>
          <w:sz w:val="22"/>
          <w:szCs w:val="22"/>
        </w:rPr>
        <w:t xml:space="preserve">Yes — CSFD operates in real-time. The DRL agent makes routing decisions at each network event (new flow arrival). SDN rule installation happens in &lt;10ms when the agent's pre-computed rules are already in the controller's cache.</w:t>
      </w:r>
    </w:p>
    <w:p>
      <w:pPr>
        <w:spacing w:before="60" w:after="120"/>
      </w:pPr>
      <w:r>
        <w:rPr>
          <w:rFonts w:ascii="Arial" w:cs="Arial" w:eastAsia="Arial" w:hAnsi="Arial"/>
          <w:sz w:val="22"/>
          <w:szCs w:val="22"/>
        </w:rPr>
        <w:t xml:space="preserve">Constraint 1 — VANET-specific: tested in vehicular ad-hoc networks where vehicles communicate directly. Your system uses infrastructure fog nodes, which is more stable but the core SDN mechanism is identical.</w:t>
      </w:r>
    </w:p>
    <w:p>
      <w:pPr>
        <w:spacing w:before="60" w:after="120"/>
      </w:pPr>
      <w:r>
        <w:rPr>
          <w:rFonts w:ascii="Arial" w:cs="Arial" w:eastAsia="Arial" w:hAnsi="Arial"/>
          <w:sz w:val="22"/>
          <w:szCs w:val="22"/>
        </w:rPr>
        <w:t xml:space="preserve">Constraint 2 — Centralised controller still a single point of failure. They acknowledge the controller bottleneck but do not solve it — they mitigate it through prediction.</w:t>
      </w:r>
    </w:p>
    <w:p>
      <w:pPr>
        <w:spacing w:before="60" w:after="120"/>
      </w:pPr>
      <w:r>
        <w:rPr>
          <w:rFonts w:ascii="Arial" w:cs="Arial" w:eastAsia="Arial" w:hAnsi="Arial"/>
          <w:sz w:val="22"/>
          <w:szCs w:val="22"/>
        </w:rPr>
        <w:t xml:space="preserve">Limitation 1: No task offloading integration — they handle network routing only, not the compute placement decision. Your system integrates both (Agent 1 for compute, Agent 2 for routing) which is explicitly more complete.</w:t>
      </w:r>
    </w:p>
    <w:p>
      <w:pPr>
        <w:spacing w:before="60" w:after="120"/>
      </w:pPr>
      <w:r>
        <w:rPr>
          <w:rFonts w:ascii="Arial" w:cs="Arial" w:eastAsia="Arial" w:hAnsi="Arial"/>
          <w:sz w:val="22"/>
          <w:szCs w:val="22"/>
        </w:rPr>
        <w:t xml:space="preserve">Limitation 2: No energy objective in the network layer. Routing decisions do not consider energy consumption of switching equipment.</w:t>
      </w:r>
    </w:p>
    <w:p>
      <w:pPr>
        <w:spacing w:before="60" w:after="120"/>
      </w:pPr>
      <w:r>
        <w:rPr>
          <w:rFonts w:ascii="Arial" w:cs="Arial" w:eastAsia="Arial" w:hAnsi="Arial"/>
          <w:sz w:val="22"/>
          <w:szCs w:val="22"/>
        </w:rPr>
        <w:t xml:space="preserve">Limitation 3: Single-zone testing — they test in a relatively small network. Your city-scale multi-fog scenario is a harder and more realistic problem.</w:t>
      </w:r>
    </w:p>
    <w:p>
      <w:pPr>
        <w:spacing w:before="0" w:after="40"/>
      </w:pPr>
    </w:p>
    <w:p>
      <w:pPr>
        <w:pStyle w:val="Heading3"/>
        <w:spacing w:before="200" w:after="80"/>
      </w:pPr>
      <w:r>
        <w:rPr>
          <w:rFonts w:ascii="Arial" w:cs="Arial" w:eastAsia="Arial" w:hAnsi="Arial"/>
          <w:b/>
          <w:bCs/>
          <w:color w:val="1F618D"/>
          <w:sz w:val="24"/>
          <w:szCs w:val="24"/>
        </w:rPr>
        <w:t xml:space="preserve">5. Future Work and Room for Improvement</w:t>
      </w:r>
    </w:p>
    <w:p>
      <w:pPr>
        <w:spacing w:before="60" w:after="120"/>
      </w:pPr>
      <w:r>
        <w:rPr>
          <w:rFonts w:ascii="Arial" w:cs="Arial" w:eastAsia="Arial" w:hAnsi="Arial"/>
          <w:sz w:val="22"/>
          <w:szCs w:val="22"/>
        </w:rPr>
        <w:t xml:space="preserve">Authors suggest: (1) integrating compute offloading decisions with routing decisions into a joint optimisation framework — this is exactly your dual-agent design; (2) testing in larger vehicular network topologies with 100+ nodes; (3) adding energy efficiency as an objective for routing decisions; (4) exploring federated learning to distribute the DRL training across multiple fog nodes.</w:t>
      </w:r>
    </w:p>
    <w:p>
      <w:pPr>
        <w:spacing w:before="60" w:after="120"/>
      </w:pPr>
      <w:r>
        <w:rPr>
          <w:rFonts w:ascii="Arial" w:cs="Arial" w:eastAsia="Arial" w:hAnsi="Arial"/>
          <w:sz w:val="22"/>
          <w:szCs w:val="22"/>
        </w:rPr>
        <w:t xml:space="preserve">YOUR OPPORTUNITY: This paper is the closest published work to your RL Agent 2. You can directly compare your system against CSFD in your experiments and argue that your joint optimisation of both compute placement (Agent 1) and network routing (Agent 2) outperforms their routing-only approach.</w:t>
      </w:r>
    </w:p>
    <w:p>
      <w:pPr>
        <w:spacing w:before="0" w:after="40"/>
      </w:pPr>
    </w:p>
    <w:p>
      <w:pPr>
        <w:spacing w:before="0" w:after="80"/>
      </w:pPr>
    </w:p>
    <w:p>
      <w:pPr>
        <w:pBdr>
          <w:bottom w:val="single" w:color="2471A3" w:sz="8" w:space="1"/>
        </w:pBdr>
        <w:spacing w:before="240"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17A65" w:val="clear"/>
            <w:tcMar>
              <w:top w:type="dxa" w:w="60"/>
              <w:left w:type="dxa" w:w="160"/>
              <w:bottom w:type="dxa" w:w="60"/>
              <w:right w:type="dxa" w:w="120"/>
            </w:tcMar>
          </w:tcPr>
          <w:p>
            <w:r>
              <w:rPr>
                <w:rFonts w:ascii="Arial" w:cs="Arial" w:eastAsia="Arial" w:hAnsi="Arial"/>
                <w:b/>
                <w:bCs/>
                <w:color w:val="FFFFFF"/>
                <w:sz w:val="22"/>
                <w:szCs w:val="22"/>
              </w:rPr>
              <w:t xml:space="preserve">Paper 8 — Dynamic Task Offloading via Meta-Reinforcement Learning with DAG Modelling and NSGA-II</w:t>
            </w:r>
          </w:p>
        </w:tc>
      </w:tr>
    </w:tbl>
    <w:p>
      <w:pPr>
        <w:spacing w:before="0" w:after="40"/>
      </w:pPr>
    </w:p>
    <w:p>
      <w:pPr>
        <w:spacing w:before="60" w:after="120"/>
      </w:pPr>
      <w:r>
        <w:rPr>
          <w:rFonts w:ascii="Arial" w:cs="Arial" w:eastAsia="Arial" w:hAnsi="Arial"/>
          <w:b/>
          <w:bCs/>
          <w:color w:val="444444"/>
          <w:sz w:val="22"/>
          <w:szCs w:val="22"/>
        </w:rPr>
        <w:t xml:space="preserve">Source: </w:t>
      </w:r>
      <w:r>
        <w:rPr>
          <w:rFonts w:ascii="Arial" w:cs="Arial" w:eastAsia="Arial" w:hAnsi="Arial"/>
          <w:color w:val="2471A3"/>
          <w:sz w:val="22"/>
          <w:szCs w:val="22"/>
          <w:u w:val="single"/>
        </w:rPr>
        <w:t xml:space="preserve">https://www.sciencedirect.com/science/article/pii/S1546221825000712</w:t>
      </w:r>
    </w:p>
    <w:p>
      <w:pPr>
        <w:spacing w:before="60" w:after="120"/>
      </w:pPr>
      <w:r>
        <w:rPr>
          <w:rFonts w:ascii="Arial" w:cs="Arial" w:eastAsia="Arial" w:hAnsi="Arial"/>
          <w:b/>
          <w:bCs/>
          <w:color w:val="444444"/>
          <w:sz w:val="22"/>
          <w:szCs w:val="22"/>
        </w:rPr>
        <w:t xml:space="preserve">Year: </w:t>
      </w:r>
      <w:r>
        <w:rPr>
          <w:rFonts w:ascii="Arial" w:cs="Arial" w:eastAsia="Arial" w:hAnsi="Arial"/>
          <w:color w:val="222222"/>
          <w:sz w:val="22"/>
          <w:szCs w:val="22"/>
        </w:rPr>
        <w:t xml:space="preserve">2025   |   </w:t>
      </w:r>
      <w:r>
        <w:rPr>
          <w:rFonts w:ascii="Arial" w:cs="Arial" w:eastAsia="Arial" w:hAnsi="Arial"/>
          <w:b/>
          <w:bCs/>
          <w:color w:val="444444"/>
          <w:sz w:val="22"/>
          <w:szCs w:val="22"/>
        </w:rPr>
        <w:t xml:space="preserve">Venue: </w:t>
      </w:r>
      <w:r>
        <w:rPr>
          <w:rFonts w:ascii="Arial" w:cs="Arial" w:eastAsia="Arial" w:hAnsi="Arial"/>
          <w:color w:val="222222"/>
          <w:sz w:val="22"/>
          <w:szCs w:val="22"/>
        </w:rPr>
        <w:t xml:space="preserve">Journal of Manufacturing Systems, Elsevier (Feb 2025)</w:t>
      </w:r>
    </w:p>
    <w:p>
      <w:pPr>
        <w:spacing w:before="0" w:after="40"/>
      </w:pPr>
    </w:p>
    <w:p>
      <w:pPr>
        <w:pStyle w:val="Heading3"/>
        <w:spacing w:before="200" w:after="80"/>
      </w:pPr>
      <w:r>
        <w:rPr>
          <w:rFonts w:ascii="Arial" w:cs="Arial" w:eastAsia="Arial" w:hAnsi="Arial"/>
          <w:b/>
          <w:bCs/>
          <w:color w:val="1F618D"/>
          <w:sz w:val="24"/>
          <w:szCs w:val="24"/>
        </w:rPr>
        <w:t xml:space="preserve">1. Main Problem They Solved</w:t>
      </w:r>
    </w:p>
    <w:p>
      <w:pPr>
        <w:spacing w:before="60" w:after="120"/>
      </w:pPr>
      <w:r>
        <w:rPr>
          <w:rFonts w:ascii="Arial" w:cs="Arial" w:eastAsia="Arial" w:hAnsi="Arial"/>
          <w:sz w:val="22"/>
          <w:szCs w:val="22"/>
        </w:rPr>
        <w:t xml:space="preserve">The core problem is that existing task offloading strategies treat each task as independent and atomic, but real applications consist of dependent sub-tasks — a Directed Acyclic Graph. Running these sub-tasks on different edge nodes introduces inter-node data transfer delays that existing optimisers ignore, leading to severely underestimated total latency in practice.</w:t>
      </w:r>
    </w:p>
    <w:p>
      <w:pPr>
        <w:spacing w:before="60" w:after="120"/>
      </w:pPr>
      <w:r>
        <w:rPr>
          <w:rFonts w:ascii="Arial" w:cs="Arial" w:eastAsia="Arial" w:hAnsi="Arial"/>
          <w:sz w:val="22"/>
          <w:szCs w:val="22"/>
        </w:rPr>
        <w:t xml:space="preserve">The second problem is adaptability: a DRL agent trained on one network environment (specific fog load, bandwidth, task arrival rate) fails badly when conditions change. This is the distribution shift problem in RL — the agent learns a policy tuned to training conditions that does not generalise.</w:t>
      </w:r>
    </w:p>
    <w:p>
      <w:pPr>
        <w:spacing w:before="0" w:after="40"/>
      </w:pPr>
    </w:p>
    <w:p>
      <w:pPr>
        <w:pStyle w:val="Heading3"/>
        <w:spacing w:before="200" w:after="80"/>
      </w:pPr>
      <w:r>
        <w:rPr>
          <w:rFonts w:ascii="Arial" w:cs="Arial" w:eastAsia="Arial" w:hAnsi="Arial"/>
          <w:b/>
          <w:bCs/>
          <w:color w:val="1F618D"/>
          <w:sz w:val="24"/>
          <w:szCs w:val="24"/>
        </w:rPr>
        <w:t xml:space="preserve">2. Contributions</w:t>
      </w:r>
    </w:p>
    <w:p>
      <w:pPr>
        <w:pStyle w:val="ListParagraph"/>
        <w:numPr>
          <w:ilvl w:val="0"/>
          <w:numId w:val="2"/>
        </w:numPr>
        <w:spacing w:before="40" w:after="40"/>
      </w:pPr>
      <w:r>
        <w:rPr>
          <w:rFonts w:ascii="Arial" w:cs="Arial" w:eastAsia="Arial" w:hAnsi="Arial"/>
          <w:sz w:val="22"/>
          <w:szCs w:val="22"/>
        </w:rPr>
        <w:t xml:space="preserve">A DAG-based task model for distributed edge computing — each application is modelled as a DAG of dependent sub-tasks, each with computation demand (MI), input data size, and output data size. This is exactly the model your thesis needs.</w:t>
      </w:r>
    </w:p>
    <w:p>
      <w:pPr>
        <w:pStyle w:val="ListParagraph"/>
        <w:numPr>
          <w:ilvl w:val="0"/>
          <w:numId w:val="2"/>
        </w:numPr>
        <w:spacing w:before="40" w:after="40"/>
      </w:pPr>
      <w:r>
        <w:rPr>
          <w:rFonts w:ascii="Arial" w:cs="Arial" w:eastAsia="Arial" w:hAnsi="Arial"/>
          <w:sz w:val="22"/>
          <w:szCs w:val="22"/>
        </w:rPr>
        <w:t xml:space="preserve">A Meta-Reinforcement Learning (MRL) framework that combines multiple Markov Decision Processes with a sequence-to-sequence network. The agent learns to adapt its policy rapidly to new environments — solving the distribution shift problem.</w:t>
      </w:r>
    </w:p>
    <w:p>
      <w:pPr>
        <w:pStyle w:val="ListParagraph"/>
        <w:numPr>
          <w:ilvl w:val="0"/>
          <w:numId w:val="2"/>
        </w:numPr>
        <w:spacing w:before="40" w:after="40"/>
      </w:pPr>
      <w:r>
        <w:rPr>
          <w:rFonts w:ascii="Arial" w:cs="Arial" w:eastAsia="Arial" w:hAnsi="Arial"/>
          <w:sz w:val="22"/>
          <w:szCs w:val="22"/>
        </w:rPr>
        <w:t xml:space="preserve">Integration of NSGA-II into the framework to handle the joint optimisation of delay and energy consumption — the Pareto front from NSGA-II serves as a reference for the MRL agent's reward shaping.</w:t>
      </w:r>
    </w:p>
    <w:p>
      <w:pPr>
        <w:pStyle w:val="ListParagraph"/>
        <w:numPr>
          <w:ilvl w:val="0"/>
          <w:numId w:val="2"/>
        </w:numPr>
        <w:spacing w:before="40" w:after="40"/>
      </w:pPr>
      <w:r>
        <w:rPr>
          <w:rFonts w:ascii="Arial" w:cs="Arial" w:eastAsia="Arial" w:hAnsi="Arial"/>
          <w:sz w:val="22"/>
          <w:szCs w:val="22"/>
        </w:rPr>
        <w:t xml:space="preserve">Demonstrated improvement over standard DRL and NSGA-II alone in dynamic environments with changing network conditions.</w:t>
      </w:r>
    </w:p>
    <w:p>
      <w:pPr>
        <w:spacing w:before="0" w:after="40"/>
      </w:pPr>
    </w:p>
    <w:p>
      <w:pPr>
        <w:pStyle w:val="Heading3"/>
        <w:spacing w:before="200" w:after="80"/>
      </w:pPr>
      <w:r>
        <w:rPr>
          <w:rFonts w:ascii="Arial" w:cs="Arial" w:eastAsia="Arial" w:hAnsi="Arial"/>
          <w:b/>
          <w:bCs/>
          <w:color w:val="1F618D"/>
          <w:sz w:val="24"/>
          <w:szCs w:val="24"/>
        </w:rPr>
        <w:t xml:space="preserve">3. Methodology Structure</w:t>
      </w:r>
    </w:p>
    <w:p>
      <w:pPr>
        <w:spacing w:before="60" w:after="120"/>
      </w:pPr>
      <w:r>
        <w:rPr>
          <w:rFonts w:ascii="Arial" w:cs="Arial" w:eastAsia="Arial" w:hAnsi="Arial"/>
          <w:sz w:val="22"/>
          <w:szCs w:val="22"/>
        </w:rPr>
        <w:t xml:space="preserve">The DAG is modelled as G = (V, E) where each node vi has: computation demand (MI), memory requirement (MB), input data size from predecessor nodes, output data size to successor nodes. This is the exact formulation described in your documentation and provides a citable mathematical foundation.</w:t>
      </w:r>
    </w:p>
    <w:p>
      <w:pPr>
        <w:spacing w:before="60" w:after="120"/>
      </w:pPr>
      <w:r>
        <w:rPr>
          <w:rFonts w:ascii="Arial" w:cs="Arial" w:eastAsia="Arial" w:hAnsi="Arial"/>
          <w:sz w:val="22"/>
          <w:szCs w:val="22"/>
        </w:rPr>
        <w:t xml:space="preserve">The MRL framework treats each different network environment (combination of fog load, bandwidth, vehicle density) as a separate task in the meta-learning sense. The agent learns a meta-policy that can be quickly fine-tuned to any new environment with minimal samples.</w:t>
      </w:r>
    </w:p>
    <w:p>
      <w:pPr>
        <w:spacing w:before="60" w:after="120"/>
      </w:pPr>
      <w:r>
        <w:rPr>
          <w:rFonts w:ascii="Arial" w:cs="Arial" w:eastAsia="Arial" w:hAnsi="Arial"/>
          <w:sz w:val="22"/>
          <w:szCs w:val="22"/>
        </w:rPr>
        <w:t xml:space="preserve">NSGA-II integration: before MRL training, NSGA-II generates Pareto-optimal routing plans for a sample of historical DAG instances. These are used as demonstration data to initialise the MRL policy — exactly the offline-to-online pipeline in your architecture.</w:t>
      </w:r>
    </w:p>
    <w:p>
      <w:pPr>
        <w:spacing w:before="60" w:after="120"/>
      </w:pPr>
      <w:r>
        <w:rPr>
          <w:rFonts w:ascii="Arial" w:cs="Arial" w:eastAsia="Arial" w:hAnsi="Arial"/>
          <w:sz w:val="22"/>
          <w:szCs w:val="22"/>
        </w:rPr>
        <w:t xml:space="preserve">The sequence-to-sequence network encodes the DAG structure and outputs placement decisions for each node in topological order, respecting dependency constraints.</w:t>
      </w:r>
    </w:p>
    <w:p>
      <w:pPr>
        <w:spacing w:before="0" w:after="40"/>
      </w:pPr>
    </w:p>
    <w:p>
      <w:pPr>
        <w:pStyle w:val="Heading3"/>
        <w:spacing w:before="200" w:after="80"/>
      </w:pPr>
      <w:r>
        <w:rPr>
          <w:rFonts w:ascii="Arial" w:cs="Arial" w:eastAsia="Arial" w:hAnsi="Arial"/>
          <w:b/>
          <w:bCs/>
          <w:color w:val="1F618D"/>
          <w:sz w:val="24"/>
          <w:szCs w:val="24"/>
        </w:rPr>
        <w:t xml:space="preserve">4. Real-Time? Constraints and Limitations</w:t>
      </w:r>
    </w:p>
    <w:p>
      <w:pPr>
        <w:spacing w:before="60" w:after="120"/>
      </w:pPr>
      <w:r>
        <w:rPr>
          <w:rFonts w:ascii="Arial" w:cs="Arial" w:eastAsia="Arial" w:hAnsi="Arial"/>
          <w:sz w:val="22"/>
          <w:szCs w:val="22"/>
        </w:rPr>
        <w:t xml:space="preserve">Partially real-time. NSGA-II runs offline (batch mode). The MRL agent runs online in real-time at inference. The seq2seq network adds some latency compared to simple DQN — this is a trade-off for better DAG-awareness.</w:t>
      </w:r>
    </w:p>
    <w:p>
      <w:pPr>
        <w:spacing w:before="60" w:after="120"/>
      </w:pPr>
      <w:r>
        <w:rPr>
          <w:rFonts w:ascii="Arial" w:cs="Arial" w:eastAsia="Arial" w:hAnsi="Arial"/>
          <w:sz w:val="22"/>
          <w:szCs w:val="22"/>
        </w:rPr>
        <w:t xml:space="preserve">Constraint 1 — DAG structure assumed known in advance. In their model, the full DAG is known before execution begins. Your system must handle DAGs that arrive dynamically from vehicles.</w:t>
      </w:r>
    </w:p>
    <w:p>
      <w:pPr>
        <w:spacing w:before="60" w:after="120"/>
      </w:pPr>
      <w:r>
        <w:rPr>
          <w:rFonts w:ascii="Arial" w:cs="Arial" w:eastAsia="Arial" w:hAnsi="Arial"/>
          <w:sz w:val="22"/>
          <w:szCs w:val="22"/>
        </w:rPr>
        <w:t xml:space="preserve">Constraint 2 — No mobility model. They do not consider mobile devices — fog nodes are static and devices stay connected. Your mobility layer (trajectory prediction, handoffs) is not covered.</w:t>
      </w:r>
    </w:p>
    <w:p>
      <w:pPr>
        <w:spacing w:before="60" w:after="120"/>
      </w:pPr>
      <w:r>
        <w:rPr>
          <w:rFonts w:ascii="Arial" w:cs="Arial" w:eastAsia="Arial" w:hAnsi="Arial"/>
          <w:sz w:val="22"/>
          <w:szCs w:val="22"/>
        </w:rPr>
        <w:t xml:space="preserve">Limitation 1: Meta-learning requires diverse training environments. If the simulation environment is too homogeneous, the meta-policy does not learn to adapt well.</w:t>
      </w:r>
    </w:p>
    <w:p>
      <w:pPr>
        <w:spacing w:before="60" w:after="120"/>
      </w:pPr>
      <w:r>
        <w:rPr>
          <w:rFonts w:ascii="Arial" w:cs="Arial" w:eastAsia="Arial" w:hAnsi="Arial"/>
          <w:sz w:val="22"/>
          <w:szCs w:val="22"/>
        </w:rPr>
        <w:t xml:space="preserve">Limitation 2: DAG parallelism not fully exploited — they process nodes strictly in topological order, missing opportunities to parallelise independent branches.</w:t>
      </w:r>
    </w:p>
    <w:p>
      <w:pPr>
        <w:spacing w:before="60" w:after="120"/>
      </w:pPr>
      <w:r>
        <w:rPr>
          <w:rFonts w:ascii="Arial" w:cs="Arial" w:eastAsia="Arial" w:hAnsi="Arial"/>
          <w:sz w:val="22"/>
          <w:szCs w:val="22"/>
        </w:rPr>
        <w:t xml:space="preserve">Limitation 3: No SDN network layer — they assume simple network model with fixed bandwidth. Your SDN + Agent 2 adds the network dimension they lack.</w:t>
      </w:r>
    </w:p>
    <w:p>
      <w:pPr>
        <w:spacing w:before="0" w:after="40"/>
      </w:pPr>
    </w:p>
    <w:p>
      <w:pPr>
        <w:pStyle w:val="Heading3"/>
        <w:spacing w:before="200" w:after="80"/>
      </w:pPr>
      <w:r>
        <w:rPr>
          <w:rFonts w:ascii="Arial" w:cs="Arial" w:eastAsia="Arial" w:hAnsi="Arial"/>
          <w:b/>
          <w:bCs/>
          <w:color w:val="1F618D"/>
          <w:sz w:val="24"/>
          <w:szCs w:val="24"/>
        </w:rPr>
        <w:t xml:space="preserve">5. Future Work and Room for Improvement</w:t>
      </w:r>
    </w:p>
    <w:p>
      <w:pPr>
        <w:spacing w:before="60" w:after="120"/>
      </w:pPr>
      <w:r>
        <w:rPr>
          <w:rFonts w:ascii="Arial" w:cs="Arial" w:eastAsia="Arial" w:hAnsi="Arial"/>
          <w:sz w:val="22"/>
          <w:szCs w:val="22"/>
        </w:rPr>
        <w:t xml:space="preserve">Authors suggest: (1) extending to mobile device scenarios with handoff handling; (2) adding an SDN layer for network-aware DAG placement; (3) testing with larger and more complex DAG structures (branching, merging); (4) combining with a TOF-Broker style pre-filter to reduce the DAG optimisation problem size before the MRL agent sees it.</w:t>
      </w:r>
    </w:p>
    <w:p>
      <w:pPr>
        <w:spacing w:before="60" w:after="120"/>
      </w:pPr>
      <w:r>
        <w:rPr>
          <w:rFonts w:ascii="Arial" w:cs="Arial" w:eastAsia="Arial" w:hAnsi="Arial"/>
          <w:sz w:val="22"/>
          <w:szCs w:val="22"/>
        </w:rPr>
        <w:t xml:space="preserve">YOUR OPPORTUNITY: Points (1), (2), and (4) from their future work list are exactly what your architecture adds on top of their approach. This paper is strong justification for both your DAG modelling and your NSGA-II + RL pipeline. Cite it as the closest prior work that your system extends.</w:t>
      </w:r>
    </w:p>
    <w:p>
      <w:pPr>
        <w:spacing w:before="0" w:after="40"/>
      </w:pPr>
    </w:p>
    <w:p>
      <w:pPr>
        <w:spacing w:before="0" w:after="80"/>
      </w:pPr>
    </w:p>
    <w:p>
      <w:pPr>
        <w:pBdr>
          <w:bottom w:val="single" w:color="2471A3" w:sz="8" w:space="1"/>
        </w:pBdr>
        <w:spacing w:before="240"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84EA7" w:val="clear"/>
            <w:tcMar>
              <w:top w:type="dxa" w:w="60"/>
              <w:left w:type="dxa" w:w="160"/>
              <w:bottom w:type="dxa" w:w="60"/>
              <w:right w:type="dxa" w:w="120"/>
            </w:tcMar>
          </w:tcPr>
          <w:p>
            <w:r>
              <w:rPr>
                <w:rFonts w:ascii="Arial" w:cs="Arial" w:eastAsia="Arial" w:hAnsi="Arial"/>
                <w:b/>
                <w:bCs/>
                <w:color w:val="FFFFFF"/>
                <w:sz w:val="22"/>
                <w:szCs w:val="22"/>
              </w:rPr>
              <w:t xml:space="preserve">Paper 9 — MAVTO: Mobility-Aware Vehicular Task Offloading for UAV-Assisted VEC</w:t>
            </w:r>
          </w:p>
        </w:tc>
      </w:tr>
    </w:tbl>
    <w:p>
      <w:pPr>
        <w:spacing w:before="0" w:after="40"/>
      </w:pPr>
    </w:p>
    <w:p>
      <w:pPr>
        <w:spacing w:before="60" w:after="120"/>
      </w:pPr>
      <w:r>
        <w:rPr>
          <w:rFonts w:ascii="Arial" w:cs="Arial" w:eastAsia="Arial" w:hAnsi="Arial"/>
          <w:b/>
          <w:bCs/>
          <w:color w:val="444444"/>
          <w:sz w:val="22"/>
          <w:szCs w:val="22"/>
        </w:rPr>
        <w:t xml:space="preserve">Source: </w:t>
      </w:r>
      <w:r>
        <w:rPr>
          <w:rFonts w:ascii="Arial" w:cs="Arial" w:eastAsia="Arial" w:hAnsi="Arial"/>
          <w:color w:val="2471A3"/>
          <w:sz w:val="22"/>
          <w:szCs w:val="22"/>
          <w:u w:val="single"/>
        </w:rPr>
        <w:t xml:space="preserve">https://www.mdpi.com/2504-446X/8/11/696</w:t>
      </w:r>
    </w:p>
    <w:p>
      <w:pPr>
        <w:spacing w:before="60" w:after="120"/>
      </w:pPr>
      <w:r>
        <w:rPr>
          <w:rFonts w:ascii="Arial" w:cs="Arial" w:eastAsia="Arial" w:hAnsi="Arial"/>
          <w:b/>
          <w:bCs/>
          <w:color w:val="444444"/>
          <w:sz w:val="22"/>
          <w:szCs w:val="22"/>
        </w:rPr>
        <w:t xml:space="preserve">Year: </w:t>
      </w:r>
      <w:r>
        <w:rPr>
          <w:rFonts w:ascii="Arial" w:cs="Arial" w:eastAsia="Arial" w:hAnsi="Arial"/>
          <w:color w:val="222222"/>
          <w:sz w:val="22"/>
          <w:szCs w:val="22"/>
        </w:rPr>
        <w:t xml:space="preserve">2024   |   </w:t>
      </w:r>
      <w:r>
        <w:rPr>
          <w:rFonts w:ascii="Arial" w:cs="Arial" w:eastAsia="Arial" w:hAnsi="Arial"/>
          <w:b/>
          <w:bCs/>
          <w:color w:val="444444"/>
          <w:sz w:val="22"/>
          <w:szCs w:val="22"/>
        </w:rPr>
        <w:t xml:space="preserve">Venue: </w:t>
      </w:r>
      <w:r>
        <w:rPr>
          <w:rFonts w:ascii="Arial" w:cs="Arial" w:eastAsia="Arial" w:hAnsi="Arial"/>
          <w:color w:val="222222"/>
          <w:sz w:val="22"/>
          <w:szCs w:val="22"/>
        </w:rPr>
        <w:t xml:space="preserve">Drones, MDPI (Nov 2024) — open access</w:t>
      </w:r>
    </w:p>
    <w:p>
      <w:pPr>
        <w:spacing w:before="0" w:after="40"/>
      </w:pPr>
    </w:p>
    <w:p>
      <w:pPr>
        <w:pStyle w:val="Heading3"/>
        <w:spacing w:before="200" w:after="80"/>
      </w:pPr>
      <w:r>
        <w:rPr>
          <w:rFonts w:ascii="Arial" w:cs="Arial" w:eastAsia="Arial" w:hAnsi="Arial"/>
          <w:b/>
          <w:bCs/>
          <w:color w:val="1F618D"/>
          <w:sz w:val="24"/>
          <w:szCs w:val="24"/>
        </w:rPr>
        <w:t xml:space="preserve">1. Main Problem They Solved</w:t>
      </w:r>
    </w:p>
    <w:p>
      <w:pPr>
        <w:spacing w:before="60" w:after="120"/>
      </w:pPr>
      <w:r>
        <w:rPr>
          <w:rFonts w:ascii="Arial" w:cs="Arial" w:eastAsia="Arial" w:hAnsi="Arial"/>
          <w:sz w:val="22"/>
          <w:szCs w:val="22"/>
        </w:rPr>
        <w:t xml:space="preserve">The core problem is task offloading failure caused by vehicle mobility. When a vehicle offloads a task to an edge node (UAV in their case, fog node in yours), the vehicle may exit the edge node's coverage zone before the result is delivered. Existing systems either retransmit the entire task (high latency penalty) or drop it (task failure).</w:t>
      </w:r>
    </w:p>
    <w:p>
      <w:pPr>
        <w:spacing w:before="60" w:after="120"/>
      </w:pPr>
      <w:r>
        <w:rPr>
          <w:rFonts w:ascii="Arial" w:cs="Arial" w:eastAsia="Arial" w:hAnsi="Arial"/>
          <w:sz w:val="22"/>
          <w:szCs w:val="22"/>
        </w:rPr>
        <w:t xml:space="preserve">Their secondary problem is resource heterogeneity: different offloading scenarios require different strategies. A slow-moving vehicle on a straight road needs a different strategy than a fast-turning vehicle. A static single offload mode cannot handle this diversity.</w:t>
      </w:r>
    </w:p>
    <w:p>
      <w:pPr>
        <w:spacing w:before="0" w:after="40"/>
      </w:pPr>
    </w:p>
    <w:p>
      <w:pPr>
        <w:pStyle w:val="Heading3"/>
        <w:spacing w:before="200" w:after="80"/>
      </w:pPr>
      <w:r>
        <w:rPr>
          <w:rFonts w:ascii="Arial" w:cs="Arial" w:eastAsia="Arial" w:hAnsi="Arial"/>
          <w:b/>
          <w:bCs/>
          <w:color w:val="1F618D"/>
          <w:sz w:val="24"/>
          <w:szCs w:val="24"/>
        </w:rPr>
        <w:t xml:space="preserve">2. Contributions</w:t>
      </w:r>
    </w:p>
    <w:p>
      <w:pPr>
        <w:pStyle w:val="ListParagraph"/>
        <w:numPr>
          <w:ilvl w:val="0"/>
          <w:numId w:val="2"/>
        </w:numPr>
        <w:spacing w:before="40" w:after="40"/>
      </w:pPr>
      <w:r>
        <w:rPr>
          <w:rFonts w:ascii="Arial" w:cs="Arial" w:eastAsia="Arial" w:hAnsi="Arial"/>
          <w:sz w:val="22"/>
          <w:szCs w:val="22"/>
        </w:rPr>
        <w:t xml:space="preserve">MAVTO (Mobility-Aware Vehicular Task Offloading) algorithm — the first algorithm to explicitly distinguish between three offloading modes based on vehicle mobility prediction: direct mode (vehicle stays in zone), predictive mode (vehicle will leave but result can be pre-positioned), and hybrid mode (partial execution locally, partial at edge).</w:t>
      </w:r>
    </w:p>
    <w:p>
      <w:pPr>
        <w:pStyle w:val="ListParagraph"/>
        <w:numPr>
          <w:ilvl w:val="0"/>
          <w:numId w:val="2"/>
        </w:numPr>
        <w:spacing w:before="40" w:after="40"/>
      </w:pPr>
      <w:r>
        <w:rPr>
          <w:rFonts w:ascii="Arial" w:cs="Arial" w:eastAsia="Arial" w:hAnsi="Arial"/>
          <w:sz w:val="22"/>
          <w:szCs w:val="22"/>
        </w:rPr>
        <w:t xml:space="preserve">Vehicle position prediction based on motion information (speed + heading + GPS) — mathematically equivalent to your T_exit prediction formula. Provides a citable, peer-reviewed version of exactly the mechanism in your architecture.</w:t>
      </w:r>
    </w:p>
    <w:p>
      <w:pPr>
        <w:pStyle w:val="ListParagraph"/>
        <w:numPr>
          <w:ilvl w:val="0"/>
          <w:numId w:val="2"/>
        </w:numPr>
        <w:spacing w:before="40" w:after="40"/>
      </w:pPr>
      <w:r>
        <w:rPr>
          <w:rFonts w:ascii="Arial" w:cs="Arial" w:eastAsia="Arial" w:hAnsi="Arial"/>
          <w:sz w:val="22"/>
          <w:szCs w:val="22"/>
        </w:rPr>
        <w:t xml:space="preserve">Container-based virtualisation for efficient resource management — tasks run in containers that can be migrated between nodes without full re-execution.</w:t>
      </w:r>
    </w:p>
    <w:p>
      <w:pPr>
        <w:pStyle w:val="ListParagraph"/>
        <w:numPr>
          <w:ilvl w:val="0"/>
          <w:numId w:val="2"/>
        </w:numPr>
        <w:spacing w:before="40" w:after="40"/>
      </w:pPr>
      <w:r>
        <w:rPr>
          <w:rFonts w:ascii="Arial" w:cs="Arial" w:eastAsia="Arial" w:hAnsi="Arial"/>
          <w:sz w:val="22"/>
          <w:szCs w:val="22"/>
        </w:rPr>
        <w:t xml:space="preserve">Evaluation using real-world vehicular mobility datasets — significantly stronger validation than synthetic mobility models.</w:t>
      </w:r>
    </w:p>
    <w:p>
      <w:pPr>
        <w:pStyle w:val="ListParagraph"/>
        <w:numPr>
          <w:ilvl w:val="0"/>
          <w:numId w:val="2"/>
        </w:numPr>
        <w:spacing w:before="40" w:after="40"/>
      </w:pPr>
      <w:r>
        <w:rPr>
          <w:rFonts w:ascii="Arial" w:cs="Arial" w:eastAsia="Arial" w:hAnsi="Arial"/>
          <w:sz w:val="22"/>
          <w:szCs w:val="22"/>
        </w:rPr>
        <w:t xml:space="preserve">Task completion success rate improvement of 25%+ over non-mobility-aware baselines, especially under high vehicle speed and tight deadlines.</w:t>
      </w:r>
    </w:p>
    <w:p>
      <w:pPr>
        <w:spacing w:before="0" w:after="40"/>
      </w:pPr>
    </w:p>
    <w:p>
      <w:pPr>
        <w:pStyle w:val="Heading3"/>
        <w:spacing w:before="200" w:after="80"/>
      </w:pPr>
      <w:r>
        <w:rPr>
          <w:rFonts w:ascii="Arial" w:cs="Arial" w:eastAsia="Arial" w:hAnsi="Arial"/>
          <w:b/>
          <w:bCs/>
          <w:color w:val="1F618D"/>
          <w:sz w:val="24"/>
          <w:szCs w:val="24"/>
        </w:rPr>
        <w:t xml:space="preserve">3. Methodology Structure</w:t>
      </w:r>
    </w:p>
    <w:p>
      <w:pPr>
        <w:spacing w:before="60" w:after="120"/>
      </w:pPr>
      <w:r>
        <w:rPr>
          <w:rFonts w:ascii="Arial" w:cs="Arial" w:eastAsia="Arial" w:hAnsi="Arial"/>
          <w:sz w:val="22"/>
          <w:szCs w:val="22"/>
        </w:rPr>
        <w:t xml:space="preserve">Vehicle position prediction: given current position (x, y), speed v, and heading angle θ, the predicted position at time t is: x(t) = x + v*cos(θ)*t, y(t) = y + v*sin(θ)*t. Time-to-exit T_exit is computed as the time until the projected path intersects the edge node's coverage boundary. This is the exact formula in your documentation.</w:t>
      </w:r>
    </w:p>
    <w:p>
      <w:pPr>
        <w:spacing w:before="60" w:after="120"/>
      </w:pPr>
      <w:r>
        <w:rPr>
          <w:rFonts w:ascii="Arial" w:cs="Arial" w:eastAsia="Arial" w:hAnsi="Arial"/>
          <w:sz w:val="22"/>
          <w:szCs w:val="22"/>
        </w:rPr>
        <w:t xml:space="preserve">Mode selection logic: if T_exit &gt; T_exec (task finishes before vehicle leaves) → Direct mode. If T_exit &lt; T_exec but T_exit &gt; T_upload (enough time to upload and pre-position on destination node) → Predictive mode. Otherwise → Hybrid mode (split computation, partial local execution).</w:t>
      </w:r>
    </w:p>
    <w:p>
      <w:pPr>
        <w:spacing w:before="60" w:after="120"/>
      </w:pPr>
      <w:r>
        <w:rPr>
          <w:rFonts w:ascii="Arial" w:cs="Arial" w:eastAsia="Arial" w:hAnsi="Arial"/>
          <w:sz w:val="22"/>
          <w:szCs w:val="22"/>
        </w:rPr>
        <w:t xml:space="preserve">Container migration: when Predictive mode is triggered, the task container is cloned from the current edge node to the predicted next node before the vehicle exits. The vehicle connects to the next node and the task is already running there.</w:t>
      </w:r>
    </w:p>
    <w:p>
      <w:pPr>
        <w:spacing w:before="60" w:after="120"/>
      </w:pPr>
      <w:r>
        <w:rPr>
          <w:rFonts w:ascii="Arial" w:cs="Arial" w:eastAsia="Arial" w:hAnsi="Arial"/>
          <w:sz w:val="22"/>
          <w:szCs w:val="22"/>
        </w:rPr>
        <w:t xml:space="preserve">Resource allocation: MAVTO dynamically adjusts CPU and memory allocation to containers based on the task's remaining execution time budget (deadline minus elapsed time).</w:t>
      </w:r>
    </w:p>
    <w:p>
      <w:pPr>
        <w:spacing w:before="0" w:after="40"/>
      </w:pPr>
    </w:p>
    <w:p>
      <w:pPr>
        <w:pStyle w:val="Heading3"/>
        <w:spacing w:before="200" w:after="80"/>
      </w:pPr>
      <w:r>
        <w:rPr>
          <w:rFonts w:ascii="Arial" w:cs="Arial" w:eastAsia="Arial" w:hAnsi="Arial"/>
          <w:b/>
          <w:bCs/>
          <w:color w:val="1F618D"/>
          <w:sz w:val="24"/>
          <w:szCs w:val="24"/>
        </w:rPr>
        <w:t xml:space="preserve">4. Real-Time? Constraints and Limitations</w:t>
      </w:r>
    </w:p>
    <w:p>
      <w:pPr>
        <w:spacing w:before="60" w:after="120"/>
      </w:pPr>
      <w:r>
        <w:rPr>
          <w:rFonts w:ascii="Arial" w:cs="Arial" w:eastAsia="Arial" w:hAnsi="Arial"/>
          <w:sz w:val="22"/>
          <w:szCs w:val="22"/>
        </w:rPr>
        <w:t xml:space="preserve">Yes — MAVTO operates in real-time. Position prediction is a simple arithmetic calculation. Mode selection is a rule-based decision tree. Container migration adds some overhead (200–500ms for container state transfer) but is triggered early enough that this overhead is absorbed before the vehicle exits the zone.</w:t>
      </w:r>
    </w:p>
    <w:p>
      <w:pPr>
        <w:spacing w:before="60" w:after="120"/>
      </w:pPr>
      <w:r>
        <w:rPr>
          <w:rFonts w:ascii="Arial" w:cs="Arial" w:eastAsia="Arial" w:hAnsi="Arial"/>
          <w:sz w:val="22"/>
          <w:szCs w:val="22"/>
        </w:rPr>
        <w:t xml:space="preserve">Constraint 1 — UAV-specific: they use UAVs as mobile edge nodes that can reposition. Your system uses fixed infrastructure fog nodes, which means you rely on migration between nodes rather than the node following the vehicle. Your approach is simpler to implement.</w:t>
      </w:r>
    </w:p>
    <w:p>
      <w:pPr>
        <w:spacing w:before="60" w:after="120"/>
      </w:pPr>
      <w:r>
        <w:rPr>
          <w:rFonts w:ascii="Arial" w:cs="Arial" w:eastAsia="Arial" w:hAnsi="Arial"/>
          <w:sz w:val="22"/>
          <w:szCs w:val="22"/>
        </w:rPr>
        <w:t xml:space="preserve">Constraint 2 — GPS accuracy assumed: they assume GPS accuracy of ±5m which is reasonable for outdoor vehicular scenarios. For indoor or GPS-denied environments this breaks.</w:t>
      </w:r>
    </w:p>
    <w:p>
      <w:pPr>
        <w:spacing w:before="60" w:after="120"/>
      </w:pPr>
      <w:r>
        <w:rPr>
          <w:rFonts w:ascii="Arial" w:cs="Arial" w:eastAsia="Arial" w:hAnsi="Arial"/>
          <w:sz w:val="22"/>
          <w:szCs w:val="22"/>
        </w:rPr>
        <w:t xml:space="preserve">Limitation 1: No multi-objective optimisation — they optimise only task completion rate, not the energy-latency trade-off your system addresses.</w:t>
      </w:r>
    </w:p>
    <w:p>
      <w:pPr>
        <w:spacing w:before="60" w:after="120"/>
      </w:pPr>
      <w:r>
        <w:rPr>
          <w:rFonts w:ascii="Arial" w:cs="Arial" w:eastAsia="Arial" w:hAnsi="Arial"/>
          <w:sz w:val="22"/>
          <w:szCs w:val="22"/>
        </w:rPr>
        <w:t xml:space="preserve">Limitation 2: No SDN layer — network routing between nodes is not optimised. Your architecture adds SDN-managed migration paths.</w:t>
      </w:r>
    </w:p>
    <w:p>
      <w:pPr>
        <w:spacing w:before="60" w:after="120"/>
      </w:pPr>
      <w:r>
        <w:rPr>
          <w:rFonts w:ascii="Arial" w:cs="Arial" w:eastAsia="Arial" w:hAnsi="Arial"/>
          <w:sz w:val="22"/>
          <w:szCs w:val="22"/>
        </w:rPr>
        <w:t xml:space="preserve">Limitation 3: Hybrid mode is ad-hoc — the split ratio in hybrid mode is fixed, not optimised. An RL agent could learn optimal split ratios dynamically.</w:t>
      </w:r>
    </w:p>
    <w:p>
      <w:pPr>
        <w:spacing w:before="0" w:after="40"/>
      </w:pPr>
    </w:p>
    <w:p>
      <w:pPr>
        <w:pStyle w:val="Heading3"/>
        <w:spacing w:before="200" w:after="80"/>
      </w:pPr>
      <w:r>
        <w:rPr>
          <w:rFonts w:ascii="Arial" w:cs="Arial" w:eastAsia="Arial" w:hAnsi="Arial"/>
          <w:b/>
          <w:bCs/>
          <w:color w:val="1F618D"/>
          <w:sz w:val="24"/>
          <w:szCs w:val="24"/>
        </w:rPr>
        <w:t xml:space="preserve">5. Future Work and Room for Improvement</w:t>
      </w:r>
    </w:p>
    <w:p>
      <w:pPr>
        <w:spacing w:before="60" w:after="120"/>
      </w:pPr>
      <w:r>
        <w:rPr>
          <w:rFonts w:ascii="Arial" w:cs="Arial" w:eastAsia="Arial" w:hAnsi="Arial"/>
          <w:sz w:val="22"/>
          <w:szCs w:val="22"/>
        </w:rPr>
        <w:t xml:space="preserve">Authors suggest: (1) learning-based trajectory prediction using historical GPS traces rather than dead-reckoning (straight-line projection); (2) multi-objective optimisation incorporating energy alongside task completion rate; (3) integration with network layer optimisation for migration path selection; (4) handling GPS-denied scenarios using alternative positioning (V2X beacons, lidar odometry).</w:t>
      </w:r>
    </w:p>
    <w:p>
      <w:pPr>
        <w:spacing w:before="60" w:after="120"/>
      </w:pPr>
      <w:r>
        <w:rPr>
          <w:rFonts w:ascii="Arial" w:cs="Arial" w:eastAsia="Arial" w:hAnsi="Arial"/>
          <w:sz w:val="22"/>
          <w:szCs w:val="22"/>
        </w:rPr>
        <w:t xml:space="preserve">YOUR OPPORTUNITY: This is the most directly relevant paper to your mobility layer. Your system extends MAVTO by: adding NSGA-II multi-objective optimisation (point 2), adding SDN routing for migration (point 3), and replacing rule-based mode selection with a DRL agent that learns the optimal mode adaptively. Cite MAVTO as the primary prior work for your proactive handoff mechanism.</w:t>
      </w:r>
    </w:p>
    <w:p>
      <w:pPr>
        <w:spacing w:before="0" w:after="40"/>
      </w:pPr>
    </w:p>
    <w:p>
      <w:pPr>
        <w:spacing w:before="0" w:after="80"/>
      </w:pPr>
    </w:p>
    <w:p>
      <w:pPr>
        <w:pBdr>
          <w:bottom w:val="single" w:color="2471A3" w:sz="8" w:space="1"/>
        </w:pBdr>
        <w:spacing w:before="240"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03A2C" w:val="clear"/>
            <w:tcMar>
              <w:top w:type="dxa" w:w="60"/>
              <w:left w:type="dxa" w:w="160"/>
              <w:bottom w:type="dxa" w:w="60"/>
              <w:right w:type="dxa" w:w="120"/>
            </w:tcMar>
          </w:tcPr>
          <w:p>
            <w:r>
              <w:rPr>
                <w:rFonts w:ascii="Arial" w:cs="Arial" w:eastAsia="Arial" w:hAnsi="Arial"/>
                <w:b/>
                <w:bCs/>
                <w:color w:val="FFFFFF"/>
                <w:sz w:val="22"/>
                <w:szCs w:val="22"/>
              </w:rPr>
              <w:t xml:space="preserve">Paper 10 — Spatiotemporal VEC: Digital Twin + STGNN Prediction + A3C Task Caching</w:t>
            </w:r>
          </w:p>
        </w:tc>
      </w:tr>
    </w:tbl>
    <w:p>
      <w:pPr>
        <w:spacing w:before="0" w:after="40"/>
      </w:pPr>
    </w:p>
    <w:p>
      <w:pPr>
        <w:spacing w:before="60" w:after="120"/>
      </w:pPr>
      <w:r>
        <w:rPr>
          <w:rFonts w:ascii="Arial" w:cs="Arial" w:eastAsia="Arial" w:hAnsi="Arial"/>
          <w:b/>
          <w:bCs/>
          <w:color w:val="444444"/>
          <w:sz w:val="22"/>
          <w:szCs w:val="22"/>
        </w:rPr>
        <w:t xml:space="preserve">Source: </w:t>
      </w:r>
      <w:r>
        <w:rPr>
          <w:rFonts w:ascii="Arial" w:cs="Arial" w:eastAsia="Arial" w:hAnsi="Arial"/>
          <w:color w:val="2471A3"/>
          <w:sz w:val="22"/>
          <w:szCs w:val="22"/>
          <w:u w:val="single"/>
        </w:rPr>
        <w:t xml:space="preserve">https://www.sciencedirect.com/article/abs/pii/S0167739X24006435</w:t>
      </w:r>
    </w:p>
    <w:p>
      <w:pPr>
        <w:spacing w:before="60" w:after="120"/>
      </w:pPr>
      <w:r>
        <w:rPr>
          <w:rFonts w:ascii="Arial" w:cs="Arial" w:eastAsia="Arial" w:hAnsi="Arial"/>
          <w:b/>
          <w:bCs/>
          <w:color w:val="444444"/>
          <w:sz w:val="22"/>
          <w:szCs w:val="22"/>
        </w:rPr>
        <w:t xml:space="preserve">Year: </w:t>
      </w:r>
      <w:r>
        <w:rPr>
          <w:rFonts w:ascii="Arial" w:cs="Arial" w:eastAsia="Arial" w:hAnsi="Arial"/>
          <w:color w:val="222222"/>
          <w:sz w:val="22"/>
          <w:szCs w:val="22"/>
        </w:rPr>
        <w:t xml:space="preserve">2025   |   </w:t>
      </w:r>
      <w:r>
        <w:rPr>
          <w:rFonts w:ascii="Arial" w:cs="Arial" w:eastAsia="Arial" w:hAnsi="Arial"/>
          <w:b/>
          <w:bCs/>
          <w:color w:val="444444"/>
          <w:sz w:val="22"/>
          <w:szCs w:val="22"/>
        </w:rPr>
        <w:t xml:space="preserve">Venue: </w:t>
      </w:r>
      <w:r>
        <w:rPr>
          <w:rFonts w:ascii="Arial" w:cs="Arial" w:eastAsia="Arial" w:hAnsi="Arial"/>
          <w:color w:val="222222"/>
          <w:sz w:val="22"/>
          <w:szCs w:val="22"/>
        </w:rPr>
        <w:t xml:space="preserve">Future Generation Computer Systems, Elsevier (Jan 2025)</w:t>
      </w:r>
    </w:p>
    <w:p>
      <w:pPr>
        <w:spacing w:before="0" w:after="40"/>
      </w:pPr>
    </w:p>
    <w:p>
      <w:pPr>
        <w:pStyle w:val="Heading3"/>
        <w:spacing w:before="200" w:after="80"/>
      </w:pPr>
      <w:r>
        <w:rPr>
          <w:rFonts w:ascii="Arial" w:cs="Arial" w:eastAsia="Arial" w:hAnsi="Arial"/>
          <w:b/>
          <w:bCs/>
          <w:color w:val="1F618D"/>
          <w:sz w:val="24"/>
          <w:szCs w:val="24"/>
        </w:rPr>
        <w:t xml:space="preserve">1. Main Problem They Solved</w:t>
      </w:r>
    </w:p>
    <w:p>
      <w:pPr>
        <w:spacing w:before="60" w:after="120"/>
      </w:pPr>
      <w:r>
        <w:rPr>
          <w:rFonts w:ascii="Arial" w:cs="Arial" w:eastAsia="Arial" w:hAnsi="Arial"/>
          <w:sz w:val="22"/>
          <w:szCs w:val="22"/>
        </w:rPr>
        <w:t xml:space="preserve">Two connected problems in vehicular edge computing: (1) demand prediction — predicting which tasks will arrive at which edge nodes in the near future, so resources can be pre-allocated; and (2) task caching — deciding which computed results or partial computations to cache at edge nodes to avoid redundant computation when similar tasks arrive from different vehicles.</w:t>
      </w:r>
    </w:p>
    <w:p>
      <w:pPr>
        <w:spacing w:before="60" w:after="120"/>
      </w:pPr>
      <w:r>
        <w:rPr>
          <w:rFonts w:ascii="Arial" w:cs="Arial" w:eastAsia="Arial" w:hAnsi="Arial"/>
          <w:sz w:val="22"/>
          <w:szCs w:val="22"/>
        </w:rPr>
        <w:t xml:space="preserve">Their key observation is that vehicular tasks have spatiotemporal correlation — vehicles on the same road segment at similar times generate similar task types with similar computational demands. A food delivery app running on 50 cars in the same neighbourhood at lunch time generates nearly identical tasks. A smarter system exploits this to cache results and pre-position resources.</w:t>
      </w:r>
    </w:p>
    <w:p>
      <w:pPr>
        <w:spacing w:before="0" w:after="40"/>
      </w:pPr>
    </w:p>
    <w:p>
      <w:pPr>
        <w:pStyle w:val="Heading3"/>
        <w:spacing w:before="200" w:after="80"/>
      </w:pPr>
      <w:r>
        <w:rPr>
          <w:rFonts w:ascii="Arial" w:cs="Arial" w:eastAsia="Arial" w:hAnsi="Arial"/>
          <w:b/>
          <w:bCs/>
          <w:color w:val="1F618D"/>
          <w:sz w:val="24"/>
          <w:szCs w:val="24"/>
        </w:rPr>
        <w:t xml:space="preserve">2. Contributions</w:t>
      </w:r>
    </w:p>
    <w:p>
      <w:pPr>
        <w:pStyle w:val="ListParagraph"/>
        <w:numPr>
          <w:ilvl w:val="0"/>
          <w:numId w:val="2"/>
        </w:numPr>
        <w:spacing w:before="40" w:after="40"/>
      </w:pPr>
      <w:r>
        <w:rPr>
          <w:rFonts w:ascii="Arial" w:cs="Arial" w:eastAsia="Arial" w:hAnsi="Arial"/>
          <w:sz w:val="22"/>
          <w:szCs w:val="22"/>
        </w:rPr>
        <w:t xml:space="preserve">A Digital Twin (DT)-assisted vehicular edge environment — a virtual replica of the physical network that provides real-time data for DRL training without impacting the live system. This is a 2025-era technique that gives your RL agents a safe training environment.</w:t>
      </w:r>
    </w:p>
    <w:p>
      <w:pPr>
        <w:pStyle w:val="ListParagraph"/>
        <w:numPr>
          <w:ilvl w:val="0"/>
          <w:numId w:val="2"/>
        </w:numPr>
        <w:spacing w:before="40" w:after="40"/>
      </w:pPr>
      <w:r>
        <w:rPr>
          <w:rFonts w:ascii="Arial" w:cs="Arial" w:eastAsia="Arial" w:hAnsi="Arial"/>
          <w:sz w:val="22"/>
          <w:szCs w:val="22"/>
        </w:rPr>
        <w:t xml:space="preserve">A demand prediction model based on Spatio-Temporal Graph Neural Network (STGNN) — models the vehicular network as a graph where edges are roads and nodes are vehicles/fog nodes. Learns spatial (which roads) and temporal (which times of day) correlations to predict future task demand.</w:t>
      </w:r>
    </w:p>
    <w:p>
      <w:pPr>
        <w:pStyle w:val="ListParagraph"/>
        <w:numPr>
          <w:ilvl w:val="0"/>
          <w:numId w:val="2"/>
        </w:numPr>
        <w:spacing w:before="40" w:after="40"/>
      </w:pPr>
      <w:r>
        <w:rPr>
          <w:rFonts w:ascii="Arial" w:cs="Arial" w:eastAsia="Arial" w:hAnsi="Arial"/>
          <w:sz w:val="22"/>
          <w:szCs w:val="22"/>
        </w:rPr>
        <w:t xml:space="preserve">A task caching algorithm based on an improved A3C (Asynchronous Advantage Actor-Critic) DRL algorithm. The agent decides what to cache based on STGNN predictions.</w:t>
      </w:r>
    </w:p>
    <w:p>
      <w:pPr>
        <w:pStyle w:val="ListParagraph"/>
        <w:numPr>
          <w:ilvl w:val="0"/>
          <w:numId w:val="2"/>
        </w:numPr>
        <w:spacing w:before="40" w:after="40"/>
      </w:pPr>
      <w:r>
        <w:rPr>
          <w:rFonts w:ascii="Arial" w:cs="Arial" w:eastAsia="Arial" w:hAnsi="Arial"/>
          <w:sz w:val="22"/>
          <w:szCs w:val="22"/>
        </w:rPr>
        <w:t xml:space="preserve">A DNN partitioning model for partial offloading — splits neural network inference tasks into layers, deciding which layers run locally and which run at the edge. Relevant to your vehicular object detection DAG.</w:t>
      </w:r>
    </w:p>
    <w:p>
      <w:pPr>
        <w:pStyle w:val="ListParagraph"/>
        <w:numPr>
          <w:ilvl w:val="0"/>
          <w:numId w:val="2"/>
        </w:numPr>
        <w:spacing w:before="40" w:after="40"/>
      </w:pPr>
      <w:r>
        <w:rPr>
          <w:rFonts w:ascii="Arial" w:cs="Arial" w:eastAsia="Arial" w:hAnsi="Arial"/>
          <w:sz w:val="22"/>
          <w:szCs w:val="22"/>
        </w:rPr>
        <w:t xml:space="preserve">Dual time-scale optimisation: slow time-scale (seconds) for resource pre-allocation based on STGNN predictions; fast time-scale (milliseconds) for immediate task routing decisions.</w:t>
      </w:r>
    </w:p>
    <w:p>
      <w:pPr>
        <w:spacing w:before="0" w:after="40"/>
      </w:pPr>
    </w:p>
    <w:p>
      <w:pPr>
        <w:pStyle w:val="Heading3"/>
        <w:spacing w:before="200" w:after="80"/>
      </w:pPr>
      <w:r>
        <w:rPr>
          <w:rFonts w:ascii="Arial" w:cs="Arial" w:eastAsia="Arial" w:hAnsi="Arial"/>
          <w:b/>
          <w:bCs/>
          <w:color w:val="1F618D"/>
          <w:sz w:val="24"/>
          <w:szCs w:val="24"/>
        </w:rPr>
        <w:t xml:space="preserve">3. Methodology Structure</w:t>
      </w:r>
    </w:p>
    <w:p>
      <w:pPr>
        <w:spacing w:before="60" w:after="120"/>
      </w:pPr>
      <w:r>
        <w:rPr>
          <w:rFonts w:ascii="Arial" w:cs="Arial" w:eastAsia="Arial" w:hAnsi="Arial"/>
          <w:sz w:val="22"/>
          <w:szCs w:val="22"/>
        </w:rPr>
        <w:t xml:space="preserve">Digital Twin layer: a software replica of the fog network runs in parallel with the real simulation. It collects: vehicle positions, task arrival rates, fog node loads, network conditions. The DRL agents train on the DT before deploying decisions to the real network.</w:t>
      </w:r>
    </w:p>
    <w:p>
      <w:pPr>
        <w:spacing w:before="60" w:after="120"/>
      </w:pPr>
      <w:r>
        <w:rPr>
          <w:rFonts w:ascii="Arial" w:cs="Arial" w:eastAsia="Arial" w:hAnsi="Arial"/>
          <w:sz w:val="22"/>
          <w:szCs w:val="22"/>
        </w:rPr>
        <w:t xml:space="preserve">STGNN prediction: the vehicular network is represented as a graph G = (N, E) where nodes N are road intersections and fog zones, edges E represent road connectivity. The STGNN processes historical traffic data (vehicle counts, task types, arrival rates) using graph convolution (spatial) and LSTM (temporal) layers to output predicted demand for the next T seconds at each node.</w:t>
      </w:r>
    </w:p>
    <w:p>
      <w:pPr>
        <w:spacing w:before="60" w:after="120"/>
      </w:pPr>
      <w:r>
        <w:rPr>
          <w:rFonts w:ascii="Arial" w:cs="Arial" w:eastAsia="Arial" w:hAnsi="Arial"/>
          <w:sz w:val="22"/>
          <w:szCs w:val="22"/>
        </w:rPr>
        <w:t xml:space="preserve">A3C agent: asynchronous actor-critic with multiple parallel workers (each worker handles one fog zone). Actor network: outputs caching decisions (what to cache, where). Critic network: estimates expected cumulative reward. Workers share gradients to a global network — faster convergence than single-agent DRL.</w:t>
      </w:r>
    </w:p>
    <w:p>
      <w:pPr>
        <w:spacing w:before="60" w:after="120"/>
      </w:pPr>
      <w:r>
        <w:rPr>
          <w:rFonts w:ascii="Arial" w:cs="Arial" w:eastAsia="Arial" w:hAnsi="Arial"/>
          <w:sz w:val="22"/>
          <w:szCs w:val="22"/>
        </w:rPr>
        <w:t xml:space="preserve">DNN partitioning: models a neural network inference task as a DAG of layers. For each layer, a binary decision is made: run locally on device or at edge. The cut point that minimises total execution time + transmission time is found by dynamic programming.</w:t>
      </w:r>
    </w:p>
    <w:p>
      <w:pPr>
        <w:spacing w:before="0" w:after="40"/>
      </w:pPr>
    </w:p>
    <w:p>
      <w:pPr>
        <w:pStyle w:val="Heading3"/>
        <w:spacing w:before="200" w:after="80"/>
      </w:pPr>
      <w:r>
        <w:rPr>
          <w:rFonts w:ascii="Arial" w:cs="Arial" w:eastAsia="Arial" w:hAnsi="Arial"/>
          <w:b/>
          <w:bCs/>
          <w:color w:val="1F618D"/>
          <w:sz w:val="24"/>
          <w:szCs w:val="24"/>
        </w:rPr>
        <w:t xml:space="preserve">4. Real-Time? Constraints and Limitations</w:t>
      </w:r>
    </w:p>
    <w:p>
      <w:pPr>
        <w:spacing w:before="60" w:after="120"/>
      </w:pPr>
      <w:r>
        <w:rPr>
          <w:rFonts w:ascii="Arial" w:cs="Arial" w:eastAsia="Arial" w:hAnsi="Arial"/>
          <w:sz w:val="22"/>
          <w:szCs w:val="22"/>
        </w:rPr>
        <w:t xml:space="preserve">Yes — operates at two time scales. STGNN prediction runs every 5–10 seconds (slow scale, not latency-critical). A3C caching decisions run in real-time as tasks arrive (fast scale, millisecond latency).</w:t>
      </w:r>
    </w:p>
    <w:p>
      <w:pPr>
        <w:spacing w:before="60" w:after="120"/>
      </w:pPr>
      <w:r>
        <w:rPr>
          <w:rFonts w:ascii="Arial" w:cs="Arial" w:eastAsia="Arial" w:hAnsi="Arial"/>
          <w:sz w:val="22"/>
          <w:szCs w:val="22"/>
        </w:rPr>
        <w:t xml:space="preserve">Constraint 1 — Digital twin requires continuous synchronisation with the real system. If the network is unstable, the DT diverges from reality, degrading prediction quality.</w:t>
      </w:r>
    </w:p>
    <w:p>
      <w:pPr>
        <w:spacing w:before="60" w:after="120"/>
      </w:pPr>
      <w:r>
        <w:rPr>
          <w:rFonts w:ascii="Arial" w:cs="Arial" w:eastAsia="Arial" w:hAnsi="Arial"/>
          <w:sz w:val="22"/>
          <w:szCs w:val="22"/>
        </w:rPr>
        <w:t xml:space="preserve">Constraint 2 — STGNN requires significant historical data to train. In a cold-start scenario (new city, no historical data), the prediction model performs poorly.</w:t>
      </w:r>
    </w:p>
    <w:p>
      <w:pPr>
        <w:spacing w:before="60" w:after="120"/>
      </w:pPr>
      <w:r>
        <w:rPr>
          <w:rFonts w:ascii="Arial" w:cs="Arial" w:eastAsia="Arial" w:hAnsi="Arial"/>
          <w:sz w:val="22"/>
          <w:szCs w:val="22"/>
        </w:rPr>
        <w:t xml:space="preserve">Constraint 3 — A3C is more complex to implement than DQN. Multiple parallel workers need careful synchronisation. For a thesis simulation, starting with DQN (Paper 6's approach) is more manageable.</w:t>
      </w:r>
    </w:p>
    <w:p>
      <w:pPr>
        <w:spacing w:before="60" w:after="120"/>
      </w:pPr>
      <w:r>
        <w:rPr>
          <w:rFonts w:ascii="Arial" w:cs="Arial" w:eastAsia="Arial" w:hAnsi="Arial"/>
          <w:sz w:val="22"/>
          <w:szCs w:val="22"/>
        </w:rPr>
        <w:t xml:space="preserve">Limitation 1: No multi-objective optimisation (energy + latency) — they focus on minimising execution time only.</w:t>
      </w:r>
    </w:p>
    <w:p>
      <w:pPr>
        <w:spacing w:before="60" w:after="120"/>
      </w:pPr>
      <w:r>
        <w:rPr>
          <w:rFonts w:ascii="Arial" w:cs="Arial" w:eastAsia="Arial" w:hAnsi="Arial"/>
          <w:sz w:val="22"/>
          <w:szCs w:val="22"/>
        </w:rPr>
        <w:t xml:space="preserve">Limitation 2: Caching strategy is specific to repeated similar tasks. For your vehicular safety scenario (object detection on unique real-time frames), caching adds less value than in their scenario.</w:t>
      </w:r>
    </w:p>
    <w:p>
      <w:pPr>
        <w:spacing w:before="60" w:after="120"/>
      </w:pPr>
      <w:r>
        <w:rPr>
          <w:rFonts w:ascii="Arial" w:cs="Arial" w:eastAsia="Arial" w:hAnsi="Arial"/>
          <w:sz w:val="22"/>
          <w:szCs w:val="22"/>
        </w:rPr>
        <w:t xml:space="preserve">Limitation 3: No TOF-Broker or task pre-filtering — all tasks go through the full pipeline regardless of computational weight.</w:t>
      </w:r>
    </w:p>
    <w:p>
      <w:pPr>
        <w:spacing w:before="0" w:after="40"/>
      </w:pPr>
    </w:p>
    <w:p>
      <w:pPr>
        <w:pStyle w:val="Heading3"/>
        <w:spacing w:before="200" w:after="80"/>
      </w:pPr>
      <w:r>
        <w:rPr>
          <w:rFonts w:ascii="Arial" w:cs="Arial" w:eastAsia="Arial" w:hAnsi="Arial"/>
          <w:b/>
          <w:bCs/>
          <w:color w:val="1F618D"/>
          <w:sz w:val="24"/>
          <w:szCs w:val="24"/>
        </w:rPr>
        <w:t xml:space="preserve">5. Future Work and Room for Improvement</w:t>
      </w:r>
    </w:p>
    <w:p>
      <w:pPr>
        <w:spacing w:before="60" w:after="120"/>
      </w:pPr>
      <w:r>
        <w:rPr>
          <w:rFonts w:ascii="Arial" w:cs="Arial" w:eastAsia="Arial" w:hAnsi="Arial"/>
          <w:sz w:val="22"/>
          <w:szCs w:val="22"/>
        </w:rPr>
        <w:t xml:space="preserve">Authors suggest: (1) extending to multi-objective optimisation balancing energy and delay; (2) combining with a task pre-filtering mechanism to reduce load on the DRL agent; (3) testing in adversarial scenarios (GPS spoofing, sudden vehicle behaviour change); (4) applying federated learning to train STGNN across multiple cities without sharing raw data.</w:t>
      </w:r>
    </w:p>
    <w:p>
      <w:pPr>
        <w:spacing w:before="60" w:after="120"/>
      </w:pPr>
      <w:r>
        <w:rPr>
          <w:rFonts w:ascii="Arial" w:cs="Arial" w:eastAsia="Arial" w:hAnsi="Arial"/>
          <w:sz w:val="22"/>
          <w:szCs w:val="22"/>
        </w:rPr>
        <w:t xml:space="preserve">YOUR OPPORTUNITY: This paper gives you the most advanced citation for trajectory prediction and RL training methodology. Even if you do not implement STGNN yourself, you can cite it as the state-of-the-art and explain that your system uses a simpler linear prediction model as a reasonable approximation for the thesis scope, with STGNN as a clear future extension.</w:t>
      </w:r>
    </w:p>
    <w:p>
      <w:pPr>
        <w:spacing w:before="0" w:after="40"/>
      </w:pPr>
    </w:p>
    <w:p>
      <w:pPr>
        <w:spacing w:before="0" w:after="80"/>
      </w:pPr>
    </w:p>
    <w:p>
      <w:pPr>
        <w:pBdr>
          <w:bottom w:val="single" w:color="2471A3" w:sz="8" w:space="1"/>
        </w:pBdr>
        <w:spacing w:before="240" w:after="240"/>
      </w:pPr>
    </w:p>
    <w:p>
      <w:r>
        <w:br w:type="page"/>
      </w:r>
    </w:p>
    <w:p>
      <w:pPr>
        <w:pStyle w:val="Heading1"/>
        <w:spacing w:before="400" w:after="120"/>
      </w:pPr>
      <w:r>
        <w:rPr>
          <w:rFonts w:ascii="Arial" w:cs="Arial" w:eastAsia="Arial" w:hAnsi="Arial"/>
          <w:b/>
          <w:bCs/>
          <w:color w:val="1A5276"/>
          <w:sz w:val="36"/>
          <w:szCs w:val="36"/>
        </w:rPr>
        <w:t xml:space="preserve">Survey Summary Table — All 10 Papers</w:t>
      </w:r>
    </w:p>
    <w:p>
      <w:pPr>
        <w:spacing w:before="60" w:after="120"/>
      </w:pPr>
      <w:r>
        <w:rPr>
          <w:rFonts w:ascii="Arial" w:cs="Arial" w:eastAsia="Arial" w:hAnsi="Arial"/>
          <w:sz w:val="22"/>
          <w:szCs w:val="22"/>
        </w:rPr>
        <w:t xml:space="preserve">The table below covers all 10 papers in your research (Papers 1–5 original, Papers 6–10 new). Use this as the survey table for your thesis literature review chapter.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300"/>
        <w:gridCol w:w="1500"/>
        <w:gridCol w:w="2060"/>
        <w:gridCol w:w="2300"/>
      </w:tblGrid>
      <w:tr>
        <w:tc>
          <w:tcPr>
            <w:tcW w:type="dxa" w:w="11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80"/>
            </w:tcMar>
          </w:tcPr>
          <w:p>
            <w:r>
              <w:rPr>
                <w:rFonts w:ascii="Arial" w:cs="Arial" w:eastAsia="Arial" w:hAnsi="Arial"/>
                <w:b/>
                <w:bCs/>
                <w:color w:val="FFFFFF"/>
                <w:sz w:val="18"/>
                <w:szCs w:val="18"/>
              </w:rPr>
              <w:t xml:space="preserve">Paper</w:t>
            </w:r>
          </w:p>
        </w:tc>
        <w:tc>
          <w:tcPr>
            <w:tcW w:type="dxa" w:w="11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80"/>
            </w:tcMar>
          </w:tcPr>
          <w:p>
            <w:r>
              <w:rPr>
                <w:rFonts w:ascii="Arial" w:cs="Arial" w:eastAsia="Arial" w:hAnsi="Arial"/>
                <w:b/>
                <w:bCs/>
                <w:color w:val="FFFFFF"/>
                <w:sz w:val="18"/>
                <w:szCs w:val="18"/>
              </w:rPr>
              <w:t xml:space="preserve">Class</w:t>
            </w:r>
          </w:p>
        </w:tc>
        <w:tc>
          <w:tcPr>
            <w:tcW w:type="dxa" w:w="13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80"/>
            </w:tcMar>
          </w:tcPr>
          <w:p>
            <w:r>
              <w:rPr>
                <w:rFonts w:ascii="Arial" w:cs="Arial" w:eastAsia="Arial" w:hAnsi="Arial"/>
                <w:b/>
                <w:bCs/>
                <w:color w:val="FFFFFF"/>
                <w:sz w:val="18"/>
                <w:szCs w:val="18"/>
              </w:rPr>
              <w:t xml:space="preserve">Method</w:t>
            </w:r>
          </w:p>
        </w:tc>
        <w:tc>
          <w:tcPr>
            <w:tcW w:type="dxa" w:w="15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80"/>
            </w:tcMar>
          </w:tcPr>
          <w:p>
            <w:r>
              <w:rPr>
                <w:rFonts w:ascii="Arial" w:cs="Arial" w:eastAsia="Arial" w:hAnsi="Arial"/>
                <w:b/>
                <w:bCs/>
                <w:color w:val="FFFFFF"/>
                <w:sz w:val="18"/>
                <w:szCs w:val="18"/>
              </w:rPr>
              <w:t xml:space="preserve">Approach</w:t>
            </w:r>
          </w:p>
        </w:tc>
        <w:tc>
          <w:tcPr>
            <w:tcW w:type="dxa" w:w="206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80"/>
            </w:tcMar>
          </w:tcPr>
          <w:p>
            <w:r>
              <w:rPr>
                <w:rFonts w:ascii="Arial" w:cs="Arial" w:eastAsia="Arial" w:hAnsi="Arial"/>
                <w:b/>
                <w:bCs/>
                <w:color w:val="FFFFFF"/>
                <w:sz w:val="18"/>
                <w:szCs w:val="18"/>
              </w:rPr>
              <w:t xml:space="preserve">Contributions</w:t>
            </w:r>
          </w:p>
        </w:tc>
        <w:tc>
          <w:tcPr>
            <w:tcW w:type="dxa" w:w="23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80"/>
            </w:tcMar>
          </w:tcPr>
          <w:p>
            <w:r>
              <w:rPr>
                <w:rFonts w:ascii="Arial" w:cs="Arial" w:eastAsia="Arial" w:hAnsi="Arial"/>
                <w:b/>
                <w:bCs/>
                <w:color w:val="FFFFFF"/>
                <w:sz w:val="18"/>
                <w:szCs w:val="18"/>
              </w:rPr>
              <w:t xml:space="preserve">Limitations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bCs/>
                <w:sz w:val="18"/>
                <w:szCs w:val="18"/>
              </w:rPr>
              <w:t xml:space="preserve">P1 — Base NSGA-II (2021)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sz w:val="18"/>
                <w:szCs w:val="18"/>
              </w:rPr>
              <w:t xml:space="preserve">Metaheuristic Optimisation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sz w:val="18"/>
                <w:szCs w:val="18"/>
              </w:rPr>
              <w:t xml:space="preserve">NSGA-II + MMDE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sz w:val="18"/>
                <w:szCs w:val="18"/>
              </w:rPr>
              <w:t xml:space="preserve">Evolve routing maps using sorting and crowding distance; MMDE replaces standard mutation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sz w:val="18"/>
                <w:szCs w:val="18"/>
              </w:rPr>
              <w:t xml:space="preserve">Proved Pareto front balances energy and latency; MMDE improves convergence speed and solution robustness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sz w:val="18"/>
                <w:szCs w:val="18"/>
              </w:rPr>
              <w:t xml:space="preserve">Evaluates boulders on fog node — crashes at high MI tasks. No real-time adaptation. No mobility.</w:t>
            </w:r>
          </w:p>
        </w:tc>
      </w:tr>
      <w:tr>
        <w:tc>
          <w:tcPr>
            <w:tcW w:type="dxa" w:w="110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bCs/>
                <w:sz w:val="18"/>
                <w:szCs w:val="18"/>
              </w:rPr>
              <w:t xml:space="preserve">P2 — TOF-Broker (2024)</w:t>
            </w:r>
          </w:p>
        </w:tc>
        <w:tc>
          <w:tcPr>
            <w:tcW w:type="dxa" w:w="110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val="false"/>
                <w:bCs w:val="false"/>
                <w:sz w:val="18"/>
                <w:szCs w:val="18"/>
              </w:rPr>
              <w:t xml:space="preserve">Hybrid Task Offloading</w:t>
            </w:r>
          </w:p>
        </w:tc>
        <w:tc>
          <w:tcPr>
            <w:tcW w:type="dxa" w:w="130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val="false"/>
                <w:bCs w:val="false"/>
                <w:sz w:val="18"/>
                <w:szCs w:val="18"/>
              </w:rPr>
              <w:t xml:space="preserve">TOF-NSGA-II + iFogSim</w:t>
            </w:r>
          </w:p>
        </w:tc>
        <w:tc>
          <w:tcPr>
            <w:tcW w:type="dxa" w:w="150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val="false"/>
                <w:bCs w:val="false"/>
                <w:sz w:val="18"/>
                <w:szCs w:val="18"/>
              </w:rPr>
              <w:t xml:space="preserve">Pre-filter tasks by EC before NSGA-II; boulders to cloud, pebbles to fog</w:t>
            </w:r>
          </w:p>
        </w:tc>
        <w:tc>
          <w:tcPr>
            <w:tcW w:type="dxa" w:w="206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val="false"/>
                <w:bCs w:val="false"/>
                <w:sz w:val="18"/>
                <w:szCs w:val="18"/>
              </w:rPr>
              <w:t xml:space="preserve">12% energy reduction; eliminates fog crash from boulder tasks</w:t>
            </w:r>
          </w:p>
        </w:tc>
        <w:tc>
          <w:tcPr>
            <w:tcW w:type="dxa" w:w="230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val="false"/>
                <w:bCs w:val="false"/>
                <w:sz w:val="18"/>
                <w:szCs w:val="18"/>
              </w:rPr>
              <w:t xml:space="preserve">Pebble avalanche at 1,000+ tasks. No RL. No mobility. Plain NSGA-II (no MMDE).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bCs/>
                <w:sz w:val="18"/>
                <w:szCs w:val="18"/>
              </w:rPr>
              <w:t xml:space="preserve">P3 — SDN Survey (2023)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sz w:val="18"/>
                <w:szCs w:val="18"/>
              </w:rPr>
              <w:t xml:space="preserve">Network Infrastructure Survey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sz w:val="18"/>
                <w:szCs w:val="18"/>
              </w:rPr>
              <w:t xml:space="preserve">Systematic Literature Review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sz w:val="18"/>
                <w:szCs w:val="18"/>
              </w:rPr>
              <w:t xml:space="preserve">Compare centralised SDN vs. decentralised routing; decouple control plane from data plane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sz w:val="18"/>
                <w:szCs w:val="18"/>
              </w:rPr>
              <w:t xml:space="preserve">Validated SDN provides global traffic monitoring and real-time path reconfiguration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sz w:val="18"/>
                <w:szCs w:val="18"/>
              </w:rPr>
              <w:t xml:space="preserve">Centralised controller bottleneck at scale. Survey only — no implementation or RL.</w:t>
            </w:r>
          </w:p>
        </w:tc>
      </w:tr>
      <w:tr>
        <w:tc>
          <w:tcPr>
            <w:tcW w:type="dxa" w:w="110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bCs/>
                <w:sz w:val="18"/>
                <w:szCs w:val="18"/>
              </w:rPr>
              <w:t xml:space="preserve">P4 — MSA Survey (2024–25)</w:t>
            </w:r>
          </w:p>
        </w:tc>
        <w:tc>
          <w:tcPr>
            <w:tcW w:type="dxa" w:w="110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val="false"/>
                <w:bCs w:val="false"/>
                <w:sz w:val="18"/>
                <w:szCs w:val="18"/>
              </w:rPr>
              <w:t xml:space="preserve">Microservices Resource Mgmt Survey</w:t>
            </w:r>
          </w:p>
        </w:tc>
        <w:tc>
          <w:tcPr>
            <w:tcW w:type="dxa" w:w="130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val="false"/>
                <w:bCs w:val="false"/>
                <w:sz w:val="18"/>
                <w:szCs w:val="18"/>
              </w:rPr>
              <w:t xml:space="preserve">Taxonomy of 136 studies</w:t>
            </w:r>
          </w:p>
        </w:tc>
        <w:tc>
          <w:tcPr>
            <w:tcW w:type="dxa" w:w="150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val="false"/>
                <w:bCs w:val="false"/>
                <w:sz w:val="18"/>
                <w:szCs w:val="18"/>
              </w:rPr>
              <w:t xml:space="preserve">Categorise 5 resource management pillars: placement, provisioning, scheduling, allocation, replica selection</w:t>
            </w:r>
          </w:p>
        </w:tc>
        <w:tc>
          <w:tcPr>
            <w:tcW w:type="dxa" w:w="206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val="false"/>
                <w:bCs w:val="false"/>
                <w:sz w:val="18"/>
                <w:szCs w:val="18"/>
              </w:rPr>
              <w:t xml:space="preserve">First unified taxonomy bridging MSA and energy efficiency in fog/edge computing</w:t>
            </w:r>
          </w:p>
        </w:tc>
        <w:tc>
          <w:tcPr>
            <w:tcW w:type="dxa" w:w="230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val="false"/>
                <w:bCs w:val="false"/>
                <w:sz w:val="18"/>
                <w:szCs w:val="18"/>
              </w:rPr>
              <w:t xml:space="preserve">Survey only. NSGA-II identified as too slow for real-time DAGs — motivates RL integration.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bCs/>
                <w:sz w:val="18"/>
                <w:szCs w:val="18"/>
              </w:rPr>
              <w:t xml:space="preserve">P5 — Mobility (2023)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sz w:val="18"/>
                <w:szCs w:val="18"/>
              </w:rPr>
              <w:t xml:space="preserve">Mobile Fog Computing Framework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sz w:val="18"/>
                <w:szCs w:val="18"/>
              </w:rPr>
              <w:t xml:space="preserve">Queue-based Python Simulation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sz w:val="18"/>
                <w:szCs w:val="18"/>
              </w:rPr>
              <w:t xml:space="preserve">NTB/HTB dual-buffer for task migration between fog nodes on vehicle handoff</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sz w:val="18"/>
                <w:szCs w:val="18"/>
              </w:rPr>
              <w:t xml:space="preserve">50%+ latency reduction in high-mobility scenarios by eliminating task re-submission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sz w:val="18"/>
                <w:szCs w:val="18"/>
              </w:rPr>
              <w:t xml:space="preserve">Purely reactive — waits for disconnect before migrating. No trajectory prediction.</w:t>
            </w:r>
          </w:p>
        </w:tc>
      </w:tr>
      <w:tr>
        <w:tc>
          <w:tcPr>
            <w:tcW w:type="dxa" w:w="110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bCs/>
                <w:sz w:val="18"/>
                <w:szCs w:val="18"/>
              </w:rPr>
              <w:t xml:space="preserve">P6 — DRL VFC (2024)</w:t>
            </w:r>
          </w:p>
        </w:tc>
        <w:tc>
          <w:tcPr>
            <w:tcW w:type="dxa" w:w="110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val="false"/>
                <w:bCs w:val="false"/>
                <w:sz w:val="18"/>
                <w:szCs w:val="18"/>
              </w:rPr>
              <w:t xml:space="preserve">DRL Task Offloading — Vehicular</w:t>
            </w:r>
          </w:p>
        </w:tc>
        <w:tc>
          <w:tcPr>
            <w:tcW w:type="dxa" w:w="130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val="false"/>
                <w:bCs w:val="false"/>
                <w:sz w:val="18"/>
                <w:szCs w:val="18"/>
              </w:rPr>
              <w:t xml:space="preserve">DQN in grid city simulation</w:t>
            </w:r>
          </w:p>
        </w:tc>
        <w:tc>
          <w:tcPr>
            <w:tcW w:type="dxa" w:w="150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val="false"/>
                <w:bCs w:val="false"/>
                <w:sz w:val="18"/>
                <w:szCs w:val="18"/>
              </w:rPr>
              <w:t xml:space="preserve">Train DQN to select service vehicles for offloading; realistic hardware specs; city block mobility model</w:t>
            </w:r>
          </w:p>
        </w:tc>
        <w:tc>
          <w:tcPr>
            <w:tcW w:type="dxa" w:w="206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val="false"/>
                <w:bCs w:val="false"/>
                <w:sz w:val="18"/>
                <w:szCs w:val="18"/>
              </w:rPr>
              <w:t xml:space="preserve">Outperforms greedy and round-robin; reduces queue congestion significantly in high-load VFC</w:t>
            </w:r>
          </w:p>
        </w:tc>
        <w:tc>
          <w:tcPr>
            <w:tcW w:type="dxa" w:w="230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val="false"/>
                <w:bCs w:val="false"/>
                <w:sz w:val="18"/>
                <w:szCs w:val="18"/>
              </w:rPr>
              <w:t xml:space="preserve">No energy objective. No mobility handling during execution. No offline pre-training. Single agent only.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bCs/>
                <w:sz w:val="18"/>
                <w:szCs w:val="18"/>
              </w:rPr>
              <w:t xml:space="preserve">P7 — CSFD SDN+Fog+DRL (2025)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sz w:val="18"/>
                <w:szCs w:val="18"/>
              </w:rPr>
              <w:t xml:space="preserve">SDN-Fog DRL Routing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sz w:val="18"/>
                <w:szCs w:val="18"/>
              </w:rPr>
              <w:t xml:space="preserve">DRL agent + SDN controller (VANET)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sz w:val="18"/>
                <w:szCs w:val="18"/>
              </w:rPr>
              <w:t xml:space="preserve">DRL fog layer predicts congestion and pre-installs SDN flow rules before traffic arrives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sz w:val="18"/>
                <w:szCs w:val="18"/>
              </w:rPr>
              <w:t xml:space="preserve">Higher delivery ratio, lower latency vs. SDN-only and DRL-only baselines; proactive vs reactive routing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sz w:val="18"/>
                <w:szCs w:val="18"/>
              </w:rPr>
              <w:t xml:space="preserve">Routing only — no compute placement. No energy objective. No integration with task offloading agent.</w:t>
            </w:r>
          </w:p>
        </w:tc>
      </w:tr>
      <w:tr>
        <w:tc>
          <w:tcPr>
            <w:tcW w:type="dxa" w:w="110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bCs/>
                <w:sz w:val="18"/>
                <w:szCs w:val="18"/>
              </w:rPr>
              <w:t xml:space="preserve">P8 — DAG + MRL + NSGA-II (2025)</w:t>
            </w:r>
          </w:p>
        </w:tc>
        <w:tc>
          <w:tcPr>
            <w:tcW w:type="dxa" w:w="110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val="false"/>
                <w:bCs w:val="false"/>
                <w:sz w:val="18"/>
                <w:szCs w:val="18"/>
              </w:rPr>
              <w:t xml:space="preserve">DAG Offloading + Meta-RL</w:t>
            </w:r>
          </w:p>
        </w:tc>
        <w:tc>
          <w:tcPr>
            <w:tcW w:type="dxa" w:w="130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val="false"/>
                <w:bCs w:val="false"/>
                <w:sz w:val="18"/>
                <w:szCs w:val="18"/>
              </w:rPr>
              <w:t xml:space="preserve">MRL with seq2seq + NSGA-II pre-training</w:t>
            </w:r>
          </w:p>
        </w:tc>
        <w:tc>
          <w:tcPr>
            <w:tcW w:type="dxa" w:w="150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val="false"/>
                <w:bCs w:val="false"/>
                <w:sz w:val="18"/>
                <w:szCs w:val="18"/>
              </w:rPr>
              <w:t xml:space="preserve">Model applications as DAGs; NSGA-II generates offline demonstration data; MRL agent adapts to new environments</w:t>
            </w:r>
          </w:p>
        </w:tc>
        <w:tc>
          <w:tcPr>
            <w:tcW w:type="dxa" w:w="206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val="false"/>
                <w:bCs w:val="false"/>
                <w:sz w:val="18"/>
                <w:szCs w:val="18"/>
              </w:rPr>
              <w:t xml:space="preserve">Handles DAG dependencies correctly; adapts to changing network conditions faster than standard DRL</w:t>
            </w:r>
          </w:p>
        </w:tc>
        <w:tc>
          <w:tcPr>
            <w:tcW w:type="dxa" w:w="230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val="false"/>
                <w:bCs w:val="false"/>
                <w:sz w:val="18"/>
                <w:szCs w:val="18"/>
              </w:rPr>
              <w:t xml:space="preserve">No mobility model. No SDN layer. DAG structure must be known in advance. Complex implementation.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bCs/>
                <w:sz w:val="18"/>
                <w:szCs w:val="18"/>
              </w:rPr>
              <w:t xml:space="preserve">P9 — MAVTO Mobility (2024)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sz w:val="18"/>
                <w:szCs w:val="18"/>
              </w:rPr>
              <w:t xml:space="preserve">Mobility-Aware VEC Offloading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sz w:val="18"/>
                <w:szCs w:val="18"/>
              </w:rPr>
              <w:t xml:space="preserve">MAVTO algorithm + container migration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sz w:val="18"/>
                <w:szCs w:val="18"/>
              </w:rPr>
              <w:t xml:space="preserve">Predict T_exit from GPS+speed+heading; select direct/predictive/hybrid mode; migrate containers proactively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sz w:val="18"/>
                <w:szCs w:val="18"/>
              </w:rPr>
              <w:t xml:space="preserve">25%+ task completion improvement over non-mobility-aware baselines; validated on real mobility datasets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sz w:val="18"/>
                <w:szCs w:val="18"/>
              </w:rPr>
              <w:t xml:space="preserve">UAV-specific setup. No multi-objective optimisation. No SDN routing for migration paths. Mode selection rule-based not learned.</w:t>
            </w:r>
          </w:p>
        </w:tc>
      </w:tr>
      <w:tr>
        <w:tc>
          <w:tcPr>
            <w:tcW w:type="dxa" w:w="110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bCs/>
                <w:sz w:val="18"/>
                <w:szCs w:val="18"/>
              </w:rPr>
              <w:t xml:space="preserve">P10 — Spatiotemporal VEC (2025)</w:t>
            </w:r>
          </w:p>
        </w:tc>
        <w:tc>
          <w:tcPr>
            <w:tcW w:type="dxa" w:w="110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val="false"/>
                <w:bCs w:val="false"/>
                <w:sz w:val="18"/>
                <w:szCs w:val="18"/>
              </w:rPr>
              <w:t xml:space="preserve">Spatiotemporal DRL + Caching</w:t>
            </w:r>
          </w:p>
        </w:tc>
        <w:tc>
          <w:tcPr>
            <w:tcW w:type="dxa" w:w="130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val="false"/>
                <w:bCs w:val="false"/>
                <w:sz w:val="18"/>
                <w:szCs w:val="18"/>
              </w:rPr>
              <w:t xml:space="preserve">Digital Twin + STGNN + A3C</w:t>
            </w:r>
          </w:p>
        </w:tc>
        <w:tc>
          <w:tcPr>
            <w:tcW w:type="dxa" w:w="150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val="false"/>
                <w:bCs w:val="false"/>
                <w:sz w:val="18"/>
                <w:szCs w:val="18"/>
              </w:rPr>
              <w:t xml:space="preserve">STGNN predicts future task demand spatiotemporally; A3C agent caches results; DNN partitioning for partial offload</w:t>
            </w:r>
          </w:p>
        </w:tc>
        <w:tc>
          <w:tcPr>
            <w:tcW w:type="dxa" w:w="206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val="false"/>
                <w:bCs w:val="false"/>
                <w:sz w:val="18"/>
                <w:szCs w:val="18"/>
              </w:rPr>
              <w:t xml:space="preserve">Dual time-scale optimisation; reduced redundant computation via caching; Digital Twin enables safe RL training</w:t>
            </w:r>
          </w:p>
        </w:tc>
        <w:tc>
          <w:tcPr>
            <w:tcW w:type="dxa" w:w="230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80"/>
            </w:tcMar>
          </w:tcPr>
          <w:p>
            <w:r>
              <w:rPr>
                <w:rFonts w:ascii="Arial" w:cs="Arial" w:eastAsia="Arial" w:hAnsi="Arial"/>
                <w:b w:val="false"/>
                <w:bCs w:val="false"/>
                <w:sz w:val="18"/>
                <w:szCs w:val="18"/>
              </w:rPr>
              <w:t xml:space="preserve">Complex implementation (STGNN + A3C). Caching less useful for real-time unique tasks. No task pre-filtering. No energy objective.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17A65"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HOW YOUR THESIS IS POSITIONED</w:t>
            </w:r>
          </w:p>
        </w:tc>
        <w:tc>
          <w:tcPr>
            <w:tcW w:type="dxa" w:w="7960"/>
            <w:tcBorders>
              <w:top w:val="single" w:color="CCCCCC" w:sz="1"/>
              <w:left w:val="single" w:color="CCCCCC" w:sz="1"/>
              <w:bottom w:val="single" w:color="CCCCCC" w:sz="1"/>
              <w:right w:val="single" w:color="CCCCCC" w:sz="1"/>
            </w:tcBorders>
            <w:shd w:fill="EAFAF1" w:val="clear"/>
            <w:tcMar>
              <w:top w:type="dxa" w:w="80"/>
              <w:left w:type="dxa" w:w="160"/>
              <w:bottom w:type="dxa" w:w="80"/>
              <w:right w:type="dxa" w:w="120"/>
            </w:tcMar>
          </w:tcPr>
          <w:p>
            <w:r>
              <w:rPr>
                <w:rFonts w:ascii="Arial" w:cs="Arial" w:eastAsia="Arial" w:hAnsi="Arial"/>
                <w:sz w:val="21"/>
                <w:szCs w:val="21"/>
              </w:rPr>
              <w:t xml:space="preserve">No single paper among all 10 combines: TOF-Broker pre-filtering + MMDE-NSGA-II offline optimisation + DRL Agent 1 for compute placement + DRL Agent 2 for SDN routing + proactive mobility handoff with T_exit prediction. Your work is the first to unify all five components into one pipeline. That is your novelty claim.</w:t>
            </w:r>
          </w:p>
        </w:tc>
      </w:tr>
    </w:tbl>
    <w:p>
      <w:pPr>
        <w:spacing w:before="0" w:after="8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5276"/>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471A3"/>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61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2026-03-22T07:50:03.687Z</dcterms:created>
  <dcterms:modified xsi:type="dcterms:W3CDTF">2026-03-22T07:50:03.687Z</dcterms:modified>
</cp:coreProperties>
</file>

<file path=docProps/custom.xml><?xml version="1.0" encoding="utf-8"?>
<Properties xmlns="http://schemas.openxmlformats.org/officeDocument/2006/custom-properties" xmlns:vt="http://schemas.openxmlformats.org/officeDocument/2006/docPropsVTypes"/>
</file>