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76E8D9" wp14:paraId="6349FDBA" wp14:textId="135EDFCB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Project Plan</w:t>
      </w:r>
    </w:p>
    <w:p xmlns:wp14="http://schemas.microsoft.com/office/word/2010/wordml" w:rsidP="6A76E8D9" wp14:paraId="3A362CDC" wp14:textId="4F20675D">
      <w:pPr>
        <w:pStyle w:val="Heading4"/>
        <w:shd w:val="clear" w:color="auto" w:fill="FFFFFF" w:themeFill="background1"/>
        <w:spacing w:before="240" w:beforeAutospacing="off" w:after="12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1. Project Overview</w:t>
      </w:r>
    </w:p>
    <w:p xmlns:wp14="http://schemas.microsoft.com/office/word/2010/wordml" w:rsidP="18C34000" wp14:paraId="21303A0B" wp14:textId="02C46D8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Project Title: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Privacy Benchmarking Tool for Secure &amp; Accurate Federated Learning  </w:t>
      </w:r>
    </w:p>
    <w:p xmlns:wp14="http://schemas.microsoft.com/office/word/2010/wordml" w:rsidP="6A76E8D9" wp14:paraId="4C652504" wp14:textId="353611A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Primary Objective: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To validate and extend the previous finding that selective encryption of early layers in a CNN is the most efficient method for protecting model parameters in Federated Learning against privacy attacks.</w:t>
      </w:r>
    </w:p>
    <w:p xmlns:wp14="http://schemas.microsoft.com/office/word/2010/wordml" w:rsidP="6A76E8D9" wp14:paraId="3B4F5E3E" wp14:textId="377784C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Key Question: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Does the "sweet spot" of encrypting only the first 1-2 layers hold true for different model architectures and under more sophisticated attack scenarios?</w:t>
      </w:r>
    </w:p>
    <w:p xmlns:wp14="http://schemas.microsoft.com/office/word/2010/wordml" w:rsidP="6A76E8D9" wp14:paraId="6AA6D7B8" wp14:textId="7596A85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Success Criteria:</w:t>
      </w:r>
    </w:p>
    <w:p xmlns:wp14="http://schemas.microsoft.com/office/word/2010/wordml" w:rsidP="6A76E8D9" wp14:paraId="44D11A42" wp14:textId="39D12D15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Reproduce the previous group's core results on ResNet18/CIFAR-100.</w:t>
      </w:r>
    </w:p>
    <w:p xmlns:wp14="http://schemas.microsoft.com/office/word/2010/wordml" w:rsidP="6A76E8D9" wp14:paraId="186C2B28" wp14:textId="37DE12D0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Successfully test at least one additional model architecture (e.g., VGG, a simple custom CNN).</w:t>
      </w:r>
    </w:p>
    <w:p xmlns:wp14="http://schemas.microsoft.com/office/word/2010/wordml" w:rsidP="6A76E8D9" wp14:paraId="223EAE84" wp14:textId="06ED4DFD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Introduce and evaluate a new, more complex attack strategy (e.g., based on the future work's "randomized parameters").</w:t>
      </w:r>
    </w:p>
    <w:p xmlns:wp14="http://schemas.microsoft.com/office/word/2010/wordml" w:rsidP="6A76E8D9" wp14:paraId="64782B5D" wp14:textId="52292CA9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Provide clear, data-backed recommendations on optimal encryption strategies.</w:t>
      </w:r>
    </w:p>
    <w:p xmlns:wp14="http://schemas.microsoft.com/office/word/2010/wordml" w:rsidP="6A76E8D9" wp14:paraId="0157934C" wp14:textId="5CA79A52">
      <w:pPr>
        <w:pStyle w:val="Heading4"/>
        <w:shd w:val="clear" w:color="auto" w:fill="FFFFFF" w:themeFill="background1"/>
        <w:spacing w:before="240" w:beforeAutospacing="off" w:after="12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2. Scope</w:t>
      </w:r>
    </w:p>
    <w:p xmlns:wp14="http://schemas.microsoft.com/office/word/2010/wordml" w:rsidP="6A76E8D9" wp14:paraId="5BD4249C" wp14:textId="071EDA9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In-Scope:</w:t>
      </w:r>
    </w:p>
    <w:p xmlns:wp14="http://schemas.microsoft.com/office/word/2010/wordml" w:rsidP="6A76E8D9" wp14:paraId="4ED8FA8B" wp14:textId="6B78FB59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Models: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ResNet18 (for replication), and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one new model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(e.g., VGG16 or a simpler CNN to see if the effect is architecture-dependent).</w:t>
      </w:r>
    </w:p>
    <w:p xmlns:wp14="http://schemas.microsoft.com/office/word/2010/wordml" w:rsidP="6A76E8D9" wp14:paraId="02C6A71F" wp14:textId="607E7A7B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Dataset: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CIFAR-100 (for consistency and comparison).</w:t>
      </w:r>
    </w:p>
    <w:p xmlns:wp14="http://schemas.microsoft.com/office/word/2010/wordml" w:rsidP="6A76E8D9" wp14:paraId="5AE17EF7" wp14:textId="635E5433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Tools: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TenSEAL (for HE), Breaching library (for attacks), PyTorch/TensorFlow (for FL simulation).</w:t>
      </w:r>
    </w:p>
    <w:p xmlns:wp14="http://schemas.microsoft.com/office/word/2010/wordml" w:rsidP="6A76E8D9" wp14:paraId="363C436D" wp14:textId="3E8A6674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Experiments: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Re-running "Yin", "Random", and "None" attacks while varying the number and location of encrypted layers.</w:t>
      </w:r>
    </w:p>
    <w:p xmlns:wp14="http://schemas.microsoft.com/office/word/2010/wordml" w:rsidP="6A76E8D9" wp14:paraId="3FE67D64" wp14:textId="39A52CB6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New Element: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Designing a simple "confusion" strategy where some client updates are intentionally noisy or randomized.</w:t>
      </w:r>
    </w:p>
    <w:p xmlns:wp14="http://schemas.microsoft.com/office/word/2010/wordml" w:rsidP="6A76E8D9" wp14:paraId="63A12A3E" wp14:textId="2DC6E77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Out-of-Scope:</w:t>
      </w:r>
    </w:p>
    <w:p xmlns:wp14="http://schemas.microsoft.com/office/word/2010/wordml" w:rsidP="6A76E8D9" wp14:paraId="73EA66EE" wp14:textId="46BF4212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Testing on very large-scale datasets (e.g., ImageNet).</w:t>
      </w:r>
    </w:p>
    <w:p xmlns:wp14="http://schemas.microsoft.com/office/word/2010/wordml" w:rsidP="6A76E8D9" wp14:paraId="0FB79FAB" wp14:textId="319B1083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Developing a new encryption library or a new attack method from scratch.</w:t>
      </w:r>
    </w:p>
    <w:p xmlns:wp14="http://schemas.microsoft.com/office/word/2010/wordml" w:rsidP="6A76E8D9" wp14:paraId="2DAFF838" wp14:textId="6EB5F845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 full-blown, multi-institution FL deployment. This remains a simulation.</w:t>
      </w:r>
    </w:p>
    <w:p xmlns:wp14="http://schemas.microsoft.com/office/word/2010/wordml" w:rsidP="6A76E8D9" wp14:paraId="17C74FFA" wp14:textId="5A433D2E">
      <w:pPr>
        <w:pStyle w:val="Heading4"/>
        <w:shd w:val="clear" w:color="auto" w:fill="FFFFFF" w:themeFill="background1"/>
        <w:spacing w:before="240" w:beforeAutospacing="off" w:after="24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3. Milestones, Deliverables &amp; Timeline (Example for a 12-week project)</w:t>
      </w:r>
    </w:p>
    <w:tbl>
      <w:tblPr>
        <w:tblStyle w:val="TableNormal"/>
        <w:bidiVisual w:val="0"/>
        <w:tblW w:w="0" w:type="auto"/>
        <w:tblInd w:w="-1020" w:type="dxa"/>
        <w:tblLayout w:type="fixed"/>
        <w:tblLook w:val="06A0" w:firstRow="1" w:lastRow="0" w:firstColumn="1" w:lastColumn="0" w:noHBand="1" w:noVBand="1"/>
      </w:tblPr>
      <w:tblGrid>
        <w:gridCol w:w="1500"/>
        <w:gridCol w:w="4554"/>
        <w:gridCol w:w="5760"/>
      </w:tblGrid>
      <w:tr w:rsidR="6A76E8D9" w:rsidTr="18C34000" w14:paraId="774F1A32">
        <w:trPr>
          <w:trHeight w:val="300"/>
        </w:trPr>
        <w:tc>
          <w:tcPr>
            <w:tcW w:w="1500" w:type="dxa"/>
            <w:tcBorders>
              <w:top w:val="nil"/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444A7AB3" w14:textId="053EB7C5">
            <w:pPr>
              <w:shd w:val="clear" w:color="auto" w:fill="FFFFFF" w:themeFill="background1"/>
              <w:spacing w:before="0" w:beforeAutospacing="off" w:after="0" w:afterAutospacing="off" w:line="375" w:lineRule="auto"/>
              <w:jc w:val="left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Week</w:t>
            </w:r>
          </w:p>
        </w:tc>
        <w:tc>
          <w:tcPr>
            <w:tcW w:w="4554" w:type="dxa"/>
            <w:tcBorders>
              <w:top w:val="nil"/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3300710F" w14:textId="5E6FC2BB">
            <w:pPr>
              <w:shd w:val="clear" w:color="auto" w:fill="FFFFFF" w:themeFill="background1"/>
              <w:spacing w:before="0" w:beforeAutospacing="off" w:after="0" w:afterAutospacing="off" w:line="375" w:lineRule="auto"/>
              <w:jc w:val="left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Milestone</w:t>
            </w:r>
          </w:p>
        </w:tc>
        <w:tc>
          <w:tcPr>
            <w:tcW w:w="5760" w:type="dxa"/>
            <w:tcBorders>
              <w:top w:val="nil"/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44DA3657" w14:textId="3975B5A1">
            <w:pPr>
              <w:shd w:val="clear" w:color="auto" w:fill="FFFFFF" w:themeFill="background1"/>
              <w:spacing w:before="0" w:beforeAutospacing="off" w:after="0" w:afterAutospacing="off" w:line="375" w:lineRule="auto"/>
              <w:jc w:val="left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Deliverable</w:t>
            </w:r>
          </w:p>
        </w:tc>
      </w:tr>
      <w:tr w:rsidR="6A76E8D9" w:rsidTr="18C34000" w14:paraId="4D508DC9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18C34000" w:rsidRDefault="6A76E8D9" w14:paraId="08721B05" w14:textId="21BB0D4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ind w:left="0" w:right="0"/>
              <w:jc w:val="left"/>
            </w:pPr>
            <w:r w:rsidRPr="18C34000" w:rsidR="7CFA6AD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3-4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3ABE4A85" w14:textId="28440369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Project Setup &amp; Environment Reproducibility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1506B244" w14:textId="2F30BC0E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A working code environment that can run the previous group's baseline (ResNet18, no encryption, under attack).</w:t>
            </w:r>
          </w:p>
        </w:tc>
      </w:tr>
      <w:tr w:rsidR="6A76E8D9" w:rsidTr="18C34000" w14:paraId="7B621F83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18C34000" w:rsidRDefault="6A76E8D9" w14:paraId="1804176F" w14:textId="5973FB3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ind w:left="0" w:right="0"/>
              <w:jc w:val="left"/>
            </w:pPr>
            <w:r w:rsidRPr="18C34000" w:rsidR="56C4C3C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5-7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34AA6D15" w14:textId="1D081FB8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Milestone 1: Core Validation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076472AC" w14:textId="25A4D486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A report and graphs confirming the previous results (PSNR/SSIM vs. # of encrypted layers for ResNet18).</w:t>
            </w:r>
          </w:p>
        </w:tc>
      </w:tr>
      <w:tr w:rsidR="6A76E8D9" w:rsidTr="18C34000" w14:paraId="0262C269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18C34000" w:rsidRDefault="6A76E8D9" w14:paraId="1FE69DAE" w14:textId="22088544">
            <w:pPr>
              <w:shd w:val="clear" w:color="auto" w:fill="FFFFFF" w:themeFill="background1"/>
              <w:spacing w:before="0" w:beforeAutospacing="off" w:after="0" w:afterAutospacing="off" w:line="375" w:lineRule="auto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8C34000" w:rsidR="50AF361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8-9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69BB69AF" w14:textId="0ADC5527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Milestone 2: Architectural Exploration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119B0AA6" w14:textId="4303F95B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Results and analysis for the new model architecture (e.g., VGG16), showing how the privacy/overhead trade-off differs.</w:t>
            </w:r>
          </w:p>
        </w:tc>
      </w:tr>
      <w:tr w:rsidR="6A76E8D9" w:rsidTr="18C34000" w14:paraId="1C285DCB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18C34000" w:rsidRDefault="6A76E8D9" w14:paraId="7FDAC102" w14:textId="32466B99">
            <w:pPr>
              <w:shd w:val="clear" w:color="auto" w:fill="FFFFFF" w:themeFill="background1"/>
              <w:spacing w:before="0" w:beforeAutospacing="off" w:after="0" w:afterAutospacing="off" w:line="375" w:lineRule="auto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8C34000" w:rsidR="72472455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10-11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6D394D52" w14:textId="144A7FAE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Milestone 3: Advanced Attack Scenario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67DCBAB1" w14:textId="1F1F1E55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Results from testing the "confusion" strategy or other advanced attack simulations.</w:t>
            </w:r>
          </w:p>
        </w:tc>
      </w:tr>
      <w:tr w:rsidR="6A76E8D9" w:rsidTr="18C34000" w14:paraId="56E96C91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670C667C" w14:textId="324FB838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18C34000" w:rsidR="56ABD0D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1</w:t>
            </w:r>
            <w:r w:rsidRPr="18C34000" w:rsidR="53DBD127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1-12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62B87A8A" w14:textId="4C033486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Milestone 4: Synthesis &amp; Analysis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481C7C8A" w14:textId="47A743F7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A consolidated analysis comparing all results. Identification of the "optimal" encryption strategy.</w:t>
            </w:r>
          </w:p>
        </w:tc>
      </w:tr>
      <w:tr w:rsidR="6A76E8D9" w:rsidTr="18C34000" w14:paraId="0894F285">
        <w:trPr>
          <w:trHeight w:val="300"/>
        </w:trPr>
        <w:tc>
          <w:tcPr>
            <w:tcW w:w="1500" w:type="dxa"/>
            <w:tcBorders>
              <w:bottom w:val="single" w:sz="4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6A76E8D9" w:rsidP="18C34000" w:rsidRDefault="6A76E8D9" w14:paraId="3735B73E" w14:textId="4F24CF9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ind w:left="0" w:right="0"/>
              <w:jc w:val="left"/>
            </w:pPr>
            <w:r w:rsidRPr="18C34000" w:rsidR="5BCAFD0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12-14</w:t>
            </w:r>
          </w:p>
        </w:tc>
        <w:tc>
          <w:tcPr>
            <w:tcW w:w="4554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6A76E8D9" w:rsidP="6A76E8D9" w:rsidRDefault="6A76E8D9" w14:paraId="1F4932B0" w14:textId="0845D956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  <w:t>Final Report &amp; Presentation</w:t>
            </w:r>
          </w:p>
        </w:tc>
        <w:tc>
          <w:tcPr>
            <w:tcW w:w="5760" w:type="dxa"/>
            <w:tcBorders>
              <w:bottom w:val="single" w:sz="4"/>
            </w:tcBorders>
            <w:tcMar>
              <w:top w:w="150" w:type="dxa"/>
              <w:left w:w="240" w:type="dxa"/>
              <w:bottom w:w="150" w:type="dxa"/>
            </w:tcMar>
            <w:vAlign w:val="center"/>
          </w:tcPr>
          <w:p w:rsidR="6A76E8D9" w:rsidP="6A76E8D9" w:rsidRDefault="6A76E8D9" w14:paraId="50B36041" w14:textId="4B0396CE">
            <w:pPr>
              <w:shd w:val="clear" w:color="auto" w:fill="FFFFFF" w:themeFill="background1"/>
              <w:spacing w:before="0" w:beforeAutospacing="off" w:after="0" w:afterAutospacing="off" w:line="375" w:lineRule="auto"/>
            </w:pPr>
            <w:r w:rsidRPr="6A76E8D9" w:rsidR="6A76E8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2"/>
                <w:szCs w:val="22"/>
              </w:rPr>
              <w:t>A comprehensive final report and presentation slides summarizing findings, limitations, and future work.</w:t>
            </w:r>
          </w:p>
        </w:tc>
      </w:tr>
    </w:tbl>
    <w:p xmlns:wp14="http://schemas.microsoft.com/office/word/2010/wordml" w:rsidP="6A76E8D9" wp14:paraId="18BA3900" wp14:textId="133E75A8">
      <w:pPr>
        <w:pStyle w:val="Heading4"/>
        <w:shd w:val="clear" w:color="auto" w:fill="FFFFFF" w:themeFill="background1"/>
        <w:bidi w:val="0"/>
        <w:spacing w:before="240" w:beforeAutospacing="off" w:after="12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4. Team Roles &amp; Responsibilities</w:t>
      </w:r>
    </w:p>
    <w:p xmlns:wp14="http://schemas.microsoft.com/office/word/2010/wordml" w:rsidP="18C34000" wp14:paraId="0586CF9C" wp14:textId="47FB8FAA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144439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</w:t>
      </w: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1: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Focused on reproducibility and running experiments on ResNet18.</w:t>
      </w:r>
    </w:p>
    <w:p xmlns:wp14="http://schemas.microsoft.com/office/word/2010/wordml" w:rsidP="18C34000" wp14:paraId="63956BAC" wp14:textId="1E332B2B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7820C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</w:t>
      </w: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2: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Focused on integrating and testing the new model architecture (VGG16/Custom CNN).</w:t>
      </w:r>
    </w:p>
    <w:p w:rsidR="08AD0B93" w:rsidP="18C34000" w:rsidRDefault="08AD0B93" w14:paraId="6988B46B" w14:textId="20179ACA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3:</w:t>
      </w:r>
    </w:p>
    <w:p w:rsidR="08AD0B93" w:rsidP="18C34000" w:rsidRDefault="08AD0B93" w14:paraId="2935193F" w14:textId="02EF99C8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4:</w:t>
      </w:r>
    </w:p>
    <w:p w:rsidR="08AD0B93" w:rsidP="18C34000" w:rsidRDefault="08AD0B93" w14:paraId="2D749312" w14:textId="49A2A0D9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5:</w:t>
      </w:r>
    </w:p>
    <w:p w:rsidR="08AD0B93" w:rsidP="18C34000" w:rsidRDefault="08AD0B93" w14:paraId="5F07CFD8" w14:textId="20EA9A3B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6:</w:t>
      </w:r>
    </w:p>
    <w:p w:rsidR="08AD0B93" w:rsidP="18C34000" w:rsidRDefault="08AD0B93" w14:paraId="2DE2932A" w14:textId="2F350A85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7:</w:t>
      </w:r>
    </w:p>
    <w:p w:rsidR="08AD0B93" w:rsidP="18C34000" w:rsidRDefault="08AD0B93" w14:paraId="5DE2AD81" w14:textId="75AAE260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Role </w:t>
      </w: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8</w:t>
      </w: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</w:t>
      </w:r>
    </w:p>
    <w:p w:rsidR="08AD0B93" w:rsidP="18C34000" w:rsidRDefault="08AD0B93" w14:paraId="24578CC1" w14:textId="5365E2BE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9:</w:t>
      </w:r>
    </w:p>
    <w:p w:rsidR="08AD0B93" w:rsidP="18C34000" w:rsidRDefault="08AD0B93" w14:paraId="0EDBCC54" w14:textId="027B4345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10:</w:t>
      </w:r>
    </w:p>
    <w:p w:rsidR="08AD0B93" w:rsidP="18C34000" w:rsidRDefault="08AD0B93" w14:paraId="635C821D" w14:textId="5A90E155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Role 11:</w:t>
      </w:r>
    </w:p>
    <w:p xmlns:wp14="http://schemas.microsoft.com/office/word/2010/wordml" w:rsidP="18C34000" wp14:paraId="7483D146" wp14:textId="61F52248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8C34000" w:rsidR="08AD0B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All </w:t>
      </w: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Researchers: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Collaborate on designing the new attack scenario, analyzing results, and 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writing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the final report.</w:t>
      </w:r>
    </w:p>
    <w:p xmlns:wp14="http://schemas.microsoft.com/office/word/2010/wordml" w:rsidP="6A76E8D9" wp14:paraId="7975F497" wp14:textId="71938043">
      <w:pPr>
        <w:pStyle w:val="Heading4"/>
        <w:shd w:val="clear" w:color="auto" w:fill="FFFFFF" w:themeFill="background1"/>
        <w:bidi w:val="0"/>
        <w:spacing w:before="240" w:beforeAutospacing="off" w:after="24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5. Technical Approach &amp; Methodology</w:t>
      </w:r>
    </w:p>
    <w:p xmlns:wp14="http://schemas.microsoft.com/office/word/2010/wordml" w:rsidP="6A76E8D9" wp14:paraId="212E027C" wp14:textId="7CF954FF">
      <w:pPr>
        <w:shd w:val="clear" w:color="auto" w:fill="FFFFFF" w:themeFill="background1"/>
        <w:bidi w:val="0"/>
        <w:spacing w:before="240" w:beforeAutospacing="off" w:after="240" w:afterAutospacing="off"/>
      </w:pP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This is the core of </w:t>
      </w:r>
      <w:r w:rsidRPr="18C34000" w:rsidR="4282BA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our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plan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. </w:t>
      </w:r>
    </w:p>
    <w:p xmlns:wp14="http://schemas.microsoft.com/office/word/2010/wordml" w:rsidP="6A76E8D9" wp14:paraId="7A1B6A98" wp14:textId="223F2835">
      <w:pPr>
        <w:shd w:val="clear" w:color="auto" w:fill="FFFFFF" w:themeFill="background1"/>
        <w:bidi w:val="0"/>
        <w:spacing w:before="240" w:beforeAutospacing="off" w:after="240" w:afterAutospacing="off"/>
      </w:pPr>
      <w:r w:rsidRPr="18C34000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Phase 1: Baseline Reproduction</w:t>
      </w:r>
    </w:p>
    <w:p xmlns:wp14="http://schemas.microsoft.com/office/word/2010/wordml" w:rsidP="6A76E8D9" wp14:paraId="27F9D3A8" wp14:textId="6B33BDA2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Set up the FL simulation with a single "malicious" server using the Breaching library.</w:t>
      </w:r>
    </w:p>
    <w:p xmlns:wp14="http://schemas.microsoft.com/office/word/2010/wordml" w:rsidP="6A76E8D9" wp14:paraId="3739C353" wp14:textId="5E29482F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Train ResNet18 on CIFAR-100 in a federated setting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without any encryption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.</w:t>
      </w:r>
    </w:p>
    <w:p xmlns:wp14="http://schemas.microsoft.com/office/word/2010/wordml" w:rsidP="6A76E8D9" wp14:paraId="3DC0951D" wp14:textId="1B752CCE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Launch the "Yin" and "Random" attacks to establish baseline attack success (low PSNR/SSIM).</w:t>
      </w:r>
    </w:p>
    <w:p xmlns:wp14="http://schemas.microsoft.com/office/word/2010/wordml" w:rsidP="6A76E8D9" wp14:paraId="678A7586" wp14:textId="7F95FB8E">
      <w:pPr>
        <w:shd w:val="clear" w:color="auto" w:fill="FFFFFF" w:themeFill="background1"/>
        <w:bidi w:val="0"/>
        <w:spacing w:before="240" w:beforeAutospacing="off" w:after="240" w:afterAutospacing="off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Phase 2: Selective Encryption Testing</w:t>
      </w:r>
    </w:p>
    <w:p xmlns:wp14="http://schemas.microsoft.com/office/word/2010/wordml" w:rsidP="6A76E8D9" wp14:paraId="0C2D4AB7" wp14:textId="743DD39D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Integrate TenSEAL into the training loop.</w:t>
      </w:r>
    </w:p>
    <w:p xmlns:wp14="http://schemas.microsoft.com/office/word/2010/wordml" w:rsidP="6A76E8D9" wp14:paraId="6BC2F167" wp14:textId="4530882D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Define a clear strategy for which layers to encrypt (e.g., Encrypt Layer 1 only -&gt; Layers 1&amp;2 -&gt; Layers 1,2,3 -&gt; ... -&gt; Full model).</w:t>
      </w:r>
    </w:p>
    <w:p xmlns:wp14="http://schemas.microsoft.com/office/word/2010/wordml" w:rsidP="6A76E8D9" wp14:paraId="771EAFBA" wp14:textId="19CD0A32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For each configuration:</w:t>
      </w:r>
    </w:p>
    <w:p xmlns:wp14="http://schemas.microsoft.com/office/word/2010/wordml" w:rsidP="6A76E8D9" wp14:paraId="084CF354" wp14:textId="24B960BA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Run the FL training.</w:t>
      </w:r>
    </w:p>
    <w:p xmlns:wp14="http://schemas.microsoft.com/office/word/2010/wordml" w:rsidP="6A76E8D9" wp14:paraId="44665505" wp14:textId="302F8D58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Launch the same set of attacks.</w:t>
      </w:r>
    </w:p>
    <w:p xmlns:wp14="http://schemas.microsoft.com/office/word/2010/wordml" w:rsidP="6A76E8D9" wp14:paraId="59DDF5DE" wp14:textId="572C4A9D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Record the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PSNR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and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SSIM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of the reconstructed data.</w:t>
      </w:r>
    </w:p>
    <w:p xmlns:wp14="http://schemas.microsoft.com/office/word/2010/wordml" w:rsidP="6A76E8D9" wp14:paraId="174FBED2" wp14:textId="1F3012BE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Measure and record the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computational time and communication overhead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.</w:t>
      </w:r>
    </w:p>
    <w:p xmlns:wp14="http://schemas.microsoft.com/office/word/2010/wordml" w:rsidP="6A76E8D9" wp14:paraId="4B293831" wp14:textId="7D10FF1D">
      <w:pPr>
        <w:shd w:val="clear" w:color="auto" w:fill="FFFFFF" w:themeFill="background1"/>
        <w:bidi w:val="0"/>
        <w:spacing w:before="240" w:beforeAutospacing="off" w:after="240" w:afterAutospacing="off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Phase 3: Model Generalization</w:t>
      </w:r>
    </w:p>
    <w:p xmlns:wp14="http://schemas.microsoft.com/office/word/2010/wordml" w:rsidP="6A76E8D9" wp14:paraId="12E5DE63" wp14:textId="0C2B9F58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Repeat Phase 1 and Phase 2 with the new model architecture (e.g., VGG16). Does the "first layers are most critical" rule still hold?</w:t>
      </w:r>
    </w:p>
    <w:p xmlns:wp14="http://schemas.microsoft.com/office/word/2010/wordml" w:rsidP="6A76E8D9" wp14:paraId="28B7C20C" wp14:textId="6673DA95">
      <w:pPr>
        <w:shd w:val="clear" w:color="auto" w:fill="FFFFFF" w:themeFill="background1"/>
        <w:bidi w:val="0"/>
        <w:spacing w:before="240" w:beforeAutospacing="off" w:after="240" w:afterAutospacing="off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Phase 4: Enhanced Attack Simulation</w:t>
      </w:r>
    </w:p>
    <w:p xmlns:wp14="http://schemas.microsoft.com/office/word/2010/wordml" w:rsidP="6A76E8D9" wp14:paraId="5FC3A51F" wp14:textId="23295CED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Modify the FL simulation so that a percentage of client updates include added noise or are partially randomized before being sent to the server.</w:t>
      </w:r>
    </w:p>
    <w:p xmlns:wp14="http://schemas.microsoft.com/office/word/2010/wordml" w:rsidP="6A76E8D9" wp14:paraId="00664DBA" wp14:textId="576B0AAC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Re-run key encryption configurations against this new, more complex environment to test the robustness of the selective encryption strategy.</w:t>
      </w:r>
    </w:p>
    <w:p xmlns:wp14="http://schemas.microsoft.com/office/word/2010/wordml" w:rsidP="6A76E8D9" wp14:paraId="7CA331FC" wp14:textId="25916B80">
      <w:pPr>
        <w:pStyle w:val="Heading4"/>
        <w:shd w:val="clear" w:color="auto" w:fill="FFFFFF" w:themeFill="background1"/>
        <w:bidi w:val="0"/>
        <w:spacing w:before="240" w:beforeAutospacing="off" w:after="12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6. Evaluation Metrics</w:t>
      </w:r>
    </w:p>
    <w:p xmlns:wp14="http://schemas.microsoft.com/office/word/2010/wordml" w:rsidP="6A76E8D9" wp14:paraId="06167A9A" wp14:textId="65245656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Primary Metrics (Privacy):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PSNR (Peak Signal-to-Noise Ratio) and SSIM (Structural Similarity Index) of the attacker-reconstructed images. </w:t>
      </w: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Lower PSNR/SSIM = Better Privacy.</w:t>
      </w:r>
    </w:p>
    <w:p xmlns:wp14="http://schemas.microsoft.com/office/word/2010/wordml" w:rsidP="6A76E8D9" wp14:paraId="3058DE27" wp14:textId="399DDEA8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Primary Metrics (Performance):</w:t>
      </w:r>
    </w:p>
    <w:p xmlns:wp14="http://schemas.microsoft.com/office/word/2010/wordml" w:rsidP="6A76E8D9" wp14:paraId="63FC78C7" wp14:textId="7AFB101B">
      <w:pPr>
        <w:pStyle w:val="ListParagraph"/>
        <w:numPr>
          <w:ilvl w:val="1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Computational Overhead: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Total training time for each encryption configuration.</w:t>
      </w:r>
    </w:p>
    <w:p xmlns:wp14="http://schemas.microsoft.com/office/word/2010/wordml" w:rsidP="6A76E8D9" wp14:paraId="1E424143" wp14:textId="15FD4EA6">
      <w:pPr>
        <w:pStyle w:val="ListParagraph"/>
        <w:numPr>
          <w:ilvl w:val="1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Communication Overhead: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Size of the encrypted model updates vs. plaintext.</w:t>
      </w:r>
    </w:p>
    <w:p xmlns:wp14="http://schemas.microsoft.com/office/word/2010/wordml" w:rsidP="6A76E8D9" wp14:paraId="05C4BED7" wp14:textId="1AE59854">
      <w:pPr>
        <w:pStyle w:val="ListParagraph"/>
        <w:numPr>
          <w:ilvl w:val="1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Model Utility: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Final accuracy of the global FL model on a test set (to ensure encryption isn't harming learning).</w:t>
      </w:r>
    </w:p>
    <w:p xmlns:wp14="http://schemas.microsoft.com/office/word/2010/wordml" w:rsidP="6A76E8D9" wp14:paraId="3EB10FA7" wp14:textId="4EFF1444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Secondary Metric: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Number and proportion of encrypted parameters (as a straightforward measure of cost).</w:t>
      </w:r>
    </w:p>
    <w:p xmlns:wp14="http://schemas.microsoft.com/office/word/2010/wordml" w:rsidP="6A76E8D9" wp14:paraId="3EFA8518" wp14:textId="1F6F274A">
      <w:pPr>
        <w:pStyle w:val="Heading4"/>
        <w:shd w:val="clear" w:color="auto" w:fill="FFFFFF" w:themeFill="background1"/>
        <w:bidi w:val="0"/>
        <w:spacing w:before="240" w:beforeAutospacing="off" w:after="12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7. Potential Risks &amp; Mitigation</w:t>
      </w:r>
    </w:p>
    <w:p xmlns:wp14="http://schemas.microsoft.com/office/word/2010/wordml" w:rsidP="6A76E8D9" wp14:paraId="5C10F94E" wp14:textId="154BEB88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Risk: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Inability to reproduce previous group's results due to missing code or environment details.</w:t>
      </w:r>
    </w:p>
    <w:p xmlns:wp14="http://schemas.microsoft.com/office/word/2010/wordml" w:rsidP="6A76E8D9" wp14:paraId="6B62C144" wp14:textId="7C98EC06">
      <w:pPr>
        <w:pStyle w:val="ListParagraph"/>
        <w:numPr>
          <w:ilvl w:val="1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Mitigation: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Start this immediately. Document all issues. If reproduction fails, use the methodology description to implement your own baseline.</w:t>
      </w:r>
    </w:p>
    <w:p xmlns:wp14="http://schemas.microsoft.com/office/word/2010/wordml" w:rsidP="6A76E8D9" wp14:paraId="1BC788EF" wp14:textId="221FD1A3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Risk: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TenSEAL library is complex and causes integration headaches or excessive computation times.</w:t>
      </w:r>
    </w:p>
    <w:p xmlns:wp14="http://schemas.microsoft.com/office/word/2010/wordml" w:rsidP="6A76E8D9" wp14:paraId="33CDF826" wp14:textId="0DA43F56">
      <w:pPr>
        <w:pStyle w:val="ListParagraph"/>
        <w:numPr>
          <w:ilvl w:val="1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Mitigation: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Start with a "Hello World" example in TenSEAL. Plan for extra time in the schedule for debugging.</w:t>
      </w:r>
    </w:p>
    <w:p xmlns:wp14="http://schemas.microsoft.com/office/word/2010/wordml" w:rsidP="6A76E8D9" wp14:paraId="58D622FF" wp14:textId="3A8C6EBA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Risk: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Experiments take too long to run, blocking progress.</w:t>
      </w:r>
    </w:p>
    <w:p xmlns:wp14="http://schemas.microsoft.com/office/word/2010/wordml" w:rsidP="6A76E8D9" wp14:paraId="1886218C" wp14:textId="65810304">
      <w:pPr>
        <w:pStyle w:val="ListParagraph"/>
        <w:numPr>
          <w:ilvl w:val="1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Mitigation:</w:t>
      </w: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Use a small subset of the data for initial testing. Ensure you have access to sufficient computational resources (e.g., GPU).</w:t>
      </w:r>
    </w:p>
    <w:p xmlns:wp14="http://schemas.microsoft.com/office/word/2010/wordml" w:rsidP="6A76E8D9" wp14:paraId="4C853D62" wp14:textId="0849C831">
      <w:pPr>
        <w:pStyle w:val="Heading4"/>
        <w:shd w:val="clear" w:color="auto" w:fill="FFFFFF" w:themeFill="background1"/>
        <w:bidi w:val="0"/>
        <w:spacing w:before="240" w:beforeAutospacing="off" w:after="240" w:afterAutospacing="off" w:line="420" w:lineRule="auto"/>
      </w:pPr>
      <w:r w:rsidRPr="6A76E8D9" w:rsidR="2E43A1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8. Future Work &amp; Conclusion (To be filled after your work)</w:t>
      </w:r>
    </w:p>
    <w:p xmlns:wp14="http://schemas.microsoft.com/office/word/2010/wordml" w:rsidP="6A76E8D9" wp14:paraId="7ECD3554" wp14:textId="1BC37342">
      <w:pPr>
        <w:shd w:val="clear" w:color="auto" w:fill="FFFFFF" w:themeFill="background1"/>
        <w:bidi w:val="0"/>
        <w:spacing w:before="240" w:beforeAutospacing="off" w:after="240" w:afterAutospacing="off"/>
      </w:pP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This section in </w:t>
      </w:r>
      <w:r w:rsidRPr="18C34000" w:rsidR="6D83D6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the 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final report will directly build on </w:t>
      </w:r>
      <w:r w:rsidRPr="18C34000" w:rsidR="31D531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our </w:t>
      </w:r>
      <w:r w:rsidRPr="18C34000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findings. It might include:</w:t>
      </w:r>
    </w:p>
    <w:p xmlns:wp14="http://schemas.microsoft.com/office/word/2010/wordml" w:rsidP="6A76E8D9" wp14:paraId="54F76785" wp14:textId="5737E72B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Testing on a real-world, non-image dataset (e.g., medical records).</w:t>
      </w:r>
    </w:p>
    <w:p xmlns:wp14="http://schemas.microsoft.com/office/word/2010/wordml" w:rsidP="6A76E8D9" wp14:paraId="317FFAFE" wp14:textId="051DAD56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Exploring hybrid privacy techniques (e.g., HE + Differential Privacy).</w:t>
      </w:r>
    </w:p>
    <w:p xmlns:wp14="http://schemas.microsoft.com/office/word/2010/wordml" w:rsidP="6A76E8D9" wp14:paraId="0DB1BA80" wp14:textId="2289098B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A76E8D9" w:rsidR="2E43A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 deeper dive into the regulatory implications (GDPR, HIPAA) based on your quantitative results.</w:t>
      </w:r>
    </w:p>
    <w:p xmlns:wp14="http://schemas.microsoft.com/office/word/2010/wordml" wp14:paraId="2C078E63" wp14:textId="3A6F9F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b078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d72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b11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579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098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910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4c34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9e7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27e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024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76F97"/>
    <w:rsid w:val="08AD0B93"/>
    <w:rsid w:val="14443915"/>
    <w:rsid w:val="18C34000"/>
    <w:rsid w:val="2D75A7A4"/>
    <w:rsid w:val="2E43A1CC"/>
    <w:rsid w:val="31D531E2"/>
    <w:rsid w:val="34976F97"/>
    <w:rsid w:val="3EAE48AC"/>
    <w:rsid w:val="4282BA5A"/>
    <w:rsid w:val="50AF3613"/>
    <w:rsid w:val="53DBD127"/>
    <w:rsid w:val="5549F178"/>
    <w:rsid w:val="56ABD0D4"/>
    <w:rsid w:val="56C4C3CC"/>
    <w:rsid w:val="5BCAFD01"/>
    <w:rsid w:val="66D2F3B0"/>
    <w:rsid w:val="6A76E8D9"/>
    <w:rsid w:val="6BF0F02C"/>
    <w:rsid w:val="6D83D603"/>
    <w:rsid w:val="72472455"/>
    <w:rsid w:val="7820C447"/>
    <w:rsid w:val="7CF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6F97"/>
  <w15:chartTrackingRefBased/>
  <w15:docId w15:val="{0F68FF11-060C-41E8-8FDD-C4A7AB606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A76E8D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A76E8D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A76E8D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f6d8f2dcbc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472B3317EBFCC4AB74225D4A78859D1" ma:contentTypeVersion="3" ma:contentTypeDescription="Luo uusi asiakirja." ma:contentTypeScope="" ma:versionID="02aecf3e91aaf0a4c1e9811f7e225be3">
  <xsd:schema xmlns:xsd="http://www.w3.org/2001/XMLSchema" xmlns:xs="http://www.w3.org/2001/XMLSchema" xmlns:p="http://schemas.microsoft.com/office/2006/metadata/properties" xmlns:ns2="4b1afbd0-a67d-437b-a38d-de4022e1d1ad" targetNamespace="http://schemas.microsoft.com/office/2006/metadata/properties" ma:root="true" ma:fieldsID="320226647399e7595f0ec628a115fe48" ns2:_="">
    <xsd:import namespace="4b1afbd0-a67d-437b-a38d-de4022e1d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afbd0-a67d-437b-a38d-de4022e1d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BE7EF-CF72-4DA6-A0CA-29C0D6A22DDA}"/>
</file>

<file path=customXml/itemProps2.xml><?xml version="1.0" encoding="utf-8"?>
<ds:datastoreItem xmlns:ds="http://schemas.openxmlformats.org/officeDocument/2006/customXml" ds:itemID="{BDAD6B89-6373-425F-BAE8-A202D95AC794}"/>
</file>

<file path=customXml/itemProps3.xml><?xml version="1.0" encoding="utf-8"?>
<ds:datastoreItem xmlns:ds="http://schemas.openxmlformats.org/officeDocument/2006/customXml" ds:itemID="{B820A35E-C15F-437F-8ABA-5F86811B71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Wong-Nygård Kee</dc:creator>
  <keywords/>
  <dc:description/>
  <dcterms:created xsi:type="dcterms:W3CDTF">2025-09-26T07:33:00.0000000Z</dcterms:created>
  <dcterms:modified xsi:type="dcterms:W3CDTF">2025-09-26T07:38:24.2503033Z</dcterms:modified>
  <lastModifiedBy>Wong-Nygård Kee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0x0101000472B3317EBFCC4AB74225D4A78859D1</vt:lpwstr>
  </property>
</Properties>
</file>