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5B6178"/>
          <w:sz w:val="18"/>
          <w:szCs w:val="18"/>
        </w:rPr>
        <w:t xml:space="preserve">Progetto Arcadium   •   Milestone 4 — Backend Spring Boot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B46FF"/>
          <w:sz w:val="34"/>
          <w:szCs w:val="34"/>
        </w:rPr>
        <w:t xml:space="preserve">M4-T1 — Setup progetto Spring Boot e connessione al DB</w:t>
      </w:r>
    </w:p>
    <w:p>
      <w:pPr>
        <w:pBdr>
          <w:bottom w:val="single" w:color="D9D2F5" w:sz="6" w:space="6"/>
        </w:pBdr>
        <w:spacing w:after="260"/>
      </w:pPr>
      <w:r>
        <w:rPr>
          <w:rFonts w:ascii="Calibri" w:cs="Calibri" w:eastAsia="Calibri" w:hAnsi="Calibri"/>
          <w:i/>
          <w:iCs/>
          <w:color w:val="5B6178"/>
          <w:sz w:val="20"/>
          <w:szCs w:val="20"/>
        </w:rPr>
        <w:t xml:space="preserve">Scheletro del progetto e connessione a PostgreSQL — Team ACE5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4C2FBF"/>
          <w:sz w:val="28"/>
          <w:szCs w:val="28"/>
        </w:rPr>
        <w:t xml:space="preserve">1. Obiettivo della task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Predisporre lo scheletro del backend Spring Boot e la sua connessione al database PostgreSQL. In questa task non si scrivono ancora entità, repository o endpoint: si prepara soltanto il terreno su cui costruiranno i task successivi (M4-T2 … M4-T16). L'esito atteso è un'applicazione che parte, si collega al database già creato in M2/M3 e ne verifica la presenza dello schema.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4C2FBF"/>
          <w:sz w:val="28"/>
          <w:szCs w:val="28"/>
        </w:rPr>
        <w:t xml:space="preserve">2. Struttura del progetto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Il backend segue il layout standard Maven, con package radice com.ace5.arcadium. La suddivisione in package per responsabilità (controller, service, repository, entity, dto, security, exception) è prevista dal modello di cartelle del progetto e viene popolata dai task successivi; in questa task esistono solo l'entry point e la verifica di connessione.</w:t>
      </w:r>
    </w:p>
    <w:tbl>
      <w:tblPr>
        <w:tblW w:type="dxa" w:w="9350"/>
        <w:tblBorders>
          <w:top w:val="single" w:color="D9D2F5" w:sz="2"/>
          <w:left w:val="single" w:color="D9D2F5" w:sz="2"/>
          <w:bottom w:val="single" w:color="D9D2F5" w:sz="2"/>
          <w:right w:val="single" w:color="D9D2F5" w:sz="2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0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hd w:fill="F2F0FF" w:val="clear"/>
              <w:spacing w:after="20" w:line="260"/>
            </w:pPr>
            <w:r>
              <w:rPr>
                <w:rFonts w:ascii="Consolas" w:cs="Consolas" w:eastAsia="Consolas" w:hAnsi="Consolas"/>
                <w:color w:val="2A2340"/>
                <w:sz w:val="19"/>
                <w:szCs w:val="19"/>
              </w:rPr>
              <w:t xml:space="preserve">backend/</w:t>
            </w:r>
          </w:p>
          <w:p>
            <w:pPr>
              <w:shd w:fill="F2F0FF" w:val="clear"/>
              <w:spacing w:after="20" w:line="260"/>
            </w:pPr>
            <w:r>
              <w:rPr>
                <w:rFonts w:ascii="Consolas" w:cs="Consolas" w:eastAsia="Consolas" w:hAnsi="Consolas"/>
                <w:color w:val="2A2340"/>
                <w:sz w:val="19"/>
                <w:szCs w:val="19"/>
              </w:rPr>
              <w:t xml:space="preserve">├─ pom.xml                      Dipendenze (BOM Spring Boot) e build</w:t>
            </w:r>
          </w:p>
          <w:p>
            <w:pPr>
              <w:shd w:fill="F2F0FF" w:val="clear"/>
              <w:spacing w:after="20" w:line="260"/>
            </w:pPr>
            <w:r>
              <w:rPr>
                <w:rFonts w:ascii="Consolas" w:cs="Consolas" w:eastAsia="Consolas" w:hAnsi="Consolas"/>
                <w:color w:val="2A2340"/>
                <w:sz w:val="19"/>
                <w:szCs w:val="19"/>
              </w:rPr>
              <w:t xml:space="preserve">├─ .env.example                 Template credenziali (DB_*, SERVER_PORT)</w:t>
            </w:r>
          </w:p>
          <w:p>
            <w:pPr>
              <w:shd w:fill="F2F0FF" w:val="clear"/>
              <w:spacing w:after="20" w:line="260"/>
            </w:pPr>
            <w:r>
              <w:rPr>
                <w:rFonts w:ascii="Consolas" w:cs="Consolas" w:eastAsia="Consolas" w:hAnsi="Consolas"/>
                <w:color w:val="2A2340"/>
                <w:sz w:val="19"/>
                <w:szCs w:val="19"/>
              </w:rPr>
              <w:t xml:space="preserve">└─ src/</w:t>
            </w:r>
          </w:p>
          <w:p>
            <w:pPr>
              <w:shd w:fill="F2F0FF" w:val="clear"/>
              <w:spacing w:after="20" w:line="260"/>
            </w:pPr>
            <w:r>
              <w:rPr>
                <w:rFonts w:ascii="Consolas" w:cs="Consolas" w:eastAsia="Consolas" w:hAnsi="Consolas"/>
                <w:color w:val="2A2340"/>
                <w:sz w:val="19"/>
                <w:szCs w:val="19"/>
              </w:rPr>
              <w:t xml:space="preserve">   ├─ main/</w:t>
            </w:r>
          </w:p>
          <w:p>
            <w:pPr>
              <w:shd w:fill="F2F0FF" w:val="clear"/>
              <w:spacing w:after="20" w:line="260"/>
            </w:pPr>
            <w:r>
              <w:rPr>
                <w:rFonts w:ascii="Consolas" w:cs="Consolas" w:eastAsia="Consolas" w:hAnsi="Consolas"/>
                <w:color w:val="2A2340"/>
                <w:sz w:val="19"/>
                <w:szCs w:val="19"/>
              </w:rPr>
              <w:t xml:space="preserve">   │  ├─ java/com/ace5/arcadium/</w:t>
            </w:r>
          </w:p>
          <w:p>
            <w:pPr>
              <w:shd w:fill="F2F0FF" w:val="clear"/>
              <w:spacing w:after="20" w:line="260"/>
            </w:pPr>
            <w:r>
              <w:rPr>
                <w:rFonts w:ascii="Consolas" w:cs="Consolas" w:eastAsia="Consolas" w:hAnsi="Consolas"/>
                <w:color w:val="2A2340"/>
                <w:sz w:val="19"/>
                <w:szCs w:val="19"/>
              </w:rPr>
              <w:t xml:space="preserve">   │  │  ├─ ArcadiumApplication.java   Entry point</w:t>
            </w:r>
          </w:p>
          <w:p>
            <w:pPr>
              <w:shd w:fill="F2F0FF" w:val="clear"/>
              <w:spacing w:after="20" w:line="260"/>
            </w:pPr>
            <w:r>
              <w:rPr>
                <w:rFonts w:ascii="Consolas" w:cs="Consolas" w:eastAsia="Consolas" w:hAnsi="Consolas"/>
                <w:color w:val="2A2340"/>
                <w:sz w:val="19"/>
                <w:szCs w:val="19"/>
              </w:rPr>
              <w:t xml:space="preserve">   │  │  └─ config/                     Verifica connessione all'avvio</w:t>
            </w:r>
          </w:p>
          <w:p>
            <w:pPr>
              <w:shd w:fill="F2F0FF" w:val="clear"/>
              <w:spacing w:after="20" w:line="260"/>
            </w:pPr>
            <w:r>
              <w:rPr>
                <w:rFonts w:ascii="Consolas" w:cs="Consolas" w:eastAsia="Consolas" w:hAnsi="Consolas"/>
                <w:color w:val="2A2340"/>
                <w:sz w:val="19"/>
                <w:szCs w:val="19"/>
              </w:rPr>
              <w:t xml:space="preserve">   │  └─ resources/</w:t>
            </w:r>
          </w:p>
          <w:p>
            <w:pPr>
              <w:shd w:fill="F2F0FF" w:val="clear"/>
              <w:spacing w:after="20" w:line="260"/>
            </w:pPr>
            <w:r>
              <w:rPr>
                <w:rFonts w:ascii="Consolas" w:cs="Consolas" w:eastAsia="Consolas" w:hAnsi="Consolas"/>
                <w:color w:val="2A2340"/>
                <w:sz w:val="19"/>
                <w:szCs w:val="19"/>
              </w:rPr>
              <w:t xml:space="preserve">   │     └─ application.yml             Datasource, JPA, Flyway, actuator</w:t>
            </w:r>
          </w:p>
          <w:p>
            <w:pPr>
              <w:shd w:fill="F2F0FF" w:val="clear"/>
              <w:spacing w:after="20" w:line="260"/>
            </w:pPr>
            <w:r>
              <w:rPr>
                <w:rFonts w:ascii="Consolas" w:cs="Consolas" w:eastAsia="Consolas" w:hAnsi="Consolas"/>
                <w:color w:val="2A2340"/>
                <w:sz w:val="19"/>
                <w:szCs w:val="19"/>
              </w:rPr>
              <w:t xml:space="preserve">   └─ test/</w:t>
            </w:r>
          </w:p>
          <w:p>
            <w:pPr>
              <w:shd w:fill="F2F0FF" w:val="clear"/>
              <w:spacing w:after="0" w:line="260"/>
            </w:pPr>
            <w:r>
              <w:rPr>
                <w:rFonts w:ascii="Consolas" w:cs="Consolas" w:eastAsia="Consolas" w:hAnsi="Consolas"/>
                <w:color w:val="2A2340"/>
                <w:sz w:val="19"/>
                <w:szCs w:val="19"/>
              </w:rPr>
              <w:t xml:space="preserve">      └─ java/com/ace5/arcadium/        Smoke test del contesto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4C2FBF"/>
          <w:sz w:val="28"/>
          <w:szCs w:val="28"/>
        </w:rPr>
        <w:t xml:space="preserve">3. Dipendenze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Le versioni delle librerie non sono fissate a mano: le governa il BOM di spring-boot-starter-parent, che allinea starter e dipendenze collaudate insieme (lo stesso principio del pinning usato nell'ETL). Si sceglie soltanto la versione di Spring Boot; il resto segue.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Versione scelta: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Spring Boot 4.1</w:t>
      </w:r>
      <w:r>
        <w:rPr>
          <w:rFonts w:ascii="Calibri" w:cs="Calibri" w:eastAsia="Calibri" w:hAnsi="Calibri"/>
          <w:sz w:val="21"/>
          <w:szCs w:val="21"/>
        </w:rPr>
        <w:t xml:space="preserve"> (GA di giugno 2026; la linea 3.5 è andata in end-of-life open-source il 30 giugno 2026), su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Java 21 LTS</w:t>
      </w:r>
      <w:r>
        <w:rPr>
          <w:rFonts w:ascii="Calibri" w:cs="Calibri" w:eastAsia="Calibri" w:hAnsi="Calibri"/>
          <w:sz w:val="21"/>
          <w:szCs w:val="21"/>
        </w:rPr>
        <w:t xml:space="preserve"> (Spring Boot 4.1 supporta Java 17–26).</w:t>
      </w:r>
    </w:p>
    <w:tbl>
      <w:tblPr>
        <w:tblW w:type="dxa" w:w="9350"/>
        <w:tblBorders>
          <w:top w:val="single" w:color="D9D2F5" w:sz="2"/>
          <w:left w:val="single" w:color="D9D2F5" w:sz="2"/>
          <w:bottom w:val="single" w:color="D9D2F5" w:sz="2"/>
          <w:right w:val="single" w:color="D9D2F5" w:sz="2"/>
          <w:insideH w:val="single" w:color="D9D2F5" w:sz="2"/>
          <w:insideV w:val="single" w:color="D9D2F5" w:sz="2"/>
        </w:tblBorders>
      </w:tblPr>
      <w:tblGrid>
        <w:gridCol w:w="3300"/>
        <w:gridCol w:w="6050"/>
      </w:tblGrid>
      <w:tr>
        <w:trPr>
          <w:tblHeader/>
        </w:trPr>
        <w:tc>
          <w:tcPr>
            <w:tcW w:type="dxa" w:w="3300"/>
            <w:shd w:fill="EDE9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C2FBF"/>
                <w:sz w:val="20"/>
                <w:szCs w:val="20"/>
              </w:rPr>
              <w:t xml:space="preserve">Dipendenza</w:t>
            </w:r>
          </w:p>
        </w:tc>
        <w:tc>
          <w:tcPr>
            <w:tcW w:type="dxa" w:w="6050"/>
            <w:shd w:fill="EDE9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C2FBF"/>
                <w:sz w:val="20"/>
                <w:szCs w:val="20"/>
              </w:rPr>
              <w:t xml:space="preserve">A cosa serve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spring-boot-starter-web</w:t>
            </w:r>
          </w:p>
        </w:tc>
        <w:tc>
          <w:tcPr>
            <w:tcW w:type="dxa" w:w="6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 REST per gli endpoint dei task successivi (da M4-T5).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spring-boot-starter-data-jpa</w:t>
            </w:r>
          </w:p>
        </w:tc>
        <w:tc>
          <w:tcPr>
            <w:tcW w:type="dxa" w:w="6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JPA/Hibernate e datasource HikariCP; entità e repository in M4-T2.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spring-boot-starter-validation</w:t>
            </w:r>
          </w:p>
        </w:tc>
        <w:tc>
          <w:tcPr>
            <w:tcW w:type="dxa" w:w="6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Bean Validation per i DTO (M4-T3, M4-T12).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spring-boot-starter-actuator</w:t>
            </w:r>
          </w:p>
        </w:tc>
        <w:tc>
          <w:tcPr>
            <w:tcW w:type="dxa" w:w="6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/actuator/health espone lo stato del datasource (verifica connessione).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flyway-core + flyway-database-postgresql</w:t>
            </w:r>
          </w:p>
        </w:tc>
        <w:tc>
          <w:tcPr>
            <w:tcW w:type="dxa" w:w="6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Esegue all'avvio le stesse migrazioni M2/M3.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Driver PostgreSQL 16 (a runtime).</w:t>
            </w:r>
          </w:p>
        </w:tc>
      </w:tr>
      <w:t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spring-boot-starter-test</w:t>
            </w:r>
          </w:p>
        </w:tc>
        <w:tc>
          <w:tcPr>
            <w:tcW w:type="dxa" w:w="6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JUnit 5, Mockito, Spring Test.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4C2FBF"/>
          <w:sz w:val="28"/>
          <w:szCs w:val="28"/>
        </w:rPr>
        <w:t xml:space="preserve">4. Configurazione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Le credenziali non sono scritte nel codice: arrivano da variabili d'ambiente, con le stesse chiavi usate dall'ETL (DB_HOST, DB_PORT, DB_NAME, DB_USER, DB_PASSWORD). Così il database Arcadium ha un unico set di credenziali condiviso tra ETL e backend. I valori di default valgono per il database locale di docker-compose; in staging si passano dall'ambiente.</w:t>
      </w:r>
    </w:p>
    <w:tbl>
      <w:tblPr>
        <w:tblW w:type="dxa" w:w="9350"/>
        <w:tblBorders>
          <w:top w:val="single" w:color="D9D2F5" w:sz="2"/>
          <w:left w:val="single" w:color="D9D2F5" w:sz="2"/>
          <w:bottom w:val="single" w:color="D9D2F5" w:sz="2"/>
          <w:right w:val="single" w:color="D9D2F5" w:sz="2"/>
          <w:insideH w:val="single" w:color="D9D2F5" w:sz="2"/>
          <w:insideV w:val="single" w:color="D9D2F5" w:sz="2"/>
        </w:tblBorders>
      </w:tblPr>
      <w:tblGrid>
        <w:gridCol w:w="2600"/>
        <w:gridCol w:w="1700"/>
        <w:gridCol w:w="5050"/>
      </w:tblGrid>
      <w:tr>
        <w:trPr>
          <w:tblHeader/>
        </w:trPr>
        <w:tc>
          <w:tcPr>
            <w:tcW w:type="dxa" w:w="2600"/>
            <w:shd w:fill="EDE9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C2FBF"/>
                <w:sz w:val="20"/>
                <w:szCs w:val="20"/>
              </w:rPr>
              <w:t xml:space="preserve">Variabile</w:t>
            </w:r>
          </w:p>
        </w:tc>
        <w:tc>
          <w:tcPr>
            <w:tcW w:type="dxa" w:w="1700"/>
            <w:shd w:fill="EDE9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C2FBF"/>
                <w:sz w:val="20"/>
                <w:szCs w:val="20"/>
              </w:rPr>
              <w:t xml:space="preserve">Default</w:t>
            </w:r>
          </w:p>
        </w:tc>
        <w:tc>
          <w:tcPr>
            <w:tcW w:type="dxa" w:w="5050"/>
            <w:shd w:fill="EDE9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C2FB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DB_HOST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localhost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 PostgreSQL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DB_PORT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5432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Porta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DB_NAME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arcadium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Nome database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DB_USER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arcadium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Utente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 (mai versionata)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SERVER_PORT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8080</w:t>
            </w:r>
          </w:p>
        </w:tc>
        <w:tc>
          <w:tcPr>
            <w:tcW w:type="dxa" w:w="50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Porta HTTP del backend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C2FBF"/>
          <w:sz w:val="23"/>
          <w:szCs w:val="23"/>
        </w:rPr>
        <w:t xml:space="preserve">JPA e Flyway — la scelta più importante di questa task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Lo schema non è gestito da Hibernate ma da Flyway, coerentemente con l'architettura decisa in M2 (database/README.md). Due impostazioni lo garantiscono: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onsolas" w:cs="Consolas" w:eastAsia="Consolas" w:hAnsi="Consolas"/>
          <w:color w:val="4C2FBF"/>
          <w:sz w:val="20"/>
          <w:szCs w:val="20"/>
        </w:rPr>
        <w:t xml:space="preserve">ddl-auto = validate</w:t>
      </w:r>
      <w:r>
        <w:rPr>
          <w:rFonts w:ascii="Calibri" w:cs="Calibri" w:eastAsia="Calibri" w:hAnsi="Calibri"/>
          <w:sz w:val="21"/>
          <w:szCs w:val="21"/>
        </w:rPr>
        <w:t xml:space="preserve">: Hibernate non crea né altera tabelle. Con le entità di M4-T2 confronterà entità e schema; ora, senza entità, è un no-op sicuro.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Flyway punta alle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stesse</w:t>
      </w:r>
      <w:r>
        <w:rPr>
          <w:rFonts w:ascii="Calibri" w:cs="Calibri" w:eastAsia="Calibri" w:hAnsi="Calibri"/>
          <w:sz w:val="21"/>
          <w:szCs w:val="21"/>
        </w:rPr>
        <w:t xml:space="preserve"> migrazioni di M2/M3 (database/migrations e database/seed), non a una copia. La history </w:t>
      </w:r>
      <w:r>
        <w:rPr>
          <w:rFonts w:ascii="Consolas" w:cs="Consolas" w:eastAsia="Consolas" w:hAnsi="Consolas"/>
          <w:color w:val="4C2FBF"/>
          <w:sz w:val="20"/>
          <w:szCs w:val="20"/>
        </w:rPr>
        <w:t xml:space="preserve">flyway_schema_history</w:t>
      </w:r>
      <w:r>
        <w:rPr>
          <w:rFonts w:ascii="Calibri" w:cs="Calibri" w:eastAsia="Calibri" w:hAnsi="Calibri"/>
          <w:sz w:val="21"/>
          <w:szCs w:val="21"/>
        </w:rPr>
        <w:t xml:space="preserve"> è già popolata dai run standalone (scripts/db-migrate.sh): all'avvio Flyway trova tutto già applicato e si limita a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validare</w:t>
      </w:r>
      <w:r>
        <w:rPr>
          <w:rFonts w:ascii="Calibri" w:cs="Calibri" w:eastAsia="Calibri" w:hAnsi="Calibri"/>
          <w:sz w:val="21"/>
          <w:szCs w:val="21"/>
        </w:rPr>
        <w:t xml:space="preserve">. Nessuna riesecuzione, nessun doppione.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Nota. </w:t>
      </w:r>
      <w:r>
        <w:rPr>
          <w:rFonts w:ascii="Calibri" w:cs="Calibri" w:eastAsia="Calibri" w:hAnsi="Calibri"/>
          <w:sz w:val="21"/>
          <w:szCs w:val="21"/>
        </w:rPr>
        <w:t xml:space="preserve">I percorsi delle migrazioni sono relativi alla cartella backend/ (da cui si avvia l'app) e sono sovrascrivibili via ambiente (</w:t>
      </w:r>
      <w:r>
        <w:rPr>
          <w:rFonts w:ascii="Consolas" w:cs="Consolas" w:eastAsia="Consolas" w:hAnsi="Consolas"/>
          <w:color w:val="4C2FBF"/>
          <w:sz w:val="20"/>
          <w:szCs w:val="20"/>
        </w:rPr>
        <w:t xml:space="preserve">ARCADIUM_DB_MIGRATIONS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4C2FBF"/>
          <w:sz w:val="20"/>
          <w:szCs w:val="20"/>
        </w:rPr>
        <w:t xml:space="preserve">ARCADIUM_DB_SEED</w:t>
      </w:r>
      <w:r>
        <w:rPr>
          <w:rFonts w:ascii="Calibri" w:cs="Calibri" w:eastAsia="Calibri" w:hAnsi="Calibri"/>
          <w:sz w:val="21"/>
          <w:szCs w:val="21"/>
        </w:rPr>
        <w:t xml:space="preserve">) per working directory o layout diversi.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4C2FBF"/>
          <w:sz w:val="28"/>
          <w:szCs w:val="28"/>
        </w:rPr>
        <w:t xml:space="preserve">5. Connessione al DB e verifica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La verifica ricalca il controllo già usato nell'ETL (check_connection di M3-T5): all'avvio un ApplicationRunner apre una connessione dal pool, legge la versione del server e conta le 15 tabelle del catalogo statico (games + sei lookup + sette ponte + game_screenshot). Non scrive nulla; se ne trova meno di 15 avvisa che le migrazioni M2/M3 non sono state applicate.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Dalla cartella scripts/ e poi backend/:</w:t>
      </w:r>
    </w:p>
    <w:tbl>
      <w:tblPr>
        <w:tblW w:type="dxa" w:w="9350"/>
        <w:tblBorders>
          <w:top w:val="single" w:color="D9D2F5" w:sz="2"/>
          <w:left w:val="single" w:color="D9D2F5" w:sz="2"/>
          <w:bottom w:val="single" w:color="D9D2F5" w:sz="2"/>
          <w:right w:val="single" w:color="D9D2F5" w:sz="2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0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hd w:fill="F2F0FF" w:val="clear"/>
              <w:spacing w:after="20" w:line="260"/>
            </w:pPr>
            <w:r>
              <w:rPr>
                <w:rFonts w:ascii="Consolas" w:cs="Consolas" w:eastAsia="Consolas" w:hAnsi="Consolas"/>
                <w:color w:val="2A2340"/>
                <w:sz w:val="19"/>
                <w:szCs w:val="19"/>
              </w:rPr>
              <w:t xml:space="preserve"># 1) database avviato e migrato (M2/M3)</w:t>
            </w:r>
          </w:p>
          <w:p>
            <w:pPr>
              <w:shd w:fill="F2F0FF" w:val="clear"/>
              <w:spacing w:after="20" w:line="260"/>
            </w:pPr>
            <w:r>
              <w:rPr>
                <w:rFonts w:ascii="Consolas" w:cs="Consolas" w:eastAsia="Consolas" w:hAnsi="Consolas"/>
                <w:color w:val="2A2340"/>
                <w:sz w:val="19"/>
                <w:szCs w:val="19"/>
              </w:rPr>
              <w:t xml:space="preserve">cd scripts</w:t>
            </w:r>
          </w:p>
          <w:p>
            <w:pPr>
              <w:shd w:fill="F2F0FF" w:val="clear"/>
              <w:spacing w:after="20" w:line="260"/>
            </w:pPr>
            <w:r>
              <w:rPr>
                <w:rFonts w:ascii="Consolas" w:cs="Consolas" w:eastAsia="Consolas" w:hAnsi="Consolas"/>
                <w:color w:val="2A2340"/>
                <w:sz w:val="19"/>
                <w:szCs w:val="19"/>
              </w:rPr>
              <w:t xml:space="preserve">docker compose up -d db</w:t>
            </w:r>
          </w:p>
          <w:p>
            <w:pPr>
              <w:shd w:fill="F2F0FF" w:val="clear"/>
              <w:spacing w:after="20" w:line="260"/>
            </w:pPr>
            <w:r>
              <w:rPr>
                <w:rFonts w:ascii="Consolas" w:cs="Consolas" w:eastAsia="Consolas" w:hAnsi="Consolas"/>
                <w:color w:val="2A2340"/>
                <w:sz w:val="19"/>
                <w:szCs w:val="19"/>
              </w:rPr>
              <w:t xml:space="preserve">docker compose --profile tools run --rm flyway migrate</w:t>
            </w:r>
          </w:p>
          <w:p>
            <w:pPr>
              <w:shd w:fill="F2F0FF" w:val="clear"/>
              <w:spacing w:after="20" w:line="260"/>
            </w:pPr>
            <w:r>
              <w:rPr>
                <w:rFonts w:ascii="Consolas" w:cs="Consolas" w:eastAsia="Consolas" w:hAnsi="Consolas"/>
                <w:color w:val="2A2340"/>
                <w:sz w:val="19"/>
                <w:szCs w:val="19"/>
              </w:rPr>
              <w:t xml:space="preserve"> </w:t>
            </w:r>
          </w:p>
          <w:p>
            <w:pPr>
              <w:shd w:fill="F2F0FF" w:val="clear"/>
              <w:spacing w:after="20" w:line="260"/>
            </w:pPr>
            <w:r>
              <w:rPr>
                <w:rFonts w:ascii="Consolas" w:cs="Consolas" w:eastAsia="Consolas" w:hAnsi="Consolas"/>
                <w:color w:val="2A2340"/>
                <w:sz w:val="19"/>
                <w:szCs w:val="19"/>
              </w:rPr>
              <w:t xml:space="preserve"># 2) avvio del backend</w:t>
            </w:r>
          </w:p>
          <w:p>
            <w:pPr>
              <w:shd w:fill="F2F0FF" w:val="clear"/>
              <w:spacing w:after="20" w:line="260"/>
            </w:pPr>
            <w:r>
              <w:rPr>
                <w:rFonts w:ascii="Consolas" w:cs="Consolas" w:eastAsia="Consolas" w:hAnsi="Consolas"/>
                <w:color w:val="2A2340"/>
                <w:sz w:val="19"/>
                <w:szCs w:val="19"/>
              </w:rPr>
              <w:t xml:space="preserve">cd ../backend</w:t>
            </w:r>
          </w:p>
          <w:p>
            <w:pPr>
              <w:shd w:fill="F2F0FF" w:val="clear"/>
              <w:spacing w:after="0" w:line="260"/>
            </w:pPr>
            <w:r>
              <w:rPr>
                <w:rFonts w:ascii="Consolas" w:cs="Consolas" w:eastAsia="Consolas" w:hAnsi="Consolas"/>
                <w:color w:val="2A2340"/>
                <w:sz w:val="19"/>
                <w:szCs w:val="19"/>
              </w:rPr>
              <w:t xml:space="preserve">DB_PASSWORD=ACE_5 mvn spring-boot:run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Nel log di avvio compare il riepilogo di connessione:</w:t>
      </w:r>
    </w:p>
    <w:tbl>
      <w:tblPr>
        <w:tblW w:type="dxa" w:w="9350"/>
        <w:tblBorders>
          <w:top w:val="single" w:color="D9D2F5" w:sz="2"/>
          <w:left w:val="single" w:color="D9D2F5" w:sz="2"/>
          <w:bottom w:val="single" w:color="D9D2F5" w:sz="2"/>
          <w:right w:val="single" w:color="D9D2F5" w:sz="2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0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hd w:fill="F2F0FF" w:val="clear"/>
              <w:spacing w:after="20" w:line="260"/>
            </w:pPr>
            <w:r>
              <w:rPr>
                <w:rFonts w:ascii="Consolas" w:cs="Consolas" w:eastAsia="Consolas" w:hAnsi="Consolas"/>
                <w:color w:val="2A2340"/>
                <w:sz w:val="19"/>
                <w:szCs w:val="19"/>
              </w:rPr>
              <w:t xml:space="preserve">Connessione al database riuscita.</w:t>
            </w:r>
          </w:p>
          <w:p>
            <w:pPr>
              <w:shd w:fill="F2F0FF" w:val="clear"/>
              <w:spacing w:after="20" w:line="260"/>
            </w:pPr>
            <w:r>
              <w:rPr>
                <w:rFonts w:ascii="Consolas" w:cs="Consolas" w:eastAsia="Consolas" w:hAnsi="Consolas"/>
                <w:color w:val="2A2340"/>
                <w:sz w:val="19"/>
                <w:szCs w:val="19"/>
              </w:rPr>
              <w:t xml:space="preserve">  Server                  : PostgreSQL 16.x</w:t>
            </w:r>
          </w:p>
          <w:p>
            <w:pPr>
              <w:shd w:fill="F2F0FF" w:val="clear"/>
              <w:spacing w:after="0" w:line="260"/>
            </w:pPr>
            <w:r>
              <w:rPr>
                <w:rFonts w:ascii="Consolas" w:cs="Consolas" w:eastAsia="Consolas" w:hAnsi="Consolas"/>
                <w:color w:val="2A2340"/>
                <w:sz w:val="19"/>
                <w:szCs w:val="19"/>
              </w:rPr>
              <w:t xml:space="preserve">  Tabelle catalogo trovate: 15/15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Verifica esterna con l'health endpoint:</w:t>
      </w:r>
    </w:p>
    <w:tbl>
      <w:tblPr>
        <w:tblW w:type="dxa" w:w="9350"/>
        <w:tblBorders>
          <w:top w:val="single" w:color="D9D2F5" w:sz="2"/>
          <w:left w:val="single" w:color="D9D2F5" w:sz="2"/>
          <w:bottom w:val="single" w:color="D9D2F5" w:sz="2"/>
          <w:right w:val="single" w:color="D9D2F5" w:sz="2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2F0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hd w:fill="F2F0FF" w:val="clear"/>
              <w:spacing w:after="20" w:line="260"/>
            </w:pPr>
            <w:r>
              <w:rPr>
                <w:rFonts w:ascii="Consolas" w:cs="Consolas" w:eastAsia="Consolas" w:hAnsi="Consolas"/>
                <w:color w:val="2A2340"/>
                <w:sz w:val="19"/>
                <w:szCs w:val="19"/>
              </w:rPr>
              <w:t xml:space="preserve">curl http://localhost:8080/actuator/health</w:t>
            </w:r>
          </w:p>
          <w:p>
            <w:pPr>
              <w:shd w:fill="F2F0FF" w:val="clear"/>
              <w:spacing w:after="0" w:line="260"/>
            </w:pPr>
            <w:r>
              <w:rPr>
                <w:rFonts w:ascii="Consolas" w:cs="Consolas" w:eastAsia="Consolas" w:hAnsi="Consolas"/>
                <w:color w:val="2A2340"/>
                <w:sz w:val="19"/>
                <w:szCs w:val="19"/>
              </w:rPr>
              <w:t xml:space="preserve">{"status":"UP", ... "db":{"status":"UP", ...}}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4C2FBF"/>
          <w:sz w:val="28"/>
          <w:szCs w:val="28"/>
        </w:rPr>
        <w:t xml:space="preserve">6. Cosa NON è incluso in questa task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Entità JPA e repository — M4-T2.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Autenticazione JWT (registrazione e login) — M4-T3.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Messaggi server multilingua (Accept-Language IT/EN) — M4-T4.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Endpoint REST (catalogo, dettaglio, wishlist, backlog, statistiche, achievement…) — da M4-T5 in poi.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top w:val="single" w:color="D9D2F5" w:sz="2"/>
          <w:bottom w:val="single" w:color="D9D2F5" w:sz="2"/>
          <w:left w:val="single" w:color="6B46FF" w:sz="12"/>
          <w:right w:val="single" w:color="D9D2F5" w:sz="2"/>
        </w:pBdr>
        <w:shd w:fill="F2F0FF" w:val="clear"/>
        <w:spacing w:after="0" w:before="120" w:line="276"/>
      </w:pPr>
      <w:r>
        <w:rPr>
          <w:rFonts w:ascii="Calibri" w:cs="Calibri" w:eastAsia="Calibri" w:hAnsi="Calibri"/>
          <w:b/>
          <w:bCs/>
          <w:color w:val="4C2FBF"/>
          <w:sz w:val="21"/>
          <w:szCs w:val="21"/>
        </w:rPr>
        <w:t xml:space="preserve">Esito: </w:t>
      </w:r>
      <w:r>
        <w:rPr>
          <w:rFonts w:ascii="Calibri" w:cs="Calibri" w:eastAsia="Calibri" w:hAnsi="Calibri"/>
          <w:sz w:val="21"/>
          <w:szCs w:val="21"/>
        </w:rPr>
        <w:t xml:space="preserve">scheletro del backend creato e connessione a PostgreSQL verificata. L'applicazione parte, riusa le migrazioni M2/M3 senza duplicarle e conferma la presenza dello schema. Il progetto è pronto per l'ingresso delle entità JPA (M4-T2).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M4-T1 — Setup progetto Spring Boot e connessione al DB</dc:title>
  <dc:creator>Team ACE5</dc:creator>
  <cp:lastModifiedBy>Un-named</cp:lastModifiedBy>
  <cp:revision>1</cp:revision>
  <dcterms:created xsi:type="dcterms:W3CDTF">2026-07-06T13:57:22.457Z</dcterms:created>
  <dcterms:modified xsi:type="dcterms:W3CDTF">2026-07-06T13:57:22.458Z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