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B5B5B"/>
          <w:sz w:val="18"/>
          <w:szCs w:val="18"/>
        </w:rPr>
        <w:t xml:space="preserve">Progetto Arcadium   •   Milestone 4 — Backend Spring Boot</w:t>
      </w:r>
    </w:p>
    <w:p>
      <w:pPr>
        <w:pBdr>
          <w:bottom w:val="single" w:color="3B2A6B" w:sz="6" w:space="6"/>
        </w:pBdr>
        <w:spacing w:after="160"/>
      </w:pPr>
      <w:r>
        <w:rPr>
          <w:b/>
          <w:bCs/>
          <w:color w:val="1A1A1A"/>
          <w:sz w:val="34"/>
          <w:szCs w:val="34"/>
        </w:rPr>
        <w:t xml:space="preserve">M4-T2 — Entità JPA e repository</w:t>
      </w:r>
    </w:p>
    <w:p>
      <w:pPr>
        <w:spacing w:after="260"/>
      </w:pPr>
      <w:r>
        <w:rPr>
          <w:i/>
          <w:iCs/>
          <w:color w:val="5B5B5B"/>
          <w:sz w:val="22"/>
          <w:szCs w:val="22"/>
        </w:rPr>
        <w:t xml:space="preserve">Mappatura del modello dati sulle 24 tabelle dello schema — Team ACE5</w:t>
      </w:r>
    </w:p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1.  Obiettivo della task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Tradurre il modello dati — le ventiquattro tabelle create in M2 e validate in M1 — in entità JPA e repository Spring Data, costruendo il livello di persistenza su cui poggeranno i task successivi del backend (autenticazione, endpoint, statistiche, achievement). In questa task non si scrivono ancora servizi, controller o logica di sicurezza: si definisce soltanto la mappa fra oggetti Java e tabelle, e se ne verifica l'esattezza contro il database reale.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L'esito atteso è che l'applicazione, avviata contro il database di M2/M3, carichi il contesto senza errori: è la prova che ogni entità corrisponde esattamente alla sua tabella.</w:t>
      </w:r>
    </w:p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2.  Perimetro e struttura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Le classi risiedono sotto il package radice com.ace5.arcadium, nei due package previsti dal modello di cartelle del progetto: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entity/ — </w:t>
      </w:r>
      <w:r>
        <w:rPr>
          <w:color w:val="1A1A1A"/>
          <w:sz w:val="21"/>
          <w:szCs w:val="21"/>
        </w:rPr>
        <w:t xml:space="preserve">sedici classi @Entity (una per tabella persistente) e cinque classi @Embeddable per le chiavi composte.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repository/ — </w:t>
      </w:r>
      <w:r>
        <w:rPr>
          <w:color w:val="1A1A1A"/>
          <w:sz w:val="21"/>
          <w:szCs w:val="21"/>
        </w:rPr>
        <w:t xml:space="preserve">sedici interfacce Spring Data, una per aggregato, che estendono JpaRepository.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Le sette tabelle ponte del catalogo non hanno una classe propria: sono mappate come associazioni molti-a-molti sull'entità Game. Analogamente game_screenshot non è un'entità ma una collezione di elementi. Restano fuori perimetro, ai task successivi: DTO, controller, servizi, sicurezza JWT e messaggi multilingua.</w:t>
      </w:r>
    </w:p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3.  Principio guida: validate come oracolo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Lo schema non è gestito da Hibernate ma da Flyway (scelta di M2, confermata in M4-T1). L'impostazione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ddl-auto = validate</w:t>
      </w:r>
      <w:r>
        <w:rPr>
          <w:color w:val="1A1A1A"/>
          <w:sz w:val="21"/>
          <w:szCs w:val="21"/>
        </w:rPr>
        <w:t xml:space="preserve"> fa sì che Hibernate non crei né alteri alcuna tabella: all'avvio confronta ogni entità con lo schema già presente e, se anche una sola colonna o un solo tipo non combacia, il contesto non parte.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Questo trasforma l'avvio dell'applicazione in una verifica empirica del mapping: la correttezza non è asserita a parole, ma dimostrata dal fatto che il contesto si carica. Ogni scelta di mapping descritta più sotto è stata validata in questo modo.</w:t>
      </w:r>
    </w:p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4.  Copertura delle ventiquattro tabelle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Le ventiquattro tabelle sono state raggruppate per concern e mappate come segue.</w:t>
      </w:r>
    </w:p>
    <w:tbl>
      <w:tblPr>
        <w:tblW w:type="dxa" w:w="902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2050"/>
        <w:gridCol w:w="3050"/>
        <w:gridCol w:w="3920"/>
      </w:tblGrid>
      <w:tr>
        <w:trPr>
          <w:tblHeader/>
        </w:trPr>
        <w:tc>
          <w:tcPr>
            <w:tcW w:type="dxa" w:w="205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Gruppo (n. tabelle)</w:t>
            </w:r>
          </w:p>
        </w:tc>
        <w:tc>
          <w:tcPr>
            <w:tcW w:type="dxa" w:w="305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Tabelle</w:t>
            </w:r>
          </w:p>
        </w:tc>
        <w:tc>
          <w:tcPr>
            <w:tcW w:type="dxa" w:w="392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Mapping JPA</w:t>
            </w:r>
          </w:p>
        </w:tc>
      </w:tr>
      <w:tr>
        <w:trPr>
          <w:tblHeader w:val="false"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Catalogo (15)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games; language, developer, publisher, category, genre, tag; sette ponte game_*; game_screenshot</w:t>
            </w:r>
          </w:p>
        </w:tc>
        <w:tc>
          <w:tcPr>
            <w:tcW w:type="dxa" w:w="3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Game e le sei lookup come @Entity @Immutable; le sette ponte come @ManyToMany con @JoinTable su Game; game_screenshot come @ElementCollection di String.</w:t>
            </w:r>
          </w:p>
        </w:tc>
      </w:tr>
      <w:tr>
        <w:trPr>
          <w:tblHeader w:val="false"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Utenti e libreria (4)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app_user, backlog_status, wishlist, backlog</w:t>
            </w:r>
          </w:p>
        </w:tc>
        <w:tc>
          <w:tcPr>
            <w:tcW w:type="dxa" w:w="3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app_user @Entity mutabile; backlog_status @Immutable (seed); wishlist e backlog con @EmbeddedId + @MapsId.</w:t>
            </w:r>
          </w:p>
        </w:tc>
      </w:tr>
      <w:tr>
        <w:trPr>
          <w:tblHeader w:val="false"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Achievement (2)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achievement, user_achievement</w:t>
            </w:r>
          </w:p>
        </w:tc>
        <w:tc>
          <w:tcPr>
            <w:tcW w:type="dxa" w:w="3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achievement @Immutable (seed); user_achievement con @EmbeddedId + @MapsId.</w:t>
            </w:r>
          </w:p>
        </w:tc>
      </w:tr>
      <w:tr>
        <w:trPr>
          <w:tblHeader w:val="false"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Future-ready (3)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notification, notification_preference, price_history</w:t>
            </w:r>
          </w:p>
        </w:tc>
        <w:tc>
          <w:tcPr>
            <w:tcW w:type="dxa" w:w="3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notification @Entity con id surrogato; notification_preference e price_history con @EmbeddedId + @MapsId.</w:t>
            </w:r>
          </w:p>
        </w:tc>
      </w:tr>
    </w:tbl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5.  Scelte di mapping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Catalogo immutabile. </w:t>
      </w:r>
      <w:r>
        <w:rPr>
          <w:color w:val="1A1A1A"/>
          <w:sz w:val="21"/>
          <w:szCs w:val="21"/>
        </w:rPr>
        <w:t xml:space="preserve">Game, le sei lookup, backlog_status e achievement sono @Immutable: sono dati posseduti dall'ETL o dai seed, che il backend legge ma non scrive mai. L'annotazione rende esplicita l'architettura e previene scritture accidentali. Utenti, libreria, sblocchi e notifiche restano mutabili.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Ponte del catalogo come @ManyToMany. </w:t>
      </w:r>
      <w:r>
        <w:rPr>
          <w:color w:val="1A1A1A"/>
          <w:sz w:val="21"/>
          <w:szCs w:val="21"/>
        </w:rPr>
        <w:t xml:space="preserve">Le sette tabelle ponte non portano attributi propri: sono mappate come collezioni @ManyToMany su Game, con @JoinTable esplicito (i nomi reali sono game_genre, game_language… non i default di Hibernate). language è una sola entità raggiunta da due associazioni distinte (lingue supportate e lingue con audio).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Chiavi naturali e surrogate. </w:t>
      </w:r>
      <w:r>
        <w:rPr>
          <w:color w:val="1A1A1A"/>
          <w:sz w:val="21"/>
          <w:szCs w:val="21"/>
        </w:rPr>
        <w:t xml:space="preserve">games.app_id è chiave naturale dal dataset Steam: nessuna generazione. Le lookup usano id INTEGER IDENTITY; le altre entità id BIGINT IDENTITY, mappati con @GeneratedValue(IDENTITY).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Chiavi composte con @EmbeddedId e @MapsId. </w:t>
      </w:r>
      <w:r>
        <w:rPr>
          <w:color w:val="1A1A1A"/>
          <w:sz w:val="21"/>
          <w:szCs w:val="21"/>
        </w:rPr>
        <w:t xml:space="preserve">wishlist, backlog, user_achievement, notification_preference e price_history hanno chiave primaria composta: ogni chiave è una classe @Embeddable, e i @ManyToOne verso le entità collegate sono legati alle sue componenti tramite @MapsId, senza duplicare le colonne. Dove una componente della chiave non è una chiave esterna — il type testuale di notification_preference, il recorded_at di price_history — @MapsId lega solo la parte FK e l'altra resta un attributo dell'id.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Corrispondenza dei tipi. </w:t>
      </w:r>
      <w:r>
        <w:rPr>
          <w:color w:val="1A1A1A"/>
          <w:sz w:val="21"/>
          <w:szCs w:val="21"/>
        </w:rPr>
        <w:t xml:space="preserve">I tipi Java sono stati scelti per combaciare con quelli PostgreSQL secondo la tabella del paragrafo 6; in particolare SMALLINT è mappato su Short (non Integer) per evitare che validate rilevi una discrepanza int2/int4.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Fetch pigro e audit. </w:t>
      </w:r>
      <w:r>
        <w:rPr>
          <w:color w:val="1A1A1A"/>
          <w:sz w:val="21"/>
          <w:szCs w:val="21"/>
        </w:rPr>
        <w:t xml:space="preserve">Tutte le associazioni sono LAZY, per evitare caricamenti a cascata non richiesti; le join specifiche si scriveranno con i rispettivi endpoint. I timestamp di creazione e modifica sono valorizzati da Hibernate (@CreationTimestamp, @UpdateTimestamp), coerentemente con il DEFAULT now() del database.</w:t>
      </w:r>
    </w:p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6.  Corrispondenza dei tipi</w:t>
      </w:r>
    </w:p>
    <w:tbl>
      <w:tblPr>
        <w:tblW w:type="dxa" w:w="902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2650"/>
        <w:gridCol w:w="2050"/>
        <w:gridCol w:w="4320"/>
      </w:tblGrid>
      <w:tr>
        <w:trPr>
          <w:tblHeader/>
        </w:trPr>
        <w:tc>
          <w:tcPr>
            <w:tcW w:type="dxa" w:w="265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Tipo PostgreSQL</w:t>
            </w:r>
          </w:p>
        </w:tc>
        <w:tc>
          <w:tcPr>
            <w:tcW w:type="dxa" w:w="205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Tipo Java</w:t>
            </w:r>
          </w:p>
        </w:tc>
        <w:tc>
          <w:tcPr>
            <w:tcW w:type="dxa" w:w="432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Chiave naturale games.app_id: nessun @GeneratedValue.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BIGINT / INTEGER</w:t>
            </w: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IDENTITY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Long / Integer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Chiavi surrogate: @GeneratedValue(IDENTITY).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SMALLINT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Short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Evita la discrepanza int2/int4 in validate.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Prezzi (games.price, price_history.price).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TEXT / VARCHAR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Stesso codice tipo VARCHAR: la lunghezza non è validata.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LocalDate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games.release_date.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Senza timezone; audit con @CreationTimestamp/@UpdateTimestamp.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Piattaforme, flag di stato.</w:t>
            </w:r>
          </w:p>
        </w:tc>
      </w:tr>
    </w:tbl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7.  Esito della verifica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Il contesto applicativo è stato avviato contro il database PostgreSQL di M2/M3 tramite lo smoke test del contesto (contextLoads, introdotto in M4-T1). L'avvio è andato a buon fine: la connessione si apre, Hibernate rileva il dialect e inizializza la EntityManagerFactory confrontando le ventiquattro entità con lo schema, senza sollevare alcuna SchemaManagementException. Il controllo di connessione ereditato dall'ETL conferma inoltre la presenza dello schema.</w:t>
      </w:r>
    </w:p>
    <w:tbl>
      <w:tblPr>
        <w:tblW w:type="dxa" w:w="902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Controllo</w:t>
            </w:r>
          </w:p>
        </w:tc>
        <w:tc>
          <w:tcPr>
            <w:tcW w:type="dxa" w:w="451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Esito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Connessione al database</w:t>
            </w:r>
          </w:p>
        </w:tc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OK — PostgreSQL 16.14, database arcadium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Dialect rilevato</w:t>
            </w:r>
          </w:p>
        </w:tc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PostgreSQLDialect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EntityManagerFactory (validate delle 24 entità)</w:t>
            </w:r>
          </w:p>
        </w:tc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Inizializzata, nessuna SchemaManagementException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DatabaseConnectionCheck</w:t>
            </w:r>
          </w:p>
        </w:tc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Tabelle catalogo trovate: 15/15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Smoke test contextLoads</w:t>
            </w:r>
          </w:p>
        </w:tc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Superato (exit code 0)</w:t>
            </w:r>
          </w:p>
        </w:tc>
      </w:tr>
    </w:tbl>
    <w:p>
      <w:pPr>
        <w:spacing w:after="120" w:line="264"/>
      </w:pPr>
      <w:r>
        <w:rPr>
          <w:color w:val="1A1A1A"/>
          <w:sz w:val="21"/>
          <w:szCs w:val="21"/>
        </w:rPr>
        <w:t xml:space="preserve">L'esito verde certifica che ogni entità corrisponde alla propria tabella: il livello di persistenza è allineato allo schema e pronto per l'uso.</w:t>
      </w:r>
    </w:p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8.  Cosa non è incluso e prossimo passo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Restano ai task successivi la logica applicativa e l'esposizione dei dati: l'autenticazione JWT (M4-T3) userà AppUser e il suo repository; dagli endpoint in poi (da M4-T5) i repository si arricchiranno dei metodi di query specifici per ricerca e filtri. Come rifinitura — prevista già in M4-T1 e non bloccante — lo smoke test potrà essere isolato dal database reale (Testcontainers o profilo di test dedicato), così da non dipendere da un PostgreSQL attivo a ogni esecuzione.</w:t>
      </w:r>
    </w:p>
    <w:p>
      <w:pPr>
        <w:pBdr>
          <w:top w:val="single" w:color="C9C9C9" w:sz="4" w:space="6"/>
        </w:pBdr>
        <w:spacing w:before="300"/>
      </w:pPr>
      <w:r>
        <w:rPr>
          <w:i/>
          <w:iCs/>
          <w:color w:val="5B5B5B"/>
          <w:sz w:val="17"/>
          <w:szCs w:val="17"/>
        </w:rPr>
        <w:t xml:space="preserve">Arcadium · ACE5 — M4-T2 · Entità JPA e repository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M4-T2 — Entità JPA e repository</dc:title>
  <dc:creator>ACE5</dc:creator>
  <cp:lastModifiedBy>Un-named</cp:lastModifiedBy>
  <cp:revision>1</cp:revision>
  <dcterms:created xsi:type="dcterms:W3CDTF">2026-07-06T21:31:41.738Z</dcterms:created>
  <dcterms:modified xsi:type="dcterms:W3CDTF">2026-07-06T21:31:41.762Z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