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B7280"/>
          <w:sz w:val="18"/>
          <w:szCs w:val="18"/>
        </w:rPr>
        <w:t xml:space="preserve">PROGETTO ARCADIUM — ACE5</w:t>
      </w:r>
    </w:p>
    <w:p>
      <w:pPr>
        <w:pStyle w:val="Heading1"/>
      </w:pPr>
      <w:r>
        <w:rPr>
          <w:b/>
          <w:bCs/>
        </w:rPr>
        <w:t xml:space="preserve">Pagina catalogo (negozio) con filtri</w:t>
      </w:r>
    </w:p>
    <w:p>
      <w:pPr>
        <w:spacing w:after="120"/>
      </w:pPr>
      <w:r>
        <w:rPr>
          <w:i/>
          <w:iCs/>
          <w:color w:val="6B7280"/>
        </w:rPr>
        <w:t xml:space="preserve">Milestone M5 — Frontend React · Task T8</w:t>
      </w:r>
    </w:p>
    <w:p>
      <w:pPr>
        <w:spacing w:after="120"/>
      </w:pPr>
      <w:r>
        <w:t xml:space="preserve">Questo task realizza la pagina </w:t>
      </w:r>
      <w:r>
        <w:rPr>
          <w:b/>
          <w:bCs/>
        </w:rPr>
        <w:t xml:space="preserve">Negozio</w:t>
      </w:r>
      <w:r>
        <w:t xml:space="preserve"> (</w:t>
      </w:r>
      <w:r>
        <w:rPr>
          <w:rFonts w:ascii="Consolas" w:cs="Consolas" w:eastAsia="Consolas" w:hAnsi="Consolas"/>
          <w:sz w:val="19"/>
          <w:szCs w:val="19"/>
        </w:rPr>
        <w:t xml:space="preserve">/negozio</w:t>
      </w:r>
      <w:r>
        <w:t xml:space="preserve">), fedele al mockup: una </w:t>
      </w:r>
      <w:r>
        <w:rPr>
          <w:b/>
          <w:bCs/>
        </w:rPr>
        <w:t xml:space="preserve">barra di filtri a pillole con menu a tendina in stile “glass”</w:t>
      </w:r>
      <w:r>
        <w:t xml:space="preserve"> (Genere, Prezzo, Sconto, Piattaforma, Valutazione, Lingua) con l’ordinamento ancorato a destra, una </w:t>
      </w:r>
      <w:r>
        <w:rPr>
          <w:b/>
          <w:bCs/>
        </w:rPr>
        <w:t xml:space="preserve">griglia responsive</w:t>
      </w:r>
      <w:r>
        <w:t xml:space="preserve"> di card gioco e una sezione in evidenza </w:t>
      </w:r>
      <w:r>
        <w:rPr>
          <w:b/>
          <w:bCs/>
        </w:rPr>
        <w:t xml:space="preserve">“Sconti del momento”</w:t>
      </w:r>
      <w:r>
        <w:t xml:space="preserve">. Filtro, ricerca e ordinamento avvengono lato client. Come per il resto della milestone, l’implementazione usa JavaScript e CSS Modules, riusa i componenti del design system (T2) e le etichette dell’i18n IT/EN (T3).</w:t>
      </w:r>
    </w:p>
    <w:p>
      <w:pPr>
        <w:pStyle w:val="Heading2"/>
        <w:spacing w:after="120" w:before="240"/>
      </w:pPr>
      <w:r>
        <w:rPr>
          <w:b/>
          <w:bCs/>
        </w:rPr>
        <w:t xml:space="preserve">1. Obiettivo</w:t>
      </w:r>
    </w:p>
    <w:p>
      <w:pPr>
        <w:spacing w:after="120"/>
      </w:pPr>
      <w:r>
        <w:t xml:space="preserve">Offrire un catalogo sfogliabile e filtrabile in cui l’utente trova rapidamente i giochi per genere, prezzo, sconto, piattaforma, valutazione e lingua, li ordina secondo diversi criteri e apre la pagina del gioco su Steam con un clic. In attesa del backend, la pagina lavora su un dataset finto con la stessa forma prevista per l’endpoint del negozio, così l’aggancio all’API sarà una sostituzione della sola sorgente dati.</w:t>
      </w:r>
    </w:p>
    <w:p>
      <w:pPr>
        <w:pStyle w:val="Heading2"/>
        <w:spacing w:after="120" w:before="240"/>
      </w:pPr>
      <w:r>
        <w:rPr>
          <w:b/>
          <w:bCs/>
        </w:rPr>
        <w:t xml:space="preserve">2. Struttura e file</w:t>
      </w:r>
    </w:p>
    <w:p>
      <w:pPr>
        <w:spacing w:after="120"/>
      </w:pPr>
      <w:r>
        <w:t xml:space="preserve">La pagina è composta da un nuovo componente riutilizzabile per i filtri, dalla card gioco del negozio, da un’utility per i prezzi e da un dataset finto co-locato con la pagina. Le stringhe provengono dal nuovo namespace i18n “store”.</w:t>
      </w:r>
    </w:p>
    <w:tbl>
      <w:tblPr>
        <w:tblW w:type="pct" w:w="100%"/>
        <w:tblBorders>
          <w:top w:val="single" w:color="D9DEE8" w:sz="4"/>
          <w:left w:val="single" w:color="D9DEE8" w:sz="4"/>
          <w:bottom w:val="single" w:color="D9DEE8" w:sz="4"/>
          <w:right w:val="single" w:color="D9DEE8" w:sz="4"/>
          <w:insideH w:val="single" w:color="D9DEE8" w:sz="4"/>
          <w:insideV w:val="single" w:color="D9DEE8" w:sz="4"/>
        </w:tblBorders>
      </w:tblPr>
      <w:tblGrid>
        <w:gridCol w:w="100"/>
        <w:gridCol w:w="100"/>
        <w:gridCol w:w="100"/>
      </w:tblGrid>
      <w:tr>
        <w:trPr>
          <w:tblHeader/>
        </w:trPr>
        <w:tc>
          <w:tcPr>
            <w:tcW w:type="pct" w:w="30%"/>
            <w:shd w:fill="F1EEFF"/>
            <w:tcMar>
              <w:top w:type="dxa" w:w="60"/>
              <w:left w:type="dxa" w:w="100"/>
              <w:bottom w:type="dxa" w:w="60"/>
              <w:right w:type="dxa" w:w="100"/>
            </w:tcMar>
          </w:tcPr>
          <w:p>
            <w:r>
              <w:rPr>
                <w:b/>
                <w:bCs/>
              </w:rPr>
              <w:t xml:space="preserve">Elemento</w:t>
            </w:r>
          </w:p>
        </w:tc>
        <w:tc>
          <w:tcPr>
            <w:shd w:fill="F1EEFF"/>
            <w:tcMar>
              <w:top w:type="dxa" w:w="60"/>
              <w:left w:type="dxa" w:w="100"/>
              <w:bottom w:type="dxa" w:w="60"/>
              <w:right w:type="dxa" w:w="100"/>
            </w:tcMar>
          </w:tcPr>
          <w:p>
            <w:r>
              <w:rPr>
                <w:b/>
                <w:bCs/>
              </w:rPr>
              <w:t xml:space="preserve">Posizione</w:t>
            </w:r>
          </w:p>
        </w:tc>
        <w:tc>
          <w:tcPr>
            <w:shd w:fill="F1EEFF"/>
            <w:tcMar>
              <w:top w:type="dxa" w:w="60"/>
              <w:left w:type="dxa" w:w="100"/>
              <w:bottom w:type="dxa" w:w="60"/>
              <w:right w:type="dxa" w:w="100"/>
            </w:tcMar>
          </w:tcPr>
          <w:p>
            <w:r>
              <w:rPr>
                <w:b/>
                <w:bCs/>
              </w:rPr>
              <w:t xml:space="preserve">Ruolo</w:t>
            </w:r>
          </w:p>
        </w:tc>
      </w:tr>
      <w:tr>
        <w:tc>
          <w:tcPr>
            <w:tcMar>
              <w:top w:type="dxa" w:w="60"/>
              <w:left w:type="dxa" w:w="100"/>
              <w:bottom w:type="dxa" w:w="60"/>
              <w:right w:type="dxa" w:w="100"/>
            </w:tcMar>
          </w:tcPr>
          <w:p>
            <w:r>
              <w:rPr>
                <w:rFonts w:ascii="Consolas" w:cs="Consolas" w:eastAsia="Consolas" w:hAnsi="Consolas"/>
                <w:sz w:val="19"/>
                <w:szCs w:val="19"/>
              </w:rPr>
              <w:t xml:space="preserve">page.js</w:t>
            </w:r>
          </w:p>
        </w:tc>
        <w:tc>
          <w:tcPr>
            <w:tcMar>
              <w:top w:type="dxa" w:w="60"/>
              <w:left w:type="dxa" w:w="100"/>
              <w:bottom w:type="dxa" w:w="60"/>
              <w:right w:type="dxa" w:w="100"/>
            </w:tcMar>
          </w:tcPr>
          <w:p>
            <w:r>
              <w:rPr>
                <w:rFonts w:ascii="Consolas" w:cs="Consolas" w:eastAsia="Consolas" w:hAnsi="Consolas"/>
                <w:sz w:val="19"/>
                <w:szCs w:val="19"/>
              </w:rPr>
              <w:t xml:space="preserve">app/(app)/negozio/page.js</w:t>
            </w:r>
          </w:p>
        </w:tc>
        <w:tc>
          <w:tcPr>
            <w:tcMar>
              <w:top w:type="dxa" w:w="60"/>
              <w:left w:type="dxa" w:w="100"/>
              <w:bottom w:type="dxa" w:w="60"/>
              <w:right w:type="dxa" w:w="100"/>
            </w:tcMar>
          </w:tcPr>
          <w:p>
            <w:r>
              <w:t xml:space="preserve">Pagina: stato dei filtri, logica di filtro/ordinamento e composizione della UI.</w:t>
            </w:r>
          </w:p>
        </w:tc>
      </w:tr>
      <w:tr>
        <w:tc>
          <w:tcPr>
            <w:tcMar>
              <w:top w:type="dxa" w:w="60"/>
              <w:left w:type="dxa" w:w="100"/>
              <w:bottom w:type="dxa" w:w="60"/>
              <w:right w:type="dxa" w:w="100"/>
            </w:tcMar>
          </w:tcPr>
          <w:p>
            <w:r>
              <w:rPr>
                <w:rFonts w:ascii="Consolas" w:cs="Consolas" w:eastAsia="Consolas" w:hAnsi="Consolas"/>
                <w:sz w:val="19"/>
                <w:szCs w:val="19"/>
              </w:rPr>
              <w:t xml:space="preserve">negozio.module.css</w:t>
            </w:r>
          </w:p>
        </w:tc>
        <w:tc>
          <w:tcPr>
            <w:tcMar>
              <w:top w:type="dxa" w:w="60"/>
              <w:left w:type="dxa" w:w="100"/>
              <w:bottom w:type="dxa" w:w="60"/>
              <w:right w:type="dxa" w:w="100"/>
            </w:tcMar>
          </w:tcPr>
          <w:p>
            <w:r>
              <w:rPr>
                <w:rFonts w:ascii="Consolas" w:cs="Consolas" w:eastAsia="Consolas" w:hAnsi="Consolas"/>
                <w:sz w:val="19"/>
                <w:szCs w:val="19"/>
              </w:rPr>
              <w:t xml:space="preserve">app/(app)/negozio/negozio.module.css</w:t>
            </w:r>
          </w:p>
        </w:tc>
        <w:tc>
          <w:tcPr>
            <w:tcMar>
              <w:top w:type="dxa" w:w="60"/>
              <w:left w:type="dxa" w:w="100"/>
              <w:bottom w:type="dxa" w:w="60"/>
              <w:right w:type="dxa" w:w="100"/>
            </w:tcMar>
          </w:tcPr>
          <w:p>
            <w:r>
              <w:t xml:space="preserve">Layout della pagina: barra filtri, griglia risultati, sezione sconti.</w:t>
            </w:r>
          </w:p>
        </w:tc>
      </w:tr>
      <w:tr>
        <w:tc>
          <w:tcPr>
            <w:tcMar>
              <w:top w:type="dxa" w:w="60"/>
              <w:left w:type="dxa" w:w="100"/>
              <w:bottom w:type="dxa" w:w="60"/>
              <w:right w:type="dxa" w:w="100"/>
            </w:tcMar>
          </w:tcPr>
          <w:p>
            <w:r>
              <w:rPr>
                <w:rFonts w:ascii="Consolas" w:cs="Consolas" w:eastAsia="Consolas" w:hAnsi="Consolas"/>
                <w:sz w:val="19"/>
                <w:szCs w:val="19"/>
              </w:rPr>
              <w:t xml:space="preserve">mockGames.js</w:t>
            </w:r>
          </w:p>
        </w:tc>
        <w:tc>
          <w:tcPr>
            <w:tcMar>
              <w:top w:type="dxa" w:w="60"/>
              <w:left w:type="dxa" w:w="100"/>
              <w:bottom w:type="dxa" w:w="60"/>
              <w:right w:type="dxa" w:w="100"/>
            </w:tcMar>
          </w:tcPr>
          <w:p>
            <w:r>
              <w:rPr>
                <w:rFonts w:ascii="Consolas" w:cs="Consolas" w:eastAsia="Consolas" w:hAnsi="Consolas"/>
                <w:sz w:val="19"/>
                <w:szCs w:val="19"/>
              </w:rPr>
              <w:t xml:space="preserve">app/(app)/negozio/mockGames.js</w:t>
            </w:r>
          </w:p>
        </w:tc>
        <w:tc>
          <w:tcPr>
            <w:tcMar>
              <w:top w:type="dxa" w:w="60"/>
              <w:left w:type="dxa" w:w="100"/>
              <w:bottom w:type="dxa" w:w="60"/>
              <w:right w:type="dxa" w:w="100"/>
            </w:tcMar>
          </w:tcPr>
          <w:p>
            <w:r>
              <w:t xml:space="preserve">Catalogo finto (segnaposto), sostituibile con l’API.</w:t>
            </w:r>
          </w:p>
        </w:tc>
      </w:tr>
      <w:tr>
        <w:tc>
          <w:tcPr>
            <w:tcMar>
              <w:top w:type="dxa" w:w="60"/>
              <w:left w:type="dxa" w:w="100"/>
              <w:bottom w:type="dxa" w:w="60"/>
              <w:right w:type="dxa" w:w="100"/>
            </w:tcMar>
          </w:tcPr>
          <w:p>
            <w:r>
              <w:rPr>
                <w:rFonts w:ascii="Consolas" w:cs="Consolas" w:eastAsia="Consolas" w:hAnsi="Consolas"/>
                <w:sz w:val="19"/>
                <w:szCs w:val="19"/>
              </w:rPr>
              <w:t xml:space="preserve">FilterDropdown</w:t>
            </w:r>
          </w:p>
        </w:tc>
        <w:tc>
          <w:tcPr>
            <w:tcMar>
              <w:top w:type="dxa" w:w="60"/>
              <w:left w:type="dxa" w:w="100"/>
              <w:bottom w:type="dxa" w:w="60"/>
              <w:right w:type="dxa" w:w="100"/>
            </w:tcMar>
          </w:tcPr>
          <w:p>
            <w:r>
              <w:rPr>
                <w:rFonts w:ascii="Consolas" w:cs="Consolas" w:eastAsia="Consolas" w:hAnsi="Consolas"/>
                <w:sz w:val="19"/>
                <w:szCs w:val="19"/>
              </w:rPr>
              <w:t xml:space="preserve">components/FilterDropdown/</w:t>
            </w:r>
          </w:p>
        </w:tc>
        <w:tc>
          <w:tcPr>
            <w:tcMar>
              <w:top w:type="dxa" w:w="60"/>
              <w:left w:type="dxa" w:w="100"/>
              <w:bottom w:type="dxa" w:w="60"/>
              <w:right w:type="dxa" w:w="100"/>
            </w:tcMar>
          </w:tcPr>
          <w:p>
            <w:r>
              <w:t xml:space="preserve">Pillola-filtro con pannello a tendina glass (checkbox/radio).</w:t>
            </w:r>
          </w:p>
        </w:tc>
      </w:tr>
      <w:tr>
        <w:tc>
          <w:tcPr>
            <w:tcMar>
              <w:top w:type="dxa" w:w="60"/>
              <w:left w:type="dxa" w:w="100"/>
              <w:bottom w:type="dxa" w:w="60"/>
              <w:right w:type="dxa" w:w="100"/>
            </w:tcMar>
          </w:tcPr>
          <w:p>
            <w:r>
              <w:rPr>
                <w:rFonts w:ascii="Consolas" w:cs="Consolas" w:eastAsia="Consolas" w:hAnsi="Consolas"/>
                <w:sz w:val="19"/>
                <w:szCs w:val="19"/>
              </w:rPr>
              <w:t xml:space="preserve">StoreCard</w:t>
            </w:r>
          </w:p>
        </w:tc>
        <w:tc>
          <w:tcPr>
            <w:tcMar>
              <w:top w:type="dxa" w:w="60"/>
              <w:left w:type="dxa" w:w="100"/>
              <w:bottom w:type="dxa" w:w="60"/>
              <w:right w:type="dxa" w:w="100"/>
            </w:tcMar>
          </w:tcPr>
          <w:p>
            <w:r>
              <w:rPr>
                <w:rFonts w:ascii="Consolas" w:cs="Consolas" w:eastAsia="Consolas" w:hAnsi="Consolas"/>
                <w:sz w:val="19"/>
                <w:szCs w:val="19"/>
              </w:rPr>
              <w:t xml:space="preserve">components/StoreCard/</w:t>
            </w:r>
          </w:p>
        </w:tc>
        <w:tc>
          <w:tcPr>
            <w:tcMar>
              <w:top w:type="dxa" w:w="60"/>
              <w:left w:type="dxa" w:w="100"/>
              <w:bottom w:type="dxa" w:w="60"/>
              <w:right w:type="dxa" w:w="100"/>
            </w:tcMar>
          </w:tcPr>
          <w:p>
            <w:r>
              <w:t xml:space="preserve">Card gioco: cover, recensioni, sconto, generi, prezzo, CTA Steam.</w:t>
            </w:r>
          </w:p>
        </w:tc>
      </w:tr>
      <w:tr>
        <w:tc>
          <w:tcPr>
            <w:tcMar>
              <w:top w:type="dxa" w:w="60"/>
              <w:left w:type="dxa" w:w="100"/>
              <w:bottom w:type="dxa" w:w="60"/>
              <w:right w:type="dxa" w:w="100"/>
            </w:tcMar>
          </w:tcPr>
          <w:p>
            <w:r>
              <w:rPr>
                <w:rFonts w:ascii="Consolas" w:cs="Consolas" w:eastAsia="Consolas" w:hAnsi="Consolas"/>
                <w:sz w:val="19"/>
                <w:szCs w:val="19"/>
              </w:rPr>
              <w:t xml:space="preserve">price.js</w:t>
            </w:r>
          </w:p>
        </w:tc>
        <w:tc>
          <w:tcPr>
            <w:tcMar>
              <w:top w:type="dxa" w:w="60"/>
              <w:left w:type="dxa" w:w="100"/>
              <w:bottom w:type="dxa" w:w="60"/>
              <w:right w:type="dxa" w:w="100"/>
            </w:tcMar>
          </w:tcPr>
          <w:p>
            <w:r>
              <w:rPr>
                <w:rFonts w:ascii="Consolas" w:cs="Consolas" w:eastAsia="Consolas" w:hAnsi="Consolas"/>
                <w:sz w:val="19"/>
                <w:szCs w:val="19"/>
              </w:rPr>
              <w:t xml:space="preserve">utils/price.js</w:t>
            </w:r>
          </w:p>
        </w:tc>
        <w:tc>
          <w:tcPr>
            <w:tcMar>
              <w:top w:type="dxa" w:w="60"/>
              <w:left w:type="dxa" w:w="100"/>
              <w:bottom w:type="dxa" w:w="60"/>
              <w:right w:type="dxa" w:w="100"/>
            </w:tcMar>
          </w:tcPr>
          <w:p>
            <w:r>
              <w:t xml:space="preserve">Formattazione prezzi in euro e calcolo del prezzo scontato.</w:t>
            </w:r>
          </w:p>
        </w:tc>
      </w:tr>
      <w:tr>
        <w:tc>
          <w:tcPr>
            <w:tcMar>
              <w:top w:type="dxa" w:w="60"/>
              <w:left w:type="dxa" w:w="100"/>
              <w:bottom w:type="dxa" w:w="60"/>
              <w:right w:type="dxa" w:w="100"/>
            </w:tcMar>
          </w:tcPr>
          <w:p>
            <w:r>
              <w:t xml:space="preserve">Namespace i18n</w:t>
            </w:r>
          </w:p>
        </w:tc>
        <w:tc>
          <w:tcPr>
            <w:tcMar>
              <w:top w:type="dxa" w:w="60"/>
              <w:left w:type="dxa" w:w="100"/>
              <w:bottom w:type="dxa" w:w="60"/>
              <w:right w:type="dxa" w:w="100"/>
            </w:tcMar>
          </w:tcPr>
          <w:p>
            <w:r>
              <w:rPr>
                <w:rFonts w:ascii="Consolas" w:cs="Consolas" w:eastAsia="Consolas" w:hAnsi="Consolas"/>
                <w:sz w:val="19"/>
                <w:szCs w:val="19"/>
              </w:rPr>
              <w:t xml:space="preserve">i18n/it.json · en.json</w:t>
            </w:r>
          </w:p>
        </w:tc>
        <w:tc>
          <w:tcPr>
            <w:tcMar>
              <w:top w:type="dxa" w:w="60"/>
              <w:left w:type="dxa" w:w="100"/>
              <w:bottom w:type="dxa" w:w="60"/>
              <w:right w:type="dxa" w:w="100"/>
            </w:tcMar>
          </w:tcPr>
          <w:p>
            <w:r>
              <w:t xml:space="preserve">Chiave “store”: filtri, ordinamento, prezzi, CTA, stati.</w:t>
            </w:r>
          </w:p>
        </w:tc>
      </w:tr>
    </w:tbl>
    <w:p>
      <w:pPr>
        <w:pStyle w:val="Heading2"/>
        <w:spacing w:after="120" w:before="240"/>
      </w:pPr>
      <w:r>
        <w:rPr>
          <w:b/>
          <w:bCs/>
        </w:rPr>
        <w:t xml:space="preserve">3. Componente FilterDropdown</w:t>
      </w:r>
    </w:p>
    <w:p>
      <w:pPr>
        <w:spacing w:after="120"/>
      </w:pPr>
      <w:r>
        <w:t xml:space="preserve">Componente client riutilizzabile che rende una </w:t>
      </w:r>
      <w:r>
        <w:rPr>
          <w:b/>
          <w:bCs/>
        </w:rPr>
        <w:t xml:space="preserve">pillola</w:t>
      </w:r>
      <w:r>
        <w:t xml:space="preserve"> (etichetta + freccetta) e, al clic, un </w:t>
      </w:r>
      <w:r>
        <w:rPr>
          <w:b/>
          <w:bCs/>
        </w:rPr>
        <w:t xml:space="preserve">pannello a tendina in stile glass</w:t>
      </w:r>
      <w:r>
        <w:t xml:space="preserve"> (superficie semitrasparente con </w:t>
      </w:r>
      <w:r>
        <w:rPr>
          <w:rFonts w:ascii="Consolas" w:cs="Consolas" w:eastAsia="Consolas" w:hAnsi="Consolas"/>
          <w:sz w:val="19"/>
          <w:szCs w:val="19"/>
        </w:rPr>
        <w:t xml:space="preserve">backdrop-filter: blur</w:t>
      </w:r>
      <w:r>
        <w:t xml:space="preserve">) contenente le opzioni passate come children. Gestisce da solo l’apertura, la chiusura al clic esterno e con </w:t>
      </w:r>
      <w:r>
        <w:rPr>
          <w:rFonts w:ascii="Consolas" w:cs="Consolas" w:eastAsia="Consolas" w:hAnsi="Consolas"/>
          <w:sz w:val="19"/>
          <w:szCs w:val="19"/>
        </w:rPr>
        <w:t xml:space="preserve">Esc</w:t>
      </w:r>
      <w:r>
        <w:t xml:space="preserve">, e l’ancoraggio del pannello a destra per il menu “Ordina”.</w:t>
      </w:r>
    </w:p>
    <w:tbl>
      <w:tblPr>
        <w:tblW w:type="pct" w:w="100%"/>
        <w:tblBorders>
          <w:top w:val="single" w:color="D9DEE8" w:sz="4"/>
          <w:left w:val="single" w:color="D9DEE8" w:sz="4"/>
          <w:bottom w:val="single" w:color="D9DEE8" w:sz="4"/>
          <w:right w:val="single" w:color="D9DEE8" w:sz="4"/>
          <w:insideH w:val="single" w:color="D9DEE8" w:sz="4"/>
          <w:insideV w:val="single" w:color="D9DEE8" w:sz="4"/>
        </w:tblBorders>
      </w:tblPr>
      <w:tblGrid>
        <w:gridCol w:w="100"/>
        <w:gridCol w:w="100"/>
        <w:gridCol w:w="100"/>
      </w:tblGrid>
      <w:tr>
        <w:trPr>
          <w:tblHeader/>
        </w:trPr>
        <w:tc>
          <w:tcPr>
            <w:tcW w:type="pct" w:w="30%"/>
            <w:shd w:fill="F1EEFF"/>
            <w:tcMar>
              <w:top w:type="dxa" w:w="60"/>
              <w:left w:type="dxa" w:w="100"/>
              <w:bottom w:type="dxa" w:w="60"/>
              <w:right w:type="dxa" w:w="100"/>
            </w:tcMar>
          </w:tcPr>
          <w:p>
            <w:r>
              <w:rPr>
                <w:b/>
                <w:bCs/>
              </w:rPr>
              <w:t xml:space="preserve">Prop</w:t>
            </w:r>
          </w:p>
        </w:tc>
        <w:tc>
          <w:tcPr>
            <w:shd w:fill="F1EEFF"/>
            <w:tcMar>
              <w:top w:type="dxa" w:w="60"/>
              <w:left w:type="dxa" w:w="100"/>
              <w:bottom w:type="dxa" w:w="60"/>
              <w:right w:type="dxa" w:w="100"/>
            </w:tcMar>
          </w:tcPr>
          <w:p>
            <w:r>
              <w:rPr>
                <w:b/>
                <w:bCs/>
              </w:rPr>
              <w:t xml:space="preserve">Tipo</w:t>
            </w:r>
          </w:p>
        </w:tc>
        <w:tc>
          <w:tcPr>
            <w:shd w:fill="F1EEFF"/>
            <w:tcMar>
              <w:top w:type="dxa" w:w="60"/>
              <w:left w:type="dxa" w:w="100"/>
              <w:bottom w:type="dxa" w:w="60"/>
              <w:right w:type="dxa" w:w="100"/>
            </w:tcMar>
          </w:tcPr>
          <w:p>
            <w:r>
              <w:rPr>
                <w:b/>
                <w:bCs/>
              </w:rPr>
              <w:t xml:space="preserve">Ruolo</w:t>
            </w:r>
          </w:p>
        </w:tc>
      </w:tr>
      <w:tr>
        <w:tc>
          <w:tcPr>
            <w:tcMar>
              <w:top w:type="dxa" w:w="60"/>
              <w:left w:type="dxa" w:w="100"/>
              <w:bottom w:type="dxa" w:w="60"/>
              <w:right w:type="dxa" w:w="100"/>
            </w:tcMar>
          </w:tcPr>
          <w:p>
            <w:r>
              <w:rPr>
                <w:rFonts w:ascii="Consolas" w:cs="Consolas" w:eastAsia="Consolas" w:hAnsi="Consolas"/>
                <w:sz w:val="19"/>
                <w:szCs w:val="19"/>
              </w:rPr>
              <w:t xml:space="preserve">label</w:t>
            </w:r>
          </w:p>
        </w:tc>
        <w:tc>
          <w:tcPr>
            <w:tcMar>
              <w:top w:type="dxa" w:w="60"/>
              <w:left w:type="dxa" w:w="100"/>
              <w:bottom w:type="dxa" w:w="60"/>
              <w:right w:type="dxa" w:w="100"/>
            </w:tcMar>
          </w:tcPr>
          <w:p>
            <w:r>
              <w:t xml:space="preserve">string</w:t>
            </w:r>
          </w:p>
        </w:tc>
        <w:tc>
          <w:tcPr>
            <w:tcMar>
              <w:top w:type="dxa" w:w="60"/>
              <w:left w:type="dxa" w:w="100"/>
              <w:bottom w:type="dxa" w:w="60"/>
              <w:right w:type="dxa" w:w="100"/>
            </w:tcMar>
          </w:tcPr>
          <w:p>
            <w:r>
              <w:t xml:space="preserve">Testo della pillola (per “Ordina” include il valore corrente).</w:t>
            </w:r>
          </w:p>
        </w:tc>
      </w:tr>
      <w:tr>
        <w:tc>
          <w:tcPr>
            <w:tcMar>
              <w:top w:type="dxa" w:w="60"/>
              <w:left w:type="dxa" w:w="100"/>
              <w:bottom w:type="dxa" w:w="60"/>
              <w:right w:type="dxa" w:w="100"/>
            </w:tcMar>
          </w:tcPr>
          <w:p>
            <w:r>
              <w:rPr>
                <w:rFonts w:ascii="Consolas" w:cs="Consolas" w:eastAsia="Consolas" w:hAnsi="Consolas"/>
                <w:sz w:val="19"/>
                <w:szCs w:val="19"/>
              </w:rPr>
              <w:t xml:space="preserve">count</w:t>
            </w:r>
          </w:p>
        </w:tc>
        <w:tc>
          <w:tcPr>
            <w:tcMar>
              <w:top w:type="dxa" w:w="60"/>
              <w:left w:type="dxa" w:w="100"/>
              <w:bottom w:type="dxa" w:w="60"/>
              <w:right w:type="dxa" w:w="100"/>
            </w:tcMar>
          </w:tcPr>
          <w:p>
            <w:r>
              <w:t xml:space="preserve">number</w:t>
            </w:r>
          </w:p>
        </w:tc>
        <w:tc>
          <w:tcPr>
            <w:tcMar>
              <w:top w:type="dxa" w:w="60"/>
              <w:left w:type="dxa" w:w="100"/>
              <w:bottom w:type="dxa" w:w="60"/>
              <w:right w:type="dxa" w:w="100"/>
            </w:tcMar>
          </w:tcPr>
          <w:p>
            <w:r>
              <w:t xml:space="preserve">Numero di scelte attive: mostra un pallino ed evidenzia la pillola (filtri multi).</w:t>
            </w:r>
          </w:p>
        </w:tc>
      </w:tr>
      <w:tr>
        <w:tc>
          <w:tcPr>
            <w:tcMar>
              <w:top w:type="dxa" w:w="60"/>
              <w:left w:type="dxa" w:w="100"/>
              <w:bottom w:type="dxa" w:w="60"/>
              <w:right w:type="dxa" w:w="100"/>
            </w:tcMar>
          </w:tcPr>
          <w:p>
            <w:r>
              <w:rPr>
                <w:rFonts w:ascii="Consolas" w:cs="Consolas" w:eastAsia="Consolas" w:hAnsi="Consolas"/>
                <w:sz w:val="19"/>
                <w:szCs w:val="19"/>
              </w:rPr>
              <w:t xml:space="preserve">active</w:t>
            </w:r>
          </w:p>
        </w:tc>
        <w:tc>
          <w:tcPr>
            <w:tcMar>
              <w:top w:type="dxa" w:w="60"/>
              <w:left w:type="dxa" w:w="100"/>
              <w:bottom w:type="dxa" w:w="60"/>
              <w:right w:type="dxa" w:w="100"/>
            </w:tcMar>
          </w:tcPr>
          <w:p>
            <w:r>
              <w:t xml:space="preserve">boolean</w:t>
            </w:r>
          </w:p>
        </w:tc>
        <w:tc>
          <w:tcPr>
            <w:tcMar>
              <w:top w:type="dxa" w:w="60"/>
              <w:left w:type="dxa" w:w="100"/>
              <w:bottom w:type="dxa" w:w="60"/>
              <w:right w:type="dxa" w:w="100"/>
            </w:tcMar>
          </w:tcPr>
          <w:p>
            <w:r>
              <w:t xml:space="preserve">Evidenzia la pillola per i filtri a scelta singola diversi dal default.</w:t>
            </w:r>
          </w:p>
        </w:tc>
      </w:tr>
      <w:tr>
        <w:tc>
          <w:tcPr>
            <w:tcMar>
              <w:top w:type="dxa" w:w="60"/>
              <w:left w:type="dxa" w:w="100"/>
              <w:bottom w:type="dxa" w:w="60"/>
              <w:right w:type="dxa" w:w="100"/>
            </w:tcMar>
          </w:tcPr>
          <w:p>
            <w:r>
              <w:rPr>
                <w:rFonts w:ascii="Consolas" w:cs="Consolas" w:eastAsia="Consolas" w:hAnsi="Consolas"/>
                <w:sz w:val="19"/>
                <w:szCs w:val="19"/>
              </w:rPr>
              <w:t xml:space="preserve">align</w:t>
            </w:r>
          </w:p>
        </w:tc>
        <w:tc>
          <w:tcPr>
            <w:tcMar>
              <w:top w:type="dxa" w:w="60"/>
              <w:left w:type="dxa" w:w="100"/>
              <w:bottom w:type="dxa" w:w="60"/>
              <w:right w:type="dxa" w:w="100"/>
            </w:tcMar>
          </w:tcPr>
          <w:p>
            <w:r>
              <w:t xml:space="preserve">"left" | "right"</w:t>
            </w:r>
          </w:p>
        </w:tc>
        <w:tc>
          <w:tcPr>
            <w:tcMar>
              <w:top w:type="dxa" w:w="60"/>
              <w:left w:type="dxa" w:w="100"/>
              <w:bottom w:type="dxa" w:w="60"/>
              <w:right w:type="dxa" w:w="100"/>
            </w:tcMar>
          </w:tcPr>
          <w:p>
            <w:r>
              <w:t xml:space="preserve">Lato a cui si ancora il pannello (destra per l’ordinamento).</w:t>
            </w:r>
          </w:p>
        </w:tc>
      </w:tr>
    </w:tbl>
    <w:p>
      <w:pPr>
        <w:pStyle w:val="Heading2"/>
        <w:spacing w:after="120" w:before="240"/>
      </w:pPr>
      <w:r>
        <w:rPr>
          <w:b/>
          <w:bCs/>
        </w:rPr>
        <w:t xml:space="preserve">4. Barra dei filtri</w:t>
      </w:r>
    </w:p>
    <w:p>
      <w:pPr>
        <w:spacing w:after="120"/>
      </w:pPr>
      <w:r>
        <w:t xml:space="preserve">La barra contiene la ricerca testuale e sei filtri a tendina più l’ordinamento. Genere e Piattaforma sono a selezione multipla (checkbox); Prezzo, Sconto, Valutazione, Lingua e Ordina sono a scelta singola (radio).</w:t>
      </w:r>
    </w:p>
    <w:tbl>
      <w:tblPr>
        <w:tblW w:type="pct" w:w="100%"/>
        <w:tblBorders>
          <w:top w:val="single" w:color="D9DEE8" w:sz="4"/>
          <w:left w:val="single" w:color="D9DEE8" w:sz="4"/>
          <w:bottom w:val="single" w:color="D9DEE8" w:sz="4"/>
          <w:right w:val="single" w:color="D9DEE8" w:sz="4"/>
          <w:insideH w:val="single" w:color="D9DEE8" w:sz="4"/>
          <w:insideV w:val="single" w:color="D9DEE8" w:sz="4"/>
        </w:tblBorders>
      </w:tblPr>
      <w:tblGrid>
        <w:gridCol w:w="100"/>
        <w:gridCol w:w="100"/>
        <w:gridCol w:w="100"/>
      </w:tblGrid>
      <w:tr>
        <w:trPr>
          <w:tblHeader/>
        </w:trPr>
        <w:tc>
          <w:tcPr>
            <w:tcW w:type="pct" w:w="30%"/>
            <w:shd w:fill="F1EEFF"/>
            <w:tcMar>
              <w:top w:type="dxa" w:w="60"/>
              <w:left w:type="dxa" w:w="100"/>
              <w:bottom w:type="dxa" w:w="60"/>
              <w:right w:type="dxa" w:w="100"/>
            </w:tcMar>
          </w:tcPr>
          <w:p>
            <w:r>
              <w:rPr>
                <w:b/>
                <w:bCs/>
              </w:rPr>
              <w:t xml:space="preserve">Filtro</w:t>
            </w:r>
          </w:p>
        </w:tc>
        <w:tc>
          <w:tcPr>
            <w:shd w:fill="F1EEFF"/>
            <w:tcMar>
              <w:top w:type="dxa" w:w="60"/>
              <w:left w:type="dxa" w:w="100"/>
              <w:bottom w:type="dxa" w:w="60"/>
              <w:right w:type="dxa" w:w="100"/>
            </w:tcMar>
          </w:tcPr>
          <w:p>
            <w:r>
              <w:rPr>
                <w:b/>
                <w:bCs/>
              </w:rPr>
              <w:t xml:space="preserve">Tipo</w:t>
            </w:r>
          </w:p>
        </w:tc>
        <w:tc>
          <w:tcPr>
            <w:shd w:fill="F1EEFF"/>
            <w:tcMar>
              <w:top w:type="dxa" w:w="60"/>
              <w:left w:type="dxa" w:w="100"/>
              <w:bottom w:type="dxa" w:w="60"/>
              <w:right w:type="dxa" w:w="100"/>
            </w:tcMar>
          </w:tcPr>
          <w:p>
            <w:r>
              <w:rPr>
                <w:b/>
                <w:bCs/>
              </w:rPr>
              <w:t xml:space="preserve">Comportamento</w:t>
            </w:r>
          </w:p>
        </w:tc>
      </w:tr>
      <w:tr>
        <w:tc>
          <w:tcPr>
            <w:tcMar>
              <w:top w:type="dxa" w:w="60"/>
              <w:left w:type="dxa" w:w="100"/>
              <w:bottom w:type="dxa" w:w="60"/>
              <w:right w:type="dxa" w:w="100"/>
            </w:tcMar>
          </w:tcPr>
          <w:p>
            <w:r>
              <w:t xml:space="preserve">Ricerca</w:t>
            </w:r>
          </w:p>
        </w:tc>
        <w:tc>
          <w:tcPr>
            <w:tcMar>
              <w:top w:type="dxa" w:w="60"/>
              <w:left w:type="dxa" w:w="100"/>
              <w:bottom w:type="dxa" w:w="60"/>
              <w:right w:type="dxa" w:w="100"/>
            </w:tcMar>
          </w:tcPr>
          <w:p>
            <w:r>
              <w:t xml:space="preserve">testo</w:t>
            </w:r>
          </w:p>
        </w:tc>
        <w:tc>
          <w:tcPr>
            <w:tcMar>
              <w:top w:type="dxa" w:w="60"/>
              <w:left w:type="dxa" w:w="100"/>
              <w:bottom w:type="dxa" w:w="60"/>
              <w:right w:type="dxa" w:w="100"/>
            </w:tcMar>
          </w:tcPr>
          <w:p>
            <w:r>
              <w:t xml:space="preserve">Filtra per titolo, senza distinzione di maiuscole.</w:t>
            </w:r>
          </w:p>
        </w:tc>
      </w:tr>
      <w:tr>
        <w:tc>
          <w:tcPr>
            <w:tcMar>
              <w:top w:type="dxa" w:w="60"/>
              <w:left w:type="dxa" w:w="100"/>
              <w:bottom w:type="dxa" w:w="60"/>
              <w:right w:type="dxa" w:w="100"/>
            </w:tcMar>
          </w:tcPr>
          <w:p>
            <w:r>
              <w:t xml:space="preserve">Genere</w:t>
            </w:r>
          </w:p>
        </w:tc>
        <w:tc>
          <w:tcPr>
            <w:tcMar>
              <w:top w:type="dxa" w:w="60"/>
              <w:left w:type="dxa" w:w="100"/>
              <w:bottom w:type="dxa" w:w="60"/>
              <w:right w:type="dxa" w:w="100"/>
            </w:tcMar>
          </w:tcPr>
          <w:p>
            <w:r>
              <w:t xml:space="preserve">multi</w:t>
            </w:r>
          </w:p>
        </w:tc>
        <w:tc>
          <w:tcPr>
            <w:tcMar>
              <w:top w:type="dxa" w:w="60"/>
              <w:left w:type="dxa" w:w="100"/>
              <w:bottom w:type="dxa" w:w="60"/>
              <w:right w:type="dxa" w:w="100"/>
            </w:tcMar>
          </w:tcPr>
          <w:p>
            <w:r>
              <w:t xml:space="preserve">Passano i giochi con almeno uno dei generi selezionati.</w:t>
            </w:r>
          </w:p>
        </w:tc>
      </w:tr>
      <w:tr>
        <w:tc>
          <w:tcPr>
            <w:tcMar>
              <w:top w:type="dxa" w:w="60"/>
              <w:left w:type="dxa" w:w="100"/>
              <w:bottom w:type="dxa" w:w="60"/>
              <w:right w:type="dxa" w:w="100"/>
            </w:tcMar>
          </w:tcPr>
          <w:p>
            <w:r>
              <w:t xml:space="preserve">Prezzo</w:t>
            </w:r>
          </w:p>
        </w:tc>
        <w:tc>
          <w:tcPr>
            <w:tcMar>
              <w:top w:type="dxa" w:w="60"/>
              <w:left w:type="dxa" w:w="100"/>
              <w:bottom w:type="dxa" w:w="60"/>
              <w:right w:type="dxa" w:w="100"/>
            </w:tcMar>
          </w:tcPr>
          <w:p>
            <w:r>
              <w:t xml:space="preserve">singolo</w:t>
            </w:r>
          </w:p>
        </w:tc>
        <w:tc>
          <w:tcPr>
            <w:tcMar>
              <w:top w:type="dxa" w:w="60"/>
              <w:left w:type="dxa" w:w="100"/>
              <w:bottom w:type="dxa" w:w="60"/>
              <w:right w:type="dxa" w:w="100"/>
            </w:tcMar>
          </w:tcPr>
          <w:p>
            <w:r>
              <w:t xml:space="preserve">Fasce sul prezzo finale: qualsiasi, gratis, &lt;10€, &lt;20€, &lt;40€.</w:t>
            </w:r>
          </w:p>
        </w:tc>
      </w:tr>
      <w:tr>
        <w:tc>
          <w:tcPr>
            <w:tcMar>
              <w:top w:type="dxa" w:w="60"/>
              <w:left w:type="dxa" w:w="100"/>
              <w:bottom w:type="dxa" w:w="60"/>
              <w:right w:type="dxa" w:w="100"/>
            </w:tcMar>
          </w:tcPr>
          <w:p>
            <w:r>
              <w:t xml:space="preserve">Sconto</w:t>
            </w:r>
          </w:p>
        </w:tc>
        <w:tc>
          <w:tcPr>
            <w:tcMar>
              <w:top w:type="dxa" w:w="60"/>
              <w:left w:type="dxa" w:w="100"/>
              <w:bottom w:type="dxa" w:w="60"/>
              <w:right w:type="dxa" w:w="100"/>
            </w:tcMar>
          </w:tcPr>
          <w:p>
            <w:r>
              <w:t xml:space="preserve">singolo</w:t>
            </w:r>
          </w:p>
        </w:tc>
        <w:tc>
          <w:tcPr>
            <w:tcMar>
              <w:top w:type="dxa" w:w="60"/>
              <w:left w:type="dxa" w:w="100"/>
              <w:bottom w:type="dxa" w:w="60"/>
              <w:right w:type="dxa" w:w="100"/>
            </w:tcMar>
          </w:tcPr>
          <w:p>
            <w:r>
              <w:t xml:space="preserve">Soglia minima: qualsiasi, solo in sconto, −25%, −50%, −75%.</w:t>
            </w:r>
          </w:p>
        </w:tc>
      </w:tr>
      <w:tr>
        <w:tc>
          <w:tcPr>
            <w:tcMar>
              <w:top w:type="dxa" w:w="60"/>
              <w:left w:type="dxa" w:w="100"/>
              <w:bottom w:type="dxa" w:w="60"/>
              <w:right w:type="dxa" w:w="100"/>
            </w:tcMar>
          </w:tcPr>
          <w:p>
            <w:r>
              <w:t xml:space="preserve">Piattaforma</w:t>
            </w:r>
          </w:p>
        </w:tc>
        <w:tc>
          <w:tcPr>
            <w:tcMar>
              <w:top w:type="dxa" w:w="60"/>
              <w:left w:type="dxa" w:w="100"/>
              <w:bottom w:type="dxa" w:w="60"/>
              <w:right w:type="dxa" w:w="100"/>
            </w:tcMar>
          </w:tcPr>
          <w:p>
            <w:r>
              <w:t xml:space="preserve">multi</w:t>
            </w:r>
          </w:p>
        </w:tc>
        <w:tc>
          <w:tcPr>
            <w:tcMar>
              <w:top w:type="dxa" w:w="60"/>
              <w:left w:type="dxa" w:w="100"/>
              <w:bottom w:type="dxa" w:w="60"/>
              <w:right w:type="dxa" w:w="100"/>
            </w:tcMar>
          </w:tcPr>
          <w:p>
            <w:r>
              <w:t xml:space="preserve">Passano i giochi che supportano almeno una piattaforma scelta.</w:t>
            </w:r>
          </w:p>
        </w:tc>
      </w:tr>
      <w:tr>
        <w:tc>
          <w:tcPr>
            <w:tcMar>
              <w:top w:type="dxa" w:w="60"/>
              <w:left w:type="dxa" w:w="100"/>
              <w:bottom w:type="dxa" w:w="60"/>
              <w:right w:type="dxa" w:w="100"/>
            </w:tcMar>
          </w:tcPr>
          <w:p>
            <w:r>
              <w:t xml:space="preserve">Valutazione</w:t>
            </w:r>
          </w:p>
        </w:tc>
        <w:tc>
          <w:tcPr>
            <w:tcMar>
              <w:top w:type="dxa" w:w="60"/>
              <w:left w:type="dxa" w:w="100"/>
              <w:bottom w:type="dxa" w:w="60"/>
              <w:right w:type="dxa" w:w="100"/>
            </w:tcMar>
          </w:tcPr>
          <w:p>
            <w:r>
              <w:t xml:space="preserve">singolo</w:t>
            </w:r>
          </w:p>
        </w:tc>
        <w:tc>
          <w:tcPr>
            <w:tcMar>
              <w:top w:type="dxa" w:w="60"/>
              <w:left w:type="dxa" w:w="100"/>
              <w:bottom w:type="dxa" w:w="60"/>
              <w:right w:type="dxa" w:w="100"/>
            </w:tcMar>
          </w:tcPr>
          <w:p>
            <w:r>
              <w:t xml:space="preserve">Soglia minima di recensioni positive: 90%+, 80%+, 70%+.</w:t>
            </w:r>
          </w:p>
        </w:tc>
      </w:tr>
      <w:tr>
        <w:tc>
          <w:tcPr>
            <w:tcMar>
              <w:top w:type="dxa" w:w="60"/>
              <w:left w:type="dxa" w:w="100"/>
              <w:bottom w:type="dxa" w:w="60"/>
              <w:right w:type="dxa" w:w="100"/>
            </w:tcMar>
          </w:tcPr>
          <w:p>
            <w:r>
              <w:t xml:space="preserve">Lingua</w:t>
            </w:r>
          </w:p>
        </w:tc>
        <w:tc>
          <w:tcPr>
            <w:tcMar>
              <w:top w:type="dxa" w:w="60"/>
              <w:left w:type="dxa" w:w="100"/>
              <w:bottom w:type="dxa" w:w="60"/>
              <w:right w:type="dxa" w:w="100"/>
            </w:tcMar>
          </w:tcPr>
          <w:p>
            <w:r>
              <w:t xml:space="preserve">singolo</w:t>
            </w:r>
          </w:p>
        </w:tc>
        <w:tc>
          <w:tcPr>
            <w:tcMar>
              <w:top w:type="dxa" w:w="60"/>
              <w:left w:type="dxa" w:w="100"/>
              <w:bottom w:type="dxa" w:w="60"/>
              <w:right w:type="dxa" w:w="100"/>
            </w:tcMar>
          </w:tcPr>
          <w:p>
            <w:r>
              <w:t xml:space="preserve">Giochi che supportano la lingua selezionata.</w:t>
            </w:r>
          </w:p>
        </w:tc>
      </w:tr>
      <w:tr>
        <w:tc>
          <w:tcPr>
            <w:tcMar>
              <w:top w:type="dxa" w:w="60"/>
              <w:left w:type="dxa" w:w="100"/>
              <w:bottom w:type="dxa" w:w="60"/>
              <w:right w:type="dxa" w:w="100"/>
            </w:tcMar>
          </w:tcPr>
          <w:p>
            <w:r>
              <w:t xml:space="preserve">Ordina</w:t>
            </w:r>
          </w:p>
        </w:tc>
        <w:tc>
          <w:tcPr>
            <w:tcMar>
              <w:top w:type="dxa" w:w="60"/>
              <w:left w:type="dxa" w:w="100"/>
              <w:bottom w:type="dxa" w:w="60"/>
              <w:right w:type="dxa" w:w="100"/>
            </w:tcMar>
          </w:tcPr>
          <w:p>
            <w:r>
              <w:t xml:space="preserve">singolo</w:t>
            </w:r>
          </w:p>
        </w:tc>
        <w:tc>
          <w:tcPr>
            <w:tcMar>
              <w:top w:type="dxa" w:w="60"/>
              <w:left w:type="dxa" w:w="100"/>
              <w:bottom w:type="dxa" w:w="60"/>
              <w:right w:type="dxa" w:w="100"/>
            </w:tcMar>
          </w:tcPr>
          <w:p>
            <w:r>
              <w:t xml:space="preserve">Popolarità, prezzo ↑/↓, sconto, valutazione, nome.</w:t>
            </w:r>
          </w:p>
        </w:tc>
      </w:tr>
    </w:tbl>
    <w:p>
      <w:pPr>
        <w:pStyle w:val="Heading2"/>
        <w:spacing w:after="120" w:before="240"/>
      </w:pPr>
      <w:r>
        <w:rPr>
          <w:b/>
          <w:bCs/>
        </w:rPr>
        <w:t xml:space="preserve">5. Logica di filtro e ordinamento</w:t>
      </w:r>
    </w:p>
    <w:p>
      <w:pPr>
        <w:spacing w:after="120"/>
      </w:pPr>
      <w:r>
        <w:t xml:space="preserve">Il risultato è calcolato con </w:t>
      </w:r>
      <w:r>
        <w:rPr>
          <w:rFonts w:ascii="Consolas" w:cs="Consolas" w:eastAsia="Consolas" w:hAnsi="Consolas"/>
          <w:sz w:val="19"/>
          <w:szCs w:val="19"/>
        </w:rPr>
        <w:t xml:space="preserve">useMemo</w:t>
      </w:r>
      <w:r>
        <w:t xml:space="preserve">, così si ricalcola solo al variare di ricerca, filtri od ordinamento. I filtri sono applicati in cascata sull’array; le fasce di prezzo e le soglie di sconto/valutazione sono definite come mappe costanti (</w:t>
      </w:r>
      <w:r>
        <w:rPr>
          <w:rFonts w:ascii="Consolas" w:cs="Consolas" w:eastAsia="Consolas" w:hAnsi="Consolas"/>
          <w:sz w:val="19"/>
          <w:szCs w:val="19"/>
        </w:rPr>
        <w:t xml:space="preserve">PRICE_RANGES</w:t>
      </w:r>
      <w:r>
        <w:t xml:space="preserve">, </w:t>
      </w:r>
      <w:r>
        <w:rPr>
          <w:rFonts w:ascii="Consolas" w:cs="Consolas" w:eastAsia="Consolas" w:hAnsi="Consolas"/>
          <w:sz w:val="19"/>
          <w:szCs w:val="19"/>
        </w:rPr>
        <w:t xml:space="preserve">DISCOUNT_MIN</w:t>
      </w:r>
      <w:r>
        <w:t xml:space="preserve">, </w:t>
      </w:r>
      <w:r>
        <w:rPr>
          <w:rFonts w:ascii="Consolas" w:cs="Consolas" w:eastAsia="Consolas" w:hAnsi="Consolas"/>
          <w:sz w:val="19"/>
          <w:szCs w:val="19"/>
        </w:rPr>
        <w:t xml:space="preserve">RATING_MIN</w:t>
      </w:r>
      <w:r>
        <w:t xml:space="preserve">). L’ordinamento usa una tabella di comparatori, con “Popolarità” basata sul numero di recensioni.</w:t>
      </w:r>
    </w:p>
    <w:p>
      <w:pPr>
        <w:pStyle w:val="Heading2"/>
        <w:spacing w:after="120" w:before="240"/>
      </w:pPr>
      <w:r>
        <w:rPr>
          <w:b/>
          <w:bCs/>
        </w:rPr>
        <w:t xml:space="preserve">6. Sezione “Sconti del momento”</w:t>
      </w:r>
    </w:p>
    <w:p>
      <w:pPr>
        <w:spacing w:after="120"/>
      </w:pPr>
      <w:r>
        <w:t xml:space="preserve">Sotto ai risultati, una fascia in evidenza mostra i quattro giochi con lo sconto più alto. È indipendente dai filtri: serve da vetrina promozionale, coerentemente con il mockup.</w:t>
      </w:r>
    </w:p>
    <w:p>
      <w:pPr>
        <w:pStyle w:val="Heading2"/>
        <w:spacing w:after="120" w:before="240"/>
      </w:pPr>
      <w:r>
        <w:rPr>
          <w:b/>
          <w:bCs/>
        </w:rPr>
        <w:t xml:space="preserve">7. Card gioco (StoreCard)</w:t>
      </w:r>
    </w:p>
    <w:p>
      <w:pPr>
        <w:spacing w:after="120"/>
      </w:pPr>
      <w:r>
        <w:t xml:space="preserve">Ogni card mostra la copertina (via </w:t>
      </w:r>
      <w:r>
        <w:rPr>
          <w:b/>
          <w:bCs/>
        </w:rPr>
        <w:t xml:space="preserve">GameImage</w:t>
      </w:r>
      <w:r>
        <w:t xml:space="preserve"> del task T7, con fallback) con il numero di recensioni in alto a sinistra (badge glass) e l’eventuale sconto in alto a destra; sotto, titolo, chip dei generi, blocco prezzo (prezzo pieno barrato + prezzo finale, oppure “Gratis”) e la CTA che apre il gioco su Steam in una nuova scheda.</w:t>
      </w:r>
    </w:p>
    <w:p>
      <w:pPr>
        <w:pStyle w:val="Heading2"/>
        <w:spacing w:after="120" w:before="240"/>
      </w:pPr>
      <w:r>
        <w:rPr>
          <w:b/>
          <w:bCs/>
        </w:rPr>
        <w:t xml:space="preserve">8. Prezzi e formattazione</w:t>
      </w:r>
    </w:p>
    <w:p>
      <w:pPr>
        <w:spacing w:after="120"/>
      </w:pPr>
      <w:r>
        <w:t xml:space="preserve">I prezzi sono gestiti in </w:t>
      </w:r>
      <w:r>
        <w:rPr>
          <w:b/>
          <w:bCs/>
        </w:rPr>
        <w:t xml:space="preserve">centesimi</w:t>
      </w:r>
      <w:r>
        <w:t xml:space="preserve"> (interi) per evitare errori di arrotondamento. L’utility </w:t>
      </w:r>
      <w:r>
        <w:rPr>
          <w:rFonts w:ascii="Consolas" w:cs="Consolas" w:eastAsia="Consolas" w:hAnsi="Consolas"/>
          <w:sz w:val="19"/>
          <w:szCs w:val="19"/>
        </w:rPr>
        <w:t xml:space="preserve">utils/price.js</w:t>
      </w:r>
      <w:r>
        <w:t xml:space="preserve"> espone </w:t>
      </w:r>
      <w:r>
        <w:rPr>
          <w:rFonts w:ascii="Consolas" w:cs="Consolas" w:eastAsia="Consolas" w:hAnsi="Consolas"/>
          <w:sz w:val="19"/>
          <w:szCs w:val="19"/>
        </w:rPr>
        <w:t xml:space="preserve">discountedPrice()</w:t>
      </w:r>
      <w:r>
        <w:t xml:space="preserve"> (applica la percentuale di sconto) e </w:t>
      </w:r>
      <w:r>
        <w:rPr>
          <w:rFonts w:ascii="Consolas" w:cs="Consolas" w:eastAsia="Consolas" w:hAnsi="Consolas"/>
          <w:sz w:val="19"/>
          <w:szCs w:val="19"/>
        </w:rPr>
        <w:t xml:space="preserve">formatPrice()</w:t>
      </w:r>
      <w:r>
        <w:t xml:space="preserve"> (formato euro italiano via </w:t>
      </w:r>
      <w:r>
        <w:rPr>
          <w:rFonts w:ascii="Consolas" w:cs="Consolas" w:eastAsia="Consolas" w:hAnsi="Consolas"/>
          <w:sz w:val="19"/>
          <w:szCs w:val="19"/>
        </w:rPr>
        <w:t xml:space="preserve">Intl.NumberFormat</w:t>
      </w:r>
      <w:r>
        <w:t xml:space="preserve">). È riutilizzabile in seguito da wishlist e libreria.</w:t>
      </w:r>
    </w:p>
    <w:p>
      <w:pPr>
        <w:pStyle w:val="Heading2"/>
        <w:spacing w:after="120" w:before="240"/>
      </w:pPr>
      <w:r>
        <w:rPr>
          <w:b/>
          <w:bCs/>
        </w:rPr>
        <w:t xml:space="preserve">9. Internazionalizzazione</w:t>
      </w:r>
    </w:p>
    <w:p>
      <w:pPr>
        <w:spacing w:after="120"/>
      </w:pPr>
      <w:r>
        <w:t xml:space="preserve">Tutte le stringhe passano dall’i18n: è stato aggiunto il namespace </w:t>
      </w:r>
      <w:r>
        <w:rPr>
          <w:rFonts w:ascii="Consolas" w:cs="Consolas" w:eastAsia="Consolas" w:hAnsi="Consolas"/>
          <w:sz w:val="19"/>
          <w:szCs w:val="19"/>
        </w:rPr>
        <w:t xml:space="preserve">store</w:t>
      </w:r>
      <w:r>
        <w:t xml:space="preserve"> a </w:t>
      </w:r>
      <w:r>
        <w:rPr>
          <w:rFonts w:ascii="Consolas" w:cs="Consolas" w:eastAsia="Consolas" w:hAnsi="Consolas"/>
          <w:sz w:val="19"/>
          <w:szCs w:val="19"/>
        </w:rPr>
        <w:t xml:space="preserve">it.json</w:t>
      </w:r>
      <w:r>
        <w:t xml:space="preserve"> ed </w:t>
      </w:r>
      <w:r>
        <w:rPr>
          <w:rFonts w:ascii="Consolas" w:cs="Consolas" w:eastAsia="Consolas" w:hAnsi="Consolas"/>
          <w:sz w:val="19"/>
          <w:szCs w:val="19"/>
        </w:rPr>
        <w:t xml:space="preserve">en.json</w:t>
      </w:r>
      <w:r>
        <w:t xml:space="preserve"> (titoli, etichette dei filtri e dell’ordinamento, prezzi, CTA, stati vuoti). Il conteggio dei risultati usa la pluralizzazione di i18next (</w:t>
      </w:r>
      <w:r>
        <w:rPr>
          <w:rFonts w:ascii="Consolas" w:cs="Consolas" w:eastAsia="Consolas" w:hAnsi="Consolas"/>
          <w:sz w:val="19"/>
          <w:szCs w:val="19"/>
        </w:rPr>
        <w:t xml:space="preserve">results_one / results_other</w:t>
      </w:r>
      <w:r>
        <w:t xml:space="preserve">). I nomi dei generi, delle piattaforme e delle lingue restano nella lingua del dato, come li fornirà il database.</w:t>
      </w:r>
    </w:p>
    <w:p>
      <w:pPr>
        <w:pStyle w:val="Heading2"/>
        <w:spacing w:after="120" w:before="240"/>
      </w:pPr>
      <w:r>
        <w:rPr>
          <w:b/>
          <w:bCs/>
        </w:rPr>
        <w:t xml:space="preserve">10. Dati mock e aggancio all’API</w:t>
      </w:r>
    </w:p>
    <w:p>
      <w:pPr>
        <w:spacing w:after="120"/>
      </w:pPr>
      <w:r>
        <w:t xml:space="preserve">Il file </w:t>
      </w:r>
      <w:r>
        <w:rPr>
          <w:rFonts w:ascii="Consolas" w:cs="Consolas" w:eastAsia="Consolas" w:hAnsi="Consolas"/>
          <w:sz w:val="19"/>
          <w:szCs w:val="19"/>
        </w:rPr>
        <w:t xml:space="preserve">mockGames.js</w:t>
      </w:r>
      <w:r>
        <w:t xml:space="preserve"> contiene un catalogo segnaposto con i campi </w:t>
      </w:r>
      <w:r>
        <w:rPr>
          <w:rFonts w:ascii="Consolas" w:cs="Consolas" w:eastAsia="Consolas" w:hAnsi="Consolas"/>
          <w:sz w:val="19"/>
          <w:szCs w:val="19"/>
        </w:rPr>
        <w:t xml:space="preserve">appId, name, genres, priceCents, discount, platforms, rating, reviews, languages</w:t>
      </w:r>
      <w:r>
        <w:t xml:space="preserve">. La forma corrisponde a quella attesa dall’endpoint del negozio: in un task successivo basterà sostituire la sorgente con una fetch a </w:t>
      </w:r>
      <w:r>
        <w:rPr>
          <w:rFonts w:ascii="Consolas" w:cs="Consolas" w:eastAsia="Consolas" w:hAnsi="Consolas"/>
          <w:sz w:val="19"/>
          <w:szCs w:val="19"/>
        </w:rPr>
        <w:t xml:space="preserve">src/api/</w:t>
      </w:r>
      <w:r>
        <w:t xml:space="preserve">, lasciando invariata la UI.</w:t>
      </w:r>
    </w:p>
    <w:p>
      <w:pPr>
        <w:pStyle w:val="Heading2"/>
        <w:spacing w:after="120" w:before="240"/>
      </w:pPr>
      <w:r>
        <w:rPr>
          <w:b/>
          <w:bCs/>
        </w:rPr>
        <w:t xml:space="preserve">11. Accessibilità</w:t>
      </w:r>
    </w:p>
    <w:p>
      <w:pPr>
        <w:pStyle w:val="ListParagraph"/>
        <w:numPr>
          <w:ilvl w:val="0"/>
          <w:numId w:val="1"/>
        </w:numPr>
        <w:spacing w:after="60"/>
      </w:pPr>
      <w:r>
        <w:t xml:space="preserve">Barra filtri con role=search; ogni pillola espone aria-haspopup e aria-expanded.</w:t>
      </w:r>
    </w:p>
    <w:p>
      <w:pPr>
        <w:pStyle w:val="ListParagraph"/>
        <w:numPr>
          <w:ilvl w:val="0"/>
          <w:numId w:val="1"/>
        </w:numPr>
        <w:spacing w:after="60"/>
      </w:pPr>
      <w:r>
        <w:t xml:space="preserve">Chiusura del pannello con tasto Esc e al clic esterno; freccetta che ruota all’apertura.</w:t>
      </w:r>
    </w:p>
    <w:p>
      <w:pPr>
        <w:pStyle w:val="ListParagraph"/>
        <w:numPr>
          <w:ilvl w:val="0"/>
          <w:numId w:val="1"/>
        </w:numPr>
        <w:spacing w:after="60"/>
      </w:pPr>
      <w:r>
        <w:t xml:space="preserve">Ricerca e menu con etichette aria; CTA con aria-label che include il nome del gioco.</w:t>
      </w:r>
    </w:p>
    <w:p>
      <w:pPr>
        <w:pStyle w:val="Heading2"/>
        <w:spacing w:after="120" w:before="240"/>
      </w:pPr>
      <w:r>
        <w:rPr>
          <w:b/>
          <w:bCs/>
        </w:rPr>
        <w:t xml:space="preserve">12. Coerenza con i mockup</w:t>
      </w:r>
    </w:p>
    <w:tbl>
      <w:tblPr>
        <w:tblW w:type="pct" w:w="100%"/>
        <w:tblBorders>
          <w:top w:val="single" w:color="D9DEE8" w:sz="4"/>
          <w:left w:val="single" w:color="D9DEE8" w:sz="4"/>
          <w:bottom w:val="single" w:color="D9DEE8" w:sz="4"/>
          <w:right w:val="single" w:color="D9DEE8" w:sz="4"/>
          <w:insideH w:val="single" w:color="D9DEE8" w:sz="4"/>
          <w:insideV w:val="single" w:color="D9DEE8" w:sz="4"/>
        </w:tblBorders>
      </w:tblPr>
      <w:tblGrid>
        <w:gridCol w:w="100"/>
        <w:gridCol w:w="100"/>
      </w:tblGrid>
      <w:tr>
        <w:trPr>
          <w:tblHeader/>
        </w:trPr>
        <w:tc>
          <w:tcPr>
            <w:tcW w:type="pct" w:w="30%"/>
            <w:shd w:fill="F1EEFF"/>
            <w:tcMar>
              <w:top w:type="dxa" w:w="60"/>
              <w:left w:type="dxa" w:w="100"/>
              <w:bottom w:type="dxa" w:w="60"/>
              <w:right w:type="dxa" w:w="100"/>
            </w:tcMar>
          </w:tcPr>
          <w:p>
            <w:r>
              <w:rPr>
                <w:b/>
                <w:bCs/>
              </w:rPr>
              <w:t xml:space="preserve">Aspetto</w:t>
            </w:r>
          </w:p>
        </w:tc>
        <w:tc>
          <w:tcPr>
            <w:shd w:fill="F1EEFF"/>
            <w:tcMar>
              <w:top w:type="dxa" w:w="60"/>
              <w:left w:type="dxa" w:w="100"/>
              <w:bottom w:type="dxa" w:w="60"/>
              <w:right w:type="dxa" w:w="100"/>
            </w:tcMar>
          </w:tcPr>
          <w:p>
            <w:r>
              <w:rPr>
                <w:b/>
                <w:bCs/>
              </w:rPr>
              <w:t xml:space="preserve">Nota</w:t>
            </w:r>
          </w:p>
        </w:tc>
      </w:tr>
      <w:tr>
        <w:tc>
          <w:tcPr>
            <w:tcMar>
              <w:top w:type="dxa" w:w="60"/>
              <w:left w:type="dxa" w:w="100"/>
              <w:bottom w:type="dxa" w:w="60"/>
              <w:right w:type="dxa" w:w="100"/>
            </w:tcMar>
          </w:tcPr>
          <w:p>
            <w:r>
              <w:t xml:space="preserve">Barra filtri a pillole</w:t>
            </w:r>
          </w:p>
        </w:tc>
        <w:tc>
          <w:tcPr>
            <w:tcMar>
              <w:top w:type="dxa" w:w="60"/>
              <w:left w:type="dxa" w:w="100"/>
              <w:bottom w:type="dxa" w:w="60"/>
              <w:right w:type="dxa" w:w="100"/>
            </w:tcMar>
          </w:tcPr>
          <w:p>
            <w:r>
              <w:t xml:space="preserve">Genere, Prezzo, Sconto, Piattaforma, Valutazione, Lingua + Ordina a destra.</w:t>
            </w:r>
          </w:p>
        </w:tc>
      </w:tr>
      <w:tr>
        <w:tc>
          <w:tcPr>
            <w:tcMar>
              <w:top w:type="dxa" w:w="60"/>
              <w:left w:type="dxa" w:w="100"/>
              <w:bottom w:type="dxa" w:w="60"/>
              <w:right w:type="dxa" w:w="100"/>
            </w:tcMar>
          </w:tcPr>
          <w:p>
            <w:r>
              <w:t xml:space="preserve">Stile glass</w:t>
            </w:r>
          </w:p>
        </w:tc>
        <w:tc>
          <w:tcPr>
            <w:tcMar>
              <w:top w:type="dxa" w:w="60"/>
              <w:left w:type="dxa" w:w="100"/>
              <w:bottom w:type="dxa" w:w="60"/>
              <w:right w:type="dxa" w:w="100"/>
            </w:tcMar>
          </w:tcPr>
          <w:p>
            <w:r>
              <w:t xml:space="preserve">Pillole e pannelli semitrasparenti con sfocatura, come header/menu utente.</w:t>
            </w:r>
          </w:p>
        </w:tc>
      </w:tr>
      <w:tr>
        <w:tc>
          <w:tcPr>
            <w:tcMar>
              <w:top w:type="dxa" w:w="60"/>
              <w:left w:type="dxa" w:w="100"/>
              <w:bottom w:type="dxa" w:w="60"/>
              <w:right w:type="dxa" w:w="100"/>
            </w:tcMar>
          </w:tcPr>
          <w:p>
            <w:r>
              <w:t xml:space="preserve">Card gioco</w:t>
            </w:r>
          </w:p>
        </w:tc>
        <w:tc>
          <w:tcPr>
            <w:tcMar>
              <w:top w:type="dxa" w:w="60"/>
              <w:left w:type="dxa" w:w="100"/>
              <w:bottom w:type="dxa" w:w="60"/>
              <w:right w:type="dxa" w:w="100"/>
            </w:tcMar>
          </w:tcPr>
          <w:p>
            <w:r>
              <w:t xml:space="preserve">Recensioni (sx) e sconto (dx) sulla cover, prezzo con eventuale barrato, CTA Steam.</w:t>
            </w:r>
          </w:p>
        </w:tc>
      </w:tr>
      <w:tr>
        <w:tc>
          <w:tcPr>
            <w:tcMar>
              <w:top w:type="dxa" w:w="60"/>
              <w:left w:type="dxa" w:w="100"/>
              <w:bottom w:type="dxa" w:w="60"/>
              <w:right w:type="dxa" w:w="100"/>
            </w:tcMar>
          </w:tcPr>
          <w:p>
            <w:r>
              <w:t xml:space="preserve">Sconti del momento</w:t>
            </w:r>
          </w:p>
        </w:tc>
        <w:tc>
          <w:tcPr>
            <w:tcMar>
              <w:top w:type="dxa" w:w="60"/>
              <w:left w:type="dxa" w:w="100"/>
              <w:bottom w:type="dxa" w:w="60"/>
              <w:right w:type="dxa" w:w="100"/>
            </w:tcMar>
          </w:tcPr>
          <w:p>
            <w:r>
              <w:t xml:space="preserve">Fascia promozionale con i quattro sconti maggiori.</w:t>
            </w:r>
          </w:p>
        </w:tc>
      </w:tr>
    </w:tbl>
    <w:p>
      <w:pPr>
        <w:pStyle w:val="Heading2"/>
        <w:spacing w:after="120" w:before="240"/>
      </w:pPr>
      <w:r>
        <w:rPr>
          <w:b/>
          <w:bCs/>
        </w:rPr>
        <w:t xml:space="preserve">13. Prossimi passi</w:t>
      </w:r>
    </w:p>
    <w:p>
      <w:pPr>
        <w:spacing w:after="120"/>
      </w:pPr>
      <w:r>
        <w:t xml:space="preserve">Sostituzione del dataset finto con l’endpoint reale del negozio; eventuale paginazione o “carica altri” quando il catalogo cresce; collegamento del pulsante wishlist sulla card quando la relativa pagina/azione sarà disponibile.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8" w:sz="4" w:space="6"/>
      </w:pBdr>
      <w:tabs>
        <w:tab w:val="right" w:pos="9026"/>
      </w:tabs>
    </w:pPr>
    <w:r>
      <w:rPr>
        <w:color w:val="6B7280"/>
        <w:sz w:val="16"/>
        <w:szCs w:val="16"/>
      </w:rPr>
      <w:t xml:space="preserve">Arcadium · ACE5 — M5-T8 · Pagina catalogo (negozio) con filtri</w:t>
    </w:r>
    <w:r>
      <w:rPr>
        <w:color w:val="6B7280"/>
        <w:sz w:val="16"/>
        <w:szCs w:val="16"/>
      </w:rPr>
      <w:t xml:space="preserve">	pag.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120"/>
    </w:pPr>
    <w:rPr>
      <w:b/>
      <w:bCs/>
      <w:color w:val="12172A"/>
      <w:sz w:val="34"/>
      <w:szCs w:val="34"/>
    </w:rPr>
  </w:style>
  <w:style w:type="paragraph" w:styleId="Heading2">
    <w:name w:val="Heading 2"/>
    <w:basedOn w:val="Normal"/>
    <w:next w:val="Normal"/>
    <w:pPr>
      <w:spacing w:after="120" w:before="240"/>
    </w:pPr>
    <w:rPr>
      <w:b/>
      <w:bCs/>
      <w:color w:val="6D4A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2026-07-07T13:54:33.158Z</dcterms:created>
  <dcterms:modified xsi:type="dcterms:W3CDTF">2026-07-07T13:54:33.178Z</dcterms:modified>
</cp:coreProperties>
</file>

<file path=docProps/custom.xml><?xml version="1.0" encoding="utf-8"?>
<Properties xmlns="http://schemas.openxmlformats.org/officeDocument/2006/custom-properties" xmlns:vt="http://schemas.openxmlformats.org/officeDocument/2006/docPropsVTypes"/>
</file>