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5B3FA8"/>
          <w:sz w:val="19"/>
          <w:szCs w:val="19"/>
        </w:rPr>
        <w:t xml:space="preserve">PROGETTO ARCADIUM — ACE5</w:t>
      </w:r>
    </w:p>
    <w:p>
      <w:pPr>
        <w:spacing w:after="80" w:before="60"/>
      </w:pPr>
      <w:r>
        <w:rPr>
          <w:b/>
          <w:bCs/>
          <w:color w:val="1A1A2E"/>
          <w:sz w:val="38"/>
          <w:szCs w:val="38"/>
        </w:rPr>
        <w:t xml:space="preserve">Revisione e validazione del modello dati</w:t>
      </w:r>
    </w:p>
    <w:p>
      <w:pPr>
        <w:pBdr>
          <w:bottom w:val="single" w:color="5B3FA8" w:sz="6" w:space="6"/>
        </w:pBdr>
        <w:spacing w:after="200"/>
      </w:pPr>
      <w:r>
        <w:rPr>
          <w:i/>
          <w:iCs/>
          <w:color w:val="666666"/>
          <w:sz w:val="21"/>
          <w:szCs w:val="21"/>
        </w:rPr>
        <w:t xml:space="preserve">Milestone M1 — Analisi Dati &amp; Progettazione DB · Task T6</w:t>
      </w:r>
    </w:p>
    <w:p>
      <w:pPr>
        <w:spacing w:after="200" w:before="160"/>
        <w:jc w:val="both"/>
      </w:pPr>
      <w:r>
        <w:rPr>
          <w:color w:val="333333"/>
          <w:sz w:val="21"/>
          <w:szCs w:val="21"/>
        </w:rPr>
        <w:t xml:space="preserve">Chiude la fase di progettazione di M1 verificando che il modello dati — catalogo statico (T3/T4) e parte dinamica utenti/wishlist/backlog (T5) — sia completo, coerente, integro e pronto per la traduzione in DDL PostgreSQL nella Milestone M2.</w:t>
      </w:r>
    </w:p>
    <w:p>
      <w:pPr>
        <w:keepNext/>
        <w:spacing w:after="120" w:before="300"/>
      </w:pPr>
      <w:r>
        <w:rPr>
          <w:b/>
          <w:bCs/>
          <w:color w:val="5B3FA8"/>
          <w:sz w:val="26"/>
          <w:szCs w:val="26"/>
        </w:rPr>
        <w:t xml:space="preserve">1.  </w:t>
      </w:r>
      <w:r>
        <w:rPr>
          <w:b/>
          <w:bCs/>
          <w:color w:val="1A1A2E"/>
          <w:sz w:val="26"/>
          <w:szCs w:val="26"/>
        </w:rPr>
        <w:t xml:space="preserve">Obiettivo</w:t>
      </w:r>
    </w:p>
    <w:p>
      <w:pPr>
        <w:spacing w:after="120"/>
        <w:jc w:val="both"/>
      </w:pPr>
      <w:r>
        <w:rPr>
          <w:sz w:val="21"/>
          <w:szCs w:val="21"/>
        </w:rPr>
        <w:t xml:space="preserve">Sottoporre il modello dati di M1 a una revisione strutturata prima dell’implementazione. La validazione verifica tre cose: che ogni requisito della commessa sia coperto da elementi del modello, che il modello sia internamente coerente e integro, e che i documenti T1–T5 siano allineati tra loro. L’esito è il via libera — o l’elenco dei rilievi da risolvere — per la Milestone M2.</w:t>
      </w:r>
    </w:p>
    <w:p>
      <w:pPr>
        <w:keepNext/>
        <w:spacing w:after="120" w:before="300"/>
      </w:pPr>
      <w:r>
        <w:rPr>
          <w:b/>
          <w:bCs/>
          <w:color w:val="5B3FA8"/>
          <w:sz w:val="26"/>
          <w:szCs w:val="26"/>
        </w:rPr>
        <w:t xml:space="preserve">2.  </w:t>
      </w:r>
      <w:r>
        <w:rPr>
          <w:b/>
          <w:bCs/>
          <w:color w:val="1A1A2E"/>
          <w:sz w:val="26"/>
          <w:szCs w:val="26"/>
        </w:rPr>
        <w:t xml:space="preserve">Metodo e criteri di validazione</w:t>
      </w:r>
    </w:p>
    <w:p>
      <w:pPr>
        <w:spacing w:after="120"/>
        <w:jc w:val="both"/>
      </w:pPr>
      <w:r>
        <w:rPr>
          <w:sz w:val="21"/>
          <w:szCs w:val="21"/>
        </w:rPr>
        <w:t xml:space="preserve">La revisione è condotta a tavolino, confrontando i documenti prodotti con i requisiti e con le regole di buona progettazione relazionale. I criteri adottati: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1"/>
          <w:szCs w:val="21"/>
        </w:rPr>
        <w:t xml:space="preserve">Copertura: </w:t>
      </w:r>
      <w:r>
        <w:rPr>
          <w:sz w:val="21"/>
          <w:szCs w:val="21"/>
        </w:rPr>
        <w:t xml:space="preserve">ogni requisito funzionale della commessa è mappato su una o più entità/associazioni.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1"/>
          <w:szCs w:val="21"/>
        </w:rPr>
        <w:t xml:space="preserve">Completezza: </w:t>
      </w:r>
      <w:r>
        <w:rPr>
          <w:sz w:val="21"/>
          <w:szCs w:val="21"/>
        </w:rPr>
        <w:t xml:space="preserve">tutti i campi utili del dataset (T1/T2) trovano posto nel modello (T3/T4); i campi scartati sono giustificati.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1"/>
          <w:szCs w:val="21"/>
        </w:rPr>
        <w:t xml:space="preserve">Integrità: </w:t>
      </w:r>
      <w:r>
        <w:rPr>
          <w:sz w:val="21"/>
          <w:szCs w:val="21"/>
        </w:rPr>
        <w:t xml:space="preserve">chiavi primarie valide, chiavi esterne coerenti, vincoli di dominio e di obbligatorietà sensati.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1"/>
          <w:szCs w:val="21"/>
        </w:rPr>
        <w:t xml:space="preserve">Normalizzazione: </w:t>
      </w:r>
      <w:r>
        <w:rPr>
          <w:sz w:val="21"/>
          <w:szCs w:val="21"/>
        </w:rPr>
        <w:t xml:space="preserve">assenza di ridondanze e di attributi multi-valore non normalizzati (terza forma normale).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1"/>
          <w:szCs w:val="21"/>
        </w:rPr>
        <w:t xml:space="preserve">Coerenza documentale: </w:t>
      </w:r>
      <w:r>
        <w:rPr>
          <w:sz w:val="21"/>
          <w:szCs w:val="21"/>
        </w:rPr>
        <w:t xml:space="preserve">nomi, tipi e cardinalità identici tra T2, T3, T4 e T5.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  <w:sz w:val="21"/>
          <w:szCs w:val="21"/>
        </w:rPr>
        <w:t xml:space="preserve">Tracciabilità: </w:t>
      </w:r>
      <w:r>
        <w:rPr>
          <w:sz w:val="21"/>
          <w:szCs w:val="21"/>
        </w:rPr>
        <w:t xml:space="preserve">ogni decisione di modellazione è documentata nei rispettivi task.</w:t>
      </w:r>
    </w:p>
    <w:p>
      <w:pPr>
        <w:keepNext/>
        <w:spacing w:after="120" w:before="300"/>
      </w:pPr>
      <w:r>
        <w:rPr>
          <w:b/>
          <w:bCs/>
          <w:color w:val="5B3FA8"/>
          <w:sz w:val="26"/>
          <w:szCs w:val="26"/>
        </w:rPr>
        <w:t xml:space="preserve">3.  </w:t>
      </w:r>
      <w:r>
        <w:rPr>
          <w:b/>
          <w:bCs/>
          <w:color w:val="1A1A2E"/>
          <w:sz w:val="26"/>
          <w:szCs w:val="26"/>
        </w:rPr>
        <w:t xml:space="preserve">Perimetro della validazione</w:t>
      </w:r>
    </w:p>
    <w:p>
      <w:pPr>
        <w:spacing w:after="120"/>
        <w:jc w:val="both"/>
      </w:pPr>
      <w:r>
        <w:rPr>
          <w:sz w:val="21"/>
          <w:szCs w:val="21"/>
        </w:rPr>
        <w:t xml:space="preserve">Rientra nel perimetro l’intero modello di M1: la tabella centrale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games</w:t>
      </w:r>
      <w:r>
        <w:rPr>
          <w:sz w:val="21"/>
          <w:szCs w:val="21"/>
        </w:rPr>
        <w:t xml:space="preserve"> con le sei lookup, le sette tabelle ponte e l’entità debole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game_screenshot</w:t>
      </w:r>
      <w:r>
        <w:rPr>
          <w:sz w:val="21"/>
          <w:szCs w:val="21"/>
        </w:rPr>
        <w:t xml:space="preserve"> (catalogo, T3/T4), più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app_user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wishlist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backlog</w:t>
      </w:r>
      <w:r>
        <w:rPr>
          <w:sz w:val="21"/>
          <w:szCs w:val="21"/>
        </w:rPr>
        <w:t xml:space="preserve"> e la lookup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backlog_status</w:t>
      </w:r>
      <w:r>
        <w:rPr>
          <w:sz w:val="21"/>
          <w:szCs w:val="21"/>
        </w:rPr>
        <w:t xml:space="preserve"> (parte dinamica, T5). In totale diciannove tabelle: quindici di catalogo e quattro dinamiche.</w:t>
      </w:r>
    </w:p>
    <w:p>
      <w:pPr>
        <w:spacing w:after="120"/>
        <w:jc w:val="both"/>
      </w:pPr>
      <w:r>
        <w:rPr>
          <w:sz w:val="21"/>
          <w:szCs w:val="21"/>
        </w:rPr>
        <w:t xml:space="preserve">Resta fuori perimetro l’estensione achievement/notifiche (T7), che sarà validata contestualmente alla sua definizione; le sue entità si aggancieranno comunque a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app_user</w:t>
      </w:r>
      <w:r>
        <w:rPr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games</w:t>
      </w:r>
      <w:r>
        <w:rPr>
          <w:sz w:val="21"/>
          <w:szCs w:val="21"/>
        </w:rPr>
        <w:t xml:space="preserve"> già validati qui.</w:t>
      </w:r>
    </w:p>
    <w:p>
      <w:pPr>
        <w:keepNext/>
        <w:spacing w:after="120" w:before="300"/>
      </w:pPr>
      <w:r>
        <w:rPr>
          <w:b/>
          <w:bCs/>
          <w:color w:val="5B3FA8"/>
          <w:sz w:val="26"/>
          <w:szCs w:val="26"/>
        </w:rPr>
        <w:t xml:space="preserve">4.  </w:t>
      </w:r>
      <w:r>
        <w:rPr>
          <w:b/>
          <w:bCs/>
          <w:color w:val="1A1A2E"/>
          <w:sz w:val="26"/>
          <w:szCs w:val="26"/>
        </w:rPr>
        <w:t xml:space="preserve">Copertura dei requisiti</w:t>
      </w:r>
    </w:p>
    <w:p>
      <w:pPr>
        <w:spacing w:after="120"/>
        <w:jc w:val="both"/>
      </w:pPr>
      <w:r>
        <w:rPr>
          <w:sz w:val="21"/>
          <w:szCs w:val="21"/>
        </w:rPr>
        <w:t xml:space="preserve">Matrice requisito della commessa → elementi del modello → esito.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4676"/>
        <w:gridCol w:w="1700"/>
      </w:tblGrid>
      <w:tr>
        <w:trPr>
          <w:tblHeader/>
        </w:trPr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Requisito (commessa)</w:t>
            </w:r>
          </w:p>
        </w:tc>
        <w:tc>
          <w:tcPr>
            <w:tcW w:type="dxa" w:w="4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Elementi del modello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Esito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Consultazione del catalogo Steam con filtri</w:t>
            </w:r>
          </w:p>
        </w:tc>
        <w:tc>
          <w:tcPr>
            <w:tcW w:type="dxa" w:w="4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games</w:t>
            </w:r>
            <w:r>
              <w:rPr>
                <w:sz w:val="19"/>
                <w:szCs w:val="19"/>
              </w:rPr>
              <w:t xml:space="preserve"> + lookup (genre, category, tag, language, developer, publisher) e tabelle ponte; flag </w:t>
            </w:r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windows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mac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linux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✓ Coperto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Ricerca sui giochi</w:t>
            </w:r>
          </w:p>
        </w:tc>
        <w:tc>
          <w:tcPr>
            <w:tcW w:type="dxa" w:w="4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games.name</w:t>
            </w:r>
            <w:r>
              <w:rPr>
                <w:sz w:val="19"/>
                <w:szCs w:val="19"/>
              </w:rPr>
              <w:t xml:space="preserve"> e join con le lookup.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✓ Coperto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Ricerca sugli utenti</w:t>
            </w:r>
          </w:p>
        </w:tc>
        <w:tc>
          <w:tcPr>
            <w:tcW w:type="dxa" w:w="4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app_user</w:t>
            </w:r>
            <w:r>
              <w:rPr>
                <w:sz w:val="19"/>
                <w:szCs w:val="19"/>
              </w:rPr>
              <w:t xml:space="preserve"> (username, display_name).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✓ Coperto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Wishlist (giochi da acquistare)</w:t>
            </w:r>
          </w:p>
        </w:tc>
        <w:tc>
          <w:tcPr>
            <w:tcW w:type="dxa" w:w="4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wishlist</w:t>
            </w:r>
            <w:r>
              <w:rPr>
                <w:sz w:val="19"/>
                <w:szCs w:val="19"/>
              </w:rPr>
              <w:t xml:space="preserve"> (user_id, app_id, added_at).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✓ Coperto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Backlog (giochi posseduti) con stati</w:t>
            </w:r>
          </w:p>
        </w:tc>
        <w:tc>
          <w:tcPr>
            <w:tcW w:type="dxa" w:w="4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backlog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backlog_status</w:t>
            </w:r>
            <w:r>
              <w:rPr>
                <w:sz w:val="19"/>
                <w:szCs w:val="19"/>
              </w:rPr>
              <w:t xml:space="preserve"> (mai giocato, in corso, finito, abbandonato).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✓ Coperto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Giochi di ogni utente</w:t>
            </w:r>
          </w:p>
        </w:tc>
        <w:tc>
          <w:tcPr>
            <w:tcW w:type="dxa" w:w="4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backlog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wishlist</w:t>
            </w:r>
            <w:r>
              <w:rPr>
                <w:sz w:val="19"/>
                <w:szCs w:val="19"/>
              </w:rPr>
              <w:t xml:space="preserve"> filtrati per user_id, nel rispetto di </w:t>
            </w:r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is_profile_public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✓ Coperto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Autenticazione e gestione utenti</w:t>
            </w:r>
          </w:p>
        </w:tc>
        <w:tc>
          <w:tcPr>
            <w:tcW w:type="dxa" w:w="4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app_user</w:t>
            </w:r>
            <w:r>
              <w:rPr>
                <w:sz w:val="19"/>
                <w:szCs w:val="19"/>
              </w:rPr>
              <w:t xml:space="preserve"> (username, email, password_hash); JWT in M4.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✓ Coperto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Area personale e organizzazione</w:t>
            </w:r>
          </w:p>
        </w:tc>
        <w:tc>
          <w:tcPr>
            <w:tcW w:type="dxa" w:w="4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app_user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wishlist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backlog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✓ Coperto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Statistiche d’uso dei giochi</w:t>
            </w:r>
          </w:p>
        </w:tc>
        <w:tc>
          <w:tcPr>
            <w:tcW w:type="dxa" w:w="4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Aggregazioni su </w:t>
            </w:r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backlog</w:t>
            </w:r>
            <w:r>
              <w:rPr>
                <w:sz w:val="19"/>
                <w:szCs w:val="19"/>
              </w:rPr>
              <w:t xml:space="preserve"> (playtime_minutes, conteggi per stato, join a genre); calcolo in M4.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✓ Coperto</w:t>
            </w:r>
          </w:p>
        </w:tc>
      </w:tr>
    </w:tbl>
    <w:p>
      <w:pPr>
        <w:keepNext/>
        <w:spacing w:after="120" w:before="300"/>
      </w:pPr>
      <w:r>
        <w:rPr>
          <w:b/>
          <w:bCs/>
          <w:color w:val="5B3FA8"/>
          <w:sz w:val="26"/>
          <w:szCs w:val="26"/>
        </w:rPr>
        <w:t xml:space="preserve">5.  </w:t>
      </w:r>
      <w:r>
        <w:rPr>
          <w:b/>
          <w:bCs/>
          <w:color w:val="1A1A2E"/>
          <w:sz w:val="26"/>
          <w:szCs w:val="26"/>
        </w:rPr>
        <w:t xml:space="preserve">Verifiche di modello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1050"/>
        <w:gridCol w:w="5526"/>
      </w:tblGrid>
      <w:tr>
        <w:trPr>
          <w:tblHeader/>
        </w:trP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Verifica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Esito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Chiave primaria del catalogo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OK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app_id unico e non nullo: T1 conferma 122.479 AppID distinti, 0 duplicati. Le 22 righe ad AppID nullo sono escluse al caricamento.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Chiavi surrogate lookup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OK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id</w:t>
            </w:r>
            <w:r>
              <w:rPr>
                <w:sz w:val="19"/>
                <w:szCs w:val="19"/>
              </w:rPr>
              <w:t xml:space="preserve"> surrogato con </w:t>
            </w:r>
            <w:r>
              <w:rPr>
                <w:rFonts w:ascii="Consolas" w:cs="Consolas" w:eastAsia="Consolas" w:hAnsi="Consolas"/>
                <w:color w:val="2E2452"/>
                <w:sz w:val="18"/>
                <w:szCs w:val="18"/>
              </w:rPr>
              <w:t xml:space="preserve">name</w:t>
            </w:r>
            <w:r>
              <w:rPr>
                <w:sz w:val="19"/>
                <w:szCs w:val="19"/>
              </w:rPr>
              <w:t xml:space="preserve"> UNIQUE su language, developer, publisher, category, genre, tag.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Chiavi composte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OK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(app_id, &lt;lookup&gt;_id) su ogni ponte; (app_id, url) su game_screenshot; (user_id, app_id) su wishlist e backlog.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Integrità referenziale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OK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FK su tutte le ponti e sulle associazioni dinamiche; ON DELETE CASCADE da game e da utente, RESTRICT verso backlog_status.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Vincoli di dominio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OK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discount 0–100, price ≥ 0, owners_max ≥ owners_min, required_age ≥ 0, playtime_minutes ≥ 0, preferred_language ∈ {it,en}.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Obbligatorietà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OK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NULL su games.name, sui name delle lookup, su tutte le FK, su credenziali e su backlog.status_id.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Gestione dei nulli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OK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Campi poco popolati (reviews, notes, metacritic) nullable; user_score e score_rank scartati: coerente con l’analisi T1.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Normalizzazione (3NF)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OK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Nessun attributo multi-valore in games; liste normalizzate in lookup + ponte; nessuna dipendenza transitiva.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Convenzioni di naming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OK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snake_case ovunque; games al plurale (eccezione documentata); app_user al posto di user (parola riservata).</w:t>
            </w:r>
          </w:p>
        </w:tc>
      </w:tr>
    </w:tbl>
    <w:p>
      <w:pPr>
        <w:keepNext/>
        <w:spacing w:after="120" w:before="300"/>
      </w:pPr>
      <w:r>
        <w:rPr>
          <w:b/>
          <w:bCs/>
          <w:color w:val="5B3FA8"/>
          <w:sz w:val="26"/>
          <w:szCs w:val="26"/>
        </w:rPr>
        <w:t xml:space="preserve">6.  </w:t>
      </w:r>
      <w:r>
        <w:rPr>
          <w:b/>
          <w:bCs/>
          <w:color w:val="1A1A2E"/>
          <w:sz w:val="26"/>
          <w:szCs w:val="26"/>
        </w:rPr>
        <w:t xml:space="preserve">Coerenza tra i documenti T1–T5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900"/>
        <w:gridCol w:w="4076"/>
      </w:tblGrid>
      <w:tr>
        <w:trPr>
          <w:tblHeader/>
        </w:trP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Aspetto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Documenti</w:t>
            </w:r>
          </w:p>
        </w:tc>
        <w:tc>
          <w:tcPr>
            <w:tcW w:type="dxa" w:w="4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Esito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Classificazione campi ↔ mappatura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T1 §8 ↔ T2 §3</w:t>
            </w:r>
          </w:p>
        </w:tc>
        <w:tc>
          <w:tcPr>
            <w:tcW w:type="dxa" w:w="4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Allineati</w:t>
            </w:r>
            <w:r>
              <w:rPr>
                <w:sz w:val="19"/>
                <w:szCs w:val="19"/>
              </w:rPr>
              <w:t xml:space="preserve"> — 40 campi, stessa destinazione.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Mappatura ↔ entità e attributi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T2 ↔ T3 §4</w:t>
            </w:r>
          </w:p>
        </w:tc>
        <w:tc>
          <w:tcPr>
            <w:tcW w:type="dxa" w:w="4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Allineati</w:t>
            </w:r>
            <w:r>
              <w:rPr>
                <w:sz w:val="19"/>
                <w:szCs w:val="19"/>
              </w:rPr>
              <w:t xml:space="preserve"> — i trenta attributi di games e le sei lookup coincidono.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Entità/vincoli ↔ diagramma 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T3 ↔ T4</w:t>
            </w:r>
          </w:p>
        </w:tc>
        <w:tc>
          <w:tcPr>
            <w:tcW w:type="dxa" w:w="4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Allineati</w:t>
            </w:r>
            <w:r>
              <w:rPr>
                <w:sz w:val="19"/>
                <w:szCs w:val="19"/>
              </w:rPr>
              <w:t xml:space="preserve"> — otto associazioni, stesse cardinalità (min,max).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Catalogo statico ↔ parte dinamica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T3/T4 ↔ T5</w:t>
            </w:r>
          </w:p>
        </w:tc>
        <w:tc>
          <w:tcPr>
            <w:tcW w:type="dxa" w:w="4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7A3D"/>
                <w:sz w:val="19"/>
                <w:szCs w:val="19"/>
              </w:rPr>
              <w:t xml:space="preserve">Allineati</w:t>
            </w:r>
            <w:r>
              <w:rPr>
                <w:sz w:val="19"/>
                <w:szCs w:val="19"/>
              </w:rPr>
              <w:t xml:space="preserve"> — aggancio via app_id, nessuna duplicazione di dati di catalogo.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Stati del backlog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T5</w:t>
            </w:r>
          </w:p>
        </w:tc>
        <w:tc>
          <w:tcPr>
            <w:tcW w:type="dxa" w:w="4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“Mai giocato” aggiunto come quarto stato (concordato col cliente) senza impatto su T3/T4: gli stati vivono nella parte dinamica.</w:t>
            </w:r>
          </w:p>
        </w:tc>
      </w:tr>
    </w:tbl>
    <w:p>
      <w:pPr>
        <w:keepNext/>
        <w:spacing w:after="120" w:before="300"/>
      </w:pPr>
      <w:r>
        <w:rPr>
          <w:b/>
          <w:bCs/>
          <w:color w:val="5B3FA8"/>
          <w:sz w:val="26"/>
          <w:szCs w:val="26"/>
        </w:rPr>
        <w:t xml:space="preserve">7.  </w:t>
      </w:r>
      <w:r>
        <w:rPr>
          <w:b/>
          <w:bCs/>
          <w:color w:val="1A1A2E"/>
          <w:sz w:val="26"/>
          <w:szCs w:val="26"/>
        </w:rPr>
        <w:t xml:space="preserve">Rilievi e decisioni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500"/>
        <w:gridCol w:w="4476"/>
      </w:tblGrid>
      <w:tr>
        <w:trPr>
          <w:tblHeader/>
        </w:trP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Rilievo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Tipo</w:t>
            </w:r>
          </w:p>
        </w:tc>
        <w:tc>
          <w:tcPr>
            <w:tcW w:type="dxa" w:w="4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Decisione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“Mai giocato” introdotto dopo T3/T4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Allineamento</w:t>
            </w:r>
          </w:p>
        </w:tc>
        <w:tc>
          <w:tcPr>
            <w:tcW w:type="dxa" w:w="4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Recepito in T5; nessuna modifica al catalogo. Aggiungere la riga al seed di backlog_status in M2.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Esclusione reciproca wishlist/backlog non vincolata a schema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Scelta di design</w:t>
            </w:r>
          </w:p>
        </w:tc>
        <w:tc>
          <w:tcPr>
            <w:tcW w:type="dxa" w:w="4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Accettata: gestita a livello di servizio (M4); evita un vincolo cross-tabella costoso.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Cardinalità gonfiata di developer/publisher (T1: ~75k/~62k)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Qualità dati</w:t>
            </w:r>
          </w:p>
        </w:tc>
        <w:tc>
          <w:tcPr>
            <w:tcW w:type="dxa" w:w="4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Non è un problema di modello: la pulizia è demandata all’ETL (M3-T3, supporto LLM).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preferred_language come campo a sé, non FK verso language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Scelta di design</w:t>
            </w:r>
          </w:p>
        </w:tc>
        <w:tc>
          <w:tcPr>
            <w:tcW w:type="dxa" w:w="4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Confermata: locale UI (it/en) diverso dalle lingue dei giochi.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Ordine degli stati per l’interfaccia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Migliorìa (opz.)</w:t>
            </w:r>
          </w:p>
        </w:tc>
        <w:tc>
          <w:tcPr>
            <w:tcW w:type="dxa" w:w="4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Suggerito un campo sort_order nel seed di backlog_status (mai giocato → in corso → finito → abbandonato). Da valutare in M2.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screenshot come tabella separata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Scelta di design</w:t>
            </w:r>
          </w:p>
        </w:tc>
        <w:tc>
          <w:tcPr>
            <w:tcW w:type="dxa" w:w="4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Confermata l’entità debole game_screenshot (uno-a-molti), coerente con T2/T3/T4.</w:t>
            </w:r>
          </w:p>
        </w:tc>
      </w:tr>
    </w:tbl>
    <w:p>
      <w:pPr>
        <w:spacing w:after="120"/>
        <w:jc w:val="both"/>
      </w:pPr>
      <w:r>
        <w:rPr>
          <w:b/>
          <w:bCs/>
          <w:sz w:val="21"/>
          <w:szCs w:val="21"/>
        </w:rPr>
        <w:t xml:space="preserve">Esito dei rilievi: </w:t>
      </w:r>
      <w:r>
        <w:rPr>
          <w:sz w:val="21"/>
          <w:szCs w:val="21"/>
        </w:rPr>
        <w:t xml:space="preserve">nessun rilievo bloccante. Le voci sono allineamenti o scelte di design già documentate; l’unica migliorìa (sort_order) è opzionale e non condiziona M2.</w:t>
      </w:r>
    </w:p>
    <w:p>
      <w:pPr>
        <w:keepNext/>
        <w:spacing w:after="120" w:before="300"/>
      </w:pPr>
      <w:r>
        <w:rPr>
          <w:b/>
          <w:bCs/>
          <w:color w:val="5B3FA8"/>
          <w:sz w:val="26"/>
          <w:szCs w:val="26"/>
        </w:rPr>
        <w:t xml:space="preserve">8.  </w:t>
      </w:r>
      <w:r>
        <w:rPr>
          <w:b/>
          <w:bCs/>
          <w:color w:val="1A1A2E"/>
          <w:sz w:val="26"/>
          <w:szCs w:val="26"/>
        </w:rPr>
        <w:t xml:space="preserve">Esito della validazione</w:t>
      </w:r>
    </w:p>
    <w:p>
      <w:pPr>
        <w:spacing w:after="120"/>
        <w:jc w:val="both"/>
      </w:pPr>
      <w:r>
        <w:rPr>
          <w:sz w:val="21"/>
          <w:szCs w:val="21"/>
        </w:rPr>
        <w:t xml:space="preserve">Il modello dati di M1 è giudicato completo rispetto alla commessa, internamente coerente, integro e normalizzato, con i documenti T1–T5 allineati. Si dà quindi il via libera alla Milestone M2 per la creazione delle tabelle in DDL PostgreSQL. Le diciannove tabelle validate — quindici di catalogo e quattro dinamiche — costituiscono la base; T7 aggiungerà le entità di achievement e notifiche, da validare in modo analogo.</w:t>
      </w:r>
    </w:p>
    <w:p>
      <w:pPr>
        <w:keepNext/>
        <w:spacing w:after="120" w:before="300"/>
      </w:pPr>
      <w:r>
        <w:rPr>
          <w:b/>
          <w:bCs/>
          <w:color w:val="5B3FA8"/>
          <w:sz w:val="26"/>
          <w:szCs w:val="26"/>
        </w:rPr>
        <w:t xml:space="preserve">9.  </w:t>
      </w:r>
      <w:r>
        <w:rPr>
          <w:b/>
          <w:bCs/>
          <w:color w:val="1A1A2E"/>
          <w:sz w:val="26"/>
          <w:szCs w:val="26"/>
        </w:rPr>
        <w:t xml:space="preserve">Prossimo passo</w:t>
      </w:r>
    </w:p>
    <w:p>
      <w:pPr>
        <w:spacing w:after="120"/>
        <w:jc w:val="both"/>
      </w:pPr>
      <w:r>
        <w:rPr>
          <w:sz w:val="21"/>
          <w:szCs w:val="21"/>
        </w:rPr>
        <w:t xml:space="preserve">Il task T7 estende il modello con achievement interni,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user_achievement</w:t>
      </w:r>
      <w:r>
        <w:rPr>
          <w:sz w:val="21"/>
          <w:szCs w:val="21"/>
        </w:rPr>
        <w:t xml:space="preserve">, notifiche e storico prezzi, agganciati a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app_user</w:t>
      </w:r>
      <w:r>
        <w:rPr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3A2E66"/>
          <w:sz w:val="19"/>
          <w:szCs w:val="19"/>
        </w:rPr>
        <w:t xml:space="preserve">games</w:t>
      </w:r>
      <w:r>
        <w:rPr>
          <w:sz w:val="21"/>
          <w:szCs w:val="21"/>
        </w:rPr>
        <w:t xml:space="preserve">. Con la chiusura di M1, la Milestone M2 traduce il modello validato in DDL PostgreSQL (schema, lookup, utenti, wishlist/backlog e tabelle future-ready), seguendo le convenzioni di naming qui confermate.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026"/>
      </w:tabs>
    </w:pPr>
    <w:r>
      <w:rPr>
        <w:color w:val="666666"/>
        <w:sz w:val="16"/>
        <w:szCs w:val="16"/>
      </w:rPr>
      <w:t xml:space="preserve">Arcadium · ACE5 — M1-T6 · Revisione e validazione del modello dati</w:t>
    </w:r>
    <w:r>
      <w:rPr>
        <w:color w:val="666666"/>
        <w:sz w:val="16"/>
        <w:szCs w:val="16"/>
      </w:rPr>
      <w:t xml:space="preserve">	pag.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5B3F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2026-06-30T17:55:24.264Z</dcterms:created>
  <dcterms:modified xsi:type="dcterms:W3CDTF">2026-06-30T17:55:24.264Z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