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C5CFF"/>
          <w:spacing w:val="20"/>
          <w:sz w:val="18"/>
          <w:szCs w:val="18"/>
        </w:rPr>
        <w:t xml:space="preserve">PROGETTO ARCADIUM — ACE5</w:t>
      </w:r>
    </w:p>
    <w:p>
      <w:pPr>
        <w:pStyle w:val="Heading1"/>
        <w:pBdr>
          <w:bottom w:val="single" w:color="7C5CFF" w:sz="12" w:space="6"/>
        </w:pBdr>
        <w:spacing w:after="80"/>
      </w:pPr>
      <w:r>
        <w:rPr>
          <w:rFonts w:ascii="Calibri" w:cs="Calibri" w:eastAsia="Calibri" w:hAnsi="Calibri"/>
          <w:b/>
          <w:bCs/>
          <w:color w:val="1A1F3A"/>
          <w:sz w:val="40"/>
          <w:szCs w:val="40"/>
        </w:rPr>
        <w:t xml:space="preserve">Pulsanti social Discord e Twitch nell’header</w:t>
      </w:r>
    </w:p>
    <w:p>
      <w:pPr>
        <w:spacing w:after="220" w:before="60"/>
      </w:pPr>
      <w:r>
        <w:rPr>
          <w:rFonts w:ascii="Calibri" w:cs="Calibri" w:eastAsia="Calibri" w:hAnsi="Calibri"/>
          <w:i/>
          <w:iCs/>
          <w:color w:val="6B7280"/>
          <w:sz w:val="22"/>
          <w:szCs w:val="22"/>
        </w:rPr>
        <w:t xml:space="preserve">Milestone M5 — Frontend React · Task T6</w:t>
      </w:r>
    </w:p>
    <w:p>
      <w:pPr>
        <w:spacing w:after="140" w:line="276"/>
        <w:jc w:val="both"/>
      </w:pPr>
      <w:r>
        <w:rPr>
          <w:rFonts w:ascii="Calibri" w:cs="Calibri" w:eastAsia="Calibri" w:hAnsi="Calibri"/>
          <w:b w:val="false"/>
          <w:bCs w:val="false"/>
          <w:i w:val="false"/>
          <w:iCs w:val="false"/>
          <w:color w:val="222222"/>
          <w:sz w:val="22"/>
          <w:szCs w:val="22"/>
        </w:rPr>
        <w:t xml:space="preserve">Questo task aggiunge all’header i due </w:t>
      </w:r>
      <w:r>
        <w:rPr>
          <w:rFonts w:ascii="Calibri" w:cs="Calibri" w:eastAsia="Calibri" w:hAnsi="Calibri"/>
          <w:b/>
          <w:bCs/>
          <w:i w:val="false"/>
          <w:iCs w:val="false"/>
          <w:color w:val="222222"/>
          <w:sz w:val="22"/>
          <w:szCs w:val="22"/>
        </w:rPr>
        <w:t xml:space="preserve">pulsanti social</w:t>
      </w:r>
      <w:r>
        <w:rPr>
          <w:rFonts w:ascii="Calibri" w:cs="Calibri" w:eastAsia="Calibri" w:hAnsi="Calibri"/>
          <w:b w:val="false"/>
          <w:bCs w:val="false"/>
          <w:i w:val="false"/>
          <w:iCs w:val="false"/>
          <w:color w:val="222222"/>
          <w:sz w:val="22"/>
          <w:szCs w:val="22"/>
        </w:rPr>
        <w:t xml:space="preserve"> — Discord e Twitch — nello spazio che il task T4 aveva lasciato volutamente libero. I pulsanti sono raggruppati a destra insieme al cambio lingua e al menu utente, adottano lo stesso stile </w:t>
      </w:r>
      <w:r>
        <w:rPr>
          <w:rFonts w:ascii="Calibri" w:cs="Calibri" w:eastAsia="Calibri" w:hAnsi="Calibri"/>
          <w:b/>
          <w:bCs/>
          <w:i w:val="false"/>
          <w:iCs w:val="false"/>
          <w:color w:val="222222"/>
          <w:sz w:val="22"/>
          <w:szCs w:val="22"/>
        </w:rPr>
        <w:t xml:space="preserve">“glass”</w:t>
      </w:r>
      <w:r>
        <w:rPr>
          <w:rFonts w:ascii="Calibri" w:cs="Calibri" w:eastAsia="Calibri" w:hAnsi="Calibri"/>
          <w:b w:val="false"/>
          <w:bCs w:val="false"/>
          <w:i w:val="false"/>
          <w:iCs w:val="false"/>
          <w:color w:val="222222"/>
          <w:sz w:val="22"/>
          <w:szCs w:val="22"/>
        </w:rPr>
        <w:t xml:space="preserve"> (vetro smerigliato) già usato dalla barra di ricerca e dal menù utente, ma lasciano trasparire il </w:t>
      </w:r>
      <w:r>
        <w:rPr>
          <w:rFonts w:ascii="Calibri" w:cs="Calibri" w:eastAsia="Calibri" w:hAnsi="Calibri"/>
          <w:b/>
          <w:bCs/>
          <w:i w:val="false"/>
          <w:iCs w:val="false"/>
          <w:color w:val="222222"/>
          <w:sz w:val="22"/>
          <w:szCs w:val="22"/>
        </w:rPr>
        <w:t xml:space="preserve">colore originale di ciascun brand</w:t>
      </w:r>
      <w:r>
        <w:rPr>
          <w:rFonts w:ascii="Calibri" w:cs="Calibri" w:eastAsia="Calibri" w:hAnsi="Calibri"/>
          <w:b w:val="false"/>
          <w:bCs w:val="false"/>
          <w:i w:val="false"/>
          <w:iCs w:val="false"/>
          <w:color w:val="222222"/>
          <w:sz w:val="22"/>
          <w:szCs w:val="22"/>
        </w:rPr>
        <w:t xml:space="preserve">. Come per il resto della milestone, l’implementazione usa JavaScript e CSS Modules, con le etichette gestite dall’i18n IT/EN del task T3.</w:t>
      </w:r>
    </w:p>
    <w:p>
      <w:pPr>
        <w:pStyle w:val="Heading2"/>
        <w:keepNext/>
        <w:spacing w:after="100" w:before="260"/>
      </w:pPr>
      <w:r>
        <w:rPr>
          <w:rFonts w:ascii="Calibri" w:cs="Calibri" w:eastAsia="Calibri" w:hAnsi="Calibri"/>
          <w:b/>
          <w:bCs/>
          <w:color w:val="1A1F3A"/>
          <w:sz w:val="27"/>
          <w:szCs w:val="27"/>
        </w:rPr>
        <w:t xml:space="preserve">1. Obiettivo</w:t>
      </w:r>
    </w:p>
    <w:p>
      <w:pPr>
        <w:spacing w:after="140" w:line="276"/>
        <w:jc w:val="both"/>
      </w:pPr>
      <w:r>
        <w:rPr>
          <w:rFonts w:ascii="Calibri" w:cs="Calibri" w:eastAsia="Calibri" w:hAnsi="Calibri"/>
          <w:b w:val="false"/>
          <w:bCs w:val="false"/>
          <w:i w:val="false"/>
          <w:iCs w:val="false"/>
          <w:color w:val="222222"/>
          <w:sz w:val="22"/>
          <w:szCs w:val="22"/>
        </w:rPr>
        <w:t xml:space="preserve">Dare agli utenti un accesso rapido ai canali social del progetto (server Discord e canale Twitch) direttamente dall’header, con due pulsanti coerenti con l’identità visiva dell’app ma riconoscibili grazie al colore del rispettivo marchio. L’inserimento riutilizza lo spazio già predisposto nel layout, senza alterare la barra di ricerca né il menù utente.</w:t>
      </w:r>
    </w:p>
    <w:p>
      <w:pPr>
        <w:pStyle w:val="Heading2"/>
        <w:keepNext/>
        <w:spacing w:after="100" w:before="260"/>
      </w:pPr>
      <w:r>
        <w:rPr>
          <w:rFonts w:ascii="Calibri" w:cs="Calibri" w:eastAsia="Calibri" w:hAnsi="Calibri"/>
          <w:b/>
          <w:bCs/>
          <w:color w:val="1A1F3A"/>
          <w:sz w:val="27"/>
          <w:szCs w:val="27"/>
        </w:rPr>
        <w:t xml:space="preserve">2. Struttura e file</w:t>
      </w:r>
    </w:p>
    <w:p>
      <w:pPr>
        <w:spacing w:after="140" w:line="276"/>
        <w:jc w:val="both"/>
      </w:pPr>
      <w:r>
        <w:rPr>
          <w:rFonts w:ascii="Calibri" w:cs="Calibri" w:eastAsia="Calibri" w:hAnsi="Calibri"/>
          <w:b w:val="false"/>
          <w:bCs w:val="false"/>
          <w:i w:val="false"/>
          <w:iCs w:val="false"/>
          <w:color w:val="222222"/>
          <w:sz w:val="22"/>
          <w:szCs w:val="22"/>
        </w:rPr>
        <w:t xml:space="preserve">La funzionalità è incapsulata in un nuovo componente riutilizzabile, esposto tramite il barrel dei componenti e inserito nell’header. Le etichette (tooltip e testo per i lettori di schermo) provengono da un nuovo namespace i18n.</w:t>
      </w:r>
    </w:p>
    <w:tbl>
      <w:tblPr>
        <w:tblW w:type="dxa" w:w="9020"/>
        <w:tblBorders>
          <w:top w:val="single" w:color="D5D7E3" w:sz="4"/>
          <w:left w:val="single" w:color="D5D7E3" w:sz="4"/>
          <w:bottom w:val="single" w:color="D5D7E3" w:sz="4"/>
          <w:right w:val="single" w:color="D5D7E3" w:sz="4"/>
          <w:insideH w:val="single" w:color="D5D7E3" w:sz="4"/>
          <w:insideV w:val="single" w:color="D5D7E3" w:sz="4"/>
        </w:tblBorders>
      </w:tblPr>
      <w:tblGrid>
        <w:gridCol w:w="2500"/>
        <w:gridCol w:w="3120"/>
        <w:gridCol w:w="3400"/>
      </w:tblGrid>
      <w:tr>
        <w:trPr>
          <w:tblHeader/>
        </w:trPr>
        <w:tc>
          <w:tcPr>
            <w:tcW w:type="dxa" w:w="2500"/>
            <w:shd w:fill="EDEBFF" w:color="auto" w:val="clear"/>
            <w:tcMar>
              <w:top w:type="dxa" w:w="60"/>
              <w:left w:type="dxa" w:w="110"/>
              <w:bottom w:type="dxa" w:w="60"/>
              <w:right w:type="dxa" w:w="110"/>
            </w:tcMar>
          </w:tcPr>
          <w:p>
            <w:r>
              <w:rPr>
                <w:rFonts w:ascii="Calibri" w:cs="Calibri" w:eastAsia="Calibri" w:hAnsi="Calibri"/>
                <w:b/>
                <w:bCs/>
                <w:color w:val="1A1F3A"/>
                <w:sz w:val="21"/>
                <w:szCs w:val="21"/>
              </w:rPr>
              <w:t xml:space="preserve">Elemento</w:t>
            </w:r>
          </w:p>
        </w:tc>
        <w:tc>
          <w:tcPr>
            <w:tcW w:type="dxa" w:w="3120"/>
            <w:shd w:fill="EDEBFF" w:color="auto" w:val="clear"/>
            <w:tcMar>
              <w:top w:type="dxa" w:w="60"/>
              <w:left w:type="dxa" w:w="110"/>
              <w:bottom w:type="dxa" w:w="60"/>
              <w:right w:type="dxa" w:w="110"/>
            </w:tcMar>
          </w:tcPr>
          <w:p>
            <w:r>
              <w:rPr>
                <w:rFonts w:ascii="Calibri" w:cs="Calibri" w:eastAsia="Calibri" w:hAnsi="Calibri"/>
                <w:b/>
                <w:bCs/>
                <w:color w:val="1A1F3A"/>
                <w:sz w:val="21"/>
                <w:szCs w:val="21"/>
              </w:rPr>
              <w:t xml:space="preserve">Posizione</w:t>
            </w:r>
          </w:p>
        </w:tc>
        <w:tc>
          <w:tcPr>
            <w:tcW w:type="dxa" w:w="3400"/>
            <w:shd w:fill="EDEBFF" w:color="auto" w:val="clear"/>
            <w:tcMar>
              <w:top w:type="dxa" w:w="60"/>
              <w:left w:type="dxa" w:w="110"/>
              <w:bottom w:type="dxa" w:w="60"/>
              <w:right w:type="dxa" w:w="110"/>
            </w:tcMar>
          </w:tcPr>
          <w:p>
            <w:r>
              <w:rPr>
                <w:rFonts w:ascii="Calibri" w:cs="Calibri" w:eastAsia="Calibri" w:hAnsi="Calibri"/>
                <w:b/>
                <w:bCs/>
                <w:color w:val="1A1F3A"/>
                <w:sz w:val="21"/>
                <w:szCs w:val="21"/>
              </w:rPr>
              <w:t xml:space="preserve">Ruolo</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1"/>
                <w:szCs w:val="21"/>
              </w:rPr>
              <w:t xml:space="preserve">SocialLinks (componente)</w:t>
            </w:r>
          </w:p>
        </w:tc>
        <w:tc>
          <w:tcPr>
            <w:tcW w:type="dxa" w:w="3120"/>
            <w:tcMar>
              <w:top w:type="dxa" w:w="60"/>
              <w:left w:type="dxa" w:w="110"/>
              <w:bottom w:type="dxa" w:w="60"/>
              <w:right w:type="dxa" w:w="110"/>
            </w:tcMar>
          </w:tcPr>
          <w:p>
            <w:r>
              <w:rPr>
                <w:rFonts w:ascii="Calibri" w:cs="Calibri" w:eastAsia="Calibri" w:hAnsi="Calibri"/>
                <w:b w:val="false"/>
                <w:bCs w:val="false"/>
                <w:color w:val="222222"/>
                <w:sz w:val="21"/>
                <w:szCs w:val="21"/>
              </w:rPr>
              <w:t xml:space="preserve">components/SocialLinks/SocialLinks.js</w:t>
            </w:r>
          </w:p>
        </w:tc>
        <w:tc>
          <w:tcPr>
            <w:tcW w:type="dxa" w:w="3400"/>
            <w:tcMar>
              <w:top w:type="dxa" w:w="60"/>
              <w:left w:type="dxa" w:w="110"/>
              <w:bottom w:type="dxa" w:w="60"/>
              <w:right w:type="dxa" w:w="110"/>
            </w:tcMar>
          </w:tcPr>
          <w:p>
            <w:r>
              <w:rPr>
                <w:rFonts w:ascii="Calibri" w:cs="Calibri" w:eastAsia="Calibri" w:hAnsi="Calibri"/>
                <w:b w:val="false"/>
                <w:bCs w:val="false"/>
                <w:color w:val="222222"/>
                <w:sz w:val="21"/>
                <w:szCs w:val="21"/>
              </w:rPr>
              <w:t xml:space="preserve">Genera i due pulsanti Discord/Twitch con i loghi SVG e i link ai canali.</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1"/>
                <w:szCs w:val="21"/>
              </w:rPr>
              <w:t xml:space="preserve">Stili del componente</w:t>
            </w:r>
          </w:p>
        </w:tc>
        <w:tc>
          <w:tcPr>
            <w:tcW w:type="dxa" w:w="3120"/>
            <w:tcMar>
              <w:top w:type="dxa" w:w="60"/>
              <w:left w:type="dxa" w:w="110"/>
              <w:bottom w:type="dxa" w:w="60"/>
              <w:right w:type="dxa" w:w="110"/>
            </w:tcMar>
          </w:tcPr>
          <w:p>
            <w:r>
              <w:rPr>
                <w:rFonts w:ascii="Calibri" w:cs="Calibri" w:eastAsia="Calibri" w:hAnsi="Calibri"/>
                <w:b w:val="false"/>
                <w:bCs w:val="false"/>
                <w:color w:val="222222"/>
                <w:sz w:val="21"/>
                <w:szCs w:val="21"/>
              </w:rPr>
              <w:t xml:space="preserve">components/SocialLinks/SocialLinks.module.css</w:t>
            </w:r>
          </w:p>
        </w:tc>
        <w:tc>
          <w:tcPr>
            <w:tcW w:type="dxa" w:w="3400"/>
            <w:tcMar>
              <w:top w:type="dxa" w:w="60"/>
              <w:left w:type="dxa" w:w="110"/>
              <w:bottom w:type="dxa" w:w="60"/>
              <w:right w:type="dxa" w:w="110"/>
            </w:tcMar>
          </w:tcPr>
          <w:p>
            <w:r>
              <w:rPr>
                <w:rFonts w:ascii="Calibri" w:cs="Calibri" w:eastAsia="Calibri" w:hAnsi="Calibri"/>
                <w:b w:val="false"/>
                <w:bCs w:val="false"/>
                <w:color w:val="222222"/>
                <w:sz w:val="21"/>
                <w:szCs w:val="21"/>
              </w:rPr>
              <w:t xml:space="preserve">Stile glass dei pulsanti e stati (hover, focus), con la tinta del brand.</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1"/>
                <w:szCs w:val="21"/>
              </w:rPr>
              <w:t xml:space="preserve">Barrel componenti</w:t>
            </w:r>
          </w:p>
        </w:tc>
        <w:tc>
          <w:tcPr>
            <w:tcW w:type="dxa" w:w="3120"/>
            <w:tcMar>
              <w:top w:type="dxa" w:w="60"/>
              <w:left w:type="dxa" w:w="110"/>
              <w:bottom w:type="dxa" w:w="60"/>
              <w:right w:type="dxa" w:w="110"/>
            </w:tcMar>
          </w:tcPr>
          <w:p>
            <w:r>
              <w:rPr>
                <w:rFonts w:ascii="Calibri" w:cs="Calibri" w:eastAsia="Calibri" w:hAnsi="Calibri"/>
                <w:b w:val="false"/>
                <w:bCs w:val="false"/>
                <w:color w:val="222222"/>
                <w:sz w:val="21"/>
                <w:szCs w:val="21"/>
              </w:rPr>
              <w:t xml:space="preserve">components/index.js</w:t>
            </w:r>
          </w:p>
        </w:tc>
        <w:tc>
          <w:tcPr>
            <w:tcW w:type="dxa" w:w="3400"/>
            <w:tcMar>
              <w:top w:type="dxa" w:w="60"/>
              <w:left w:type="dxa" w:w="110"/>
              <w:bottom w:type="dxa" w:w="60"/>
              <w:right w:type="dxa" w:w="110"/>
            </w:tcMar>
          </w:tcPr>
          <w:p>
            <w:r>
              <w:rPr>
                <w:rFonts w:ascii="Calibri" w:cs="Calibri" w:eastAsia="Calibri" w:hAnsi="Calibri"/>
                <w:b w:val="false"/>
                <w:bCs w:val="false"/>
                <w:color w:val="222222"/>
                <w:sz w:val="21"/>
                <w:szCs w:val="21"/>
              </w:rPr>
              <w:t xml:space="preserve">Aggiunge l’export di SocialLinks per l’import centralizzato “@/components”.</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1"/>
                <w:szCs w:val="21"/>
              </w:rPr>
              <w:t xml:space="preserve">Header</w:t>
            </w:r>
          </w:p>
        </w:tc>
        <w:tc>
          <w:tcPr>
            <w:tcW w:type="dxa" w:w="3120"/>
            <w:tcMar>
              <w:top w:type="dxa" w:w="60"/>
              <w:left w:type="dxa" w:w="110"/>
              <w:bottom w:type="dxa" w:w="60"/>
              <w:right w:type="dxa" w:w="110"/>
            </w:tcMar>
          </w:tcPr>
          <w:p>
            <w:r>
              <w:rPr>
                <w:rFonts w:ascii="Calibri" w:cs="Calibri" w:eastAsia="Calibri" w:hAnsi="Calibri"/>
                <w:b w:val="false"/>
                <w:bCs w:val="false"/>
                <w:color w:val="222222"/>
                <w:sz w:val="21"/>
                <w:szCs w:val="21"/>
              </w:rPr>
              <w:t xml:space="preserve">layouts/Header/Header.js</w:t>
            </w:r>
          </w:p>
        </w:tc>
        <w:tc>
          <w:tcPr>
            <w:tcW w:type="dxa" w:w="3400"/>
            <w:tcMar>
              <w:top w:type="dxa" w:w="60"/>
              <w:left w:type="dxa" w:w="110"/>
              <w:bottom w:type="dxa" w:w="60"/>
              <w:right w:type="dxa" w:w="110"/>
            </w:tcMar>
          </w:tcPr>
          <w:p>
            <w:r>
              <w:rPr>
                <w:rFonts w:ascii="Calibri" w:cs="Calibri" w:eastAsia="Calibri" w:hAnsi="Calibri"/>
                <w:b w:val="false"/>
                <w:bCs w:val="false"/>
                <w:color w:val="222222"/>
                <w:sz w:val="21"/>
                <w:szCs w:val="21"/>
              </w:rPr>
              <w:t xml:space="preserve">Inserisce &lt;SocialLinks /&gt; nel gruppo di destra, insieme a lingua e utente.</w:t>
            </w:r>
          </w:p>
        </w:tc>
      </w:tr>
      <w:tr>
        <w:tc>
          <w:tcPr>
            <w:tcW w:type="dxa" w:w="2500"/>
            <w:tcMar>
              <w:top w:type="dxa" w:w="60"/>
              <w:left w:type="dxa" w:w="110"/>
              <w:bottom w:type="dxa" w:w="60"/>
              <w:right w:type="dxa" w:w="110"/>
            </w:tcMar>
          </w:tcPr>
          <w:p>
            <w:r>
              <w:rPr>
                <w:rFonts w:ascii="Calibri" w:cs="Calibri" w:eastAsia="Calibri" w:hAnsi="Calibri"/>
                <w:b w:val="false"/>
                <w:bCs w:val="false"/>
                <w:color w:val="222222"/>
                <w:sz w:val="21"/>
                <w:szCs w:val="21"/>
              </w:rPr>
              <w:t xml:space="preserve">Testi i18n</w:t>
            </w:r>
          </w:p>
        </w:tc>
        <w:tc>
          <w:tcPr>
            <w:tcW w:type="dxa" w:w="3120"/>
            <w:tcMar>
              <w:top w:type="dxa" w:w="60"/>
              <w:left w:type="dxa" w:w="110"/>
              <w:bottom w:type="dxa" w:w="60"/>
              <w:right w:type="dxa" w:w="110"/>
            </w:tcMar>
          </w:tcPr>
          <w:p>
            <w:r>
              <w:rPr>
                <w:rFonts w:ascii="Calibri" w:cs="Calibri" w:eastAsia="Calibri" w:hAnsi="Calibri"/>
                <w:b w:val="false"/>
                <w:bCs w:val="false"/>
                <w:color w:val="222222"/>
                <w:sz w:val="21"/>
                <w:szCs w:val="21"/>
              </w:rPr>
              <w:t xml:space="preserve">i18n/locales/it.json · en.json</w:t>
            </w:r>
          </w:p>
        </w:tc>
        <w:tc>
          <w:tcPr>
            <w:tcW w:type="dxa" w:w="3400"/>
            <w:tcMar>
              <w:top w:type="dxa" w:w="60"/>
              <w:left w:type="dxa" w:w="110"/>
              <w:bottom w:type="dxa" w:w="60"/>
              <w:right w:type="dxa" w:w="110"/>
            </w:tcMar>
          </w:tcPr>
          <w:p>
            <w:r>
              <w:rPr>
                <w:rFonts w:ascii="Calibri" w:cs="Calibri" w:eastAsia="Calibri" w:hAnsi="Calibri"/>
                <w:b w:val="false"/>
                <w:bCs w:val="false"/>
                <w:color w:val="222222"/>
                <w:sz w:val="21"/>
                <w:szCs w:val="21"/>
              </w:rPr>
              <w:t xml:space="preserve">Nuovo namespace “social” con le etichette di Discord e Twitch (IT/EN).</w:t>
            </w:r>
          </w:p>
        </w:tc>
      </w:tr>
    </w:tbl>
    <w:p>
      <w:pPr>
        <w:pStyle w:val="Heading2"/>
        <w:keepNext/>
        <w:spacing w:after="100" w:before="260"/>
      </w:pPr>
      <w:r>
        <w:rPr>
          <w:rFonts w:ascii="Calibri" w:cs="Calibri" w:eastAsia="Calibri" w:hAnsi="Calibri"/>
          <w:b/>
          <w:bCs/>
          <w:color w:val="1A1F3A"/>
          <w:sz w:val="27"/>
          <w:szCs w:val="27"/>
        </w:rPr>
        <w:t xml:space="preserve">3. Il componente SocialLinks</w:t>
      </w:r>
    </w:p>
    <w:p>
      <w:pPr>
        <w:spacing w:after="140" w:line="276"/>
        <w:jc w:val="both"/>
      </w:pPr>
      <w:r>
        <w:rPr>
          <w:rFonts w:ascii="Calibri" w:cs="Calibri" w:eastAsia="Calibri" w:hAnsi="Calibri"/>
          <w:b w:val="false"/>
          <w:bCs w:val="false"/>
          <w:i w:val="false"/>
          <w:iCs w:val="false"/>
          <w:color w:val="222222"/>
          <w:sz w:val="22"/>
          <w:szCs w:val="22"/>
        </w:rPr>
        <w:t xml:space="preserve">I due pulsanti sono generati a partire da una piccola lista di configurazione: per ogni voce si definiscono la chiave, il link al canale, il colore del brand e il tracciato (path) del logo. Il componente cicla su questa lista e produce due collegamenti identici nella struttura ma diversi nel colore e nell’icona. Questo rende banale, in futuro, aggiungere o rimuovere un canale.</w:t>
      </w:r>
    </w:p>
    <w:p>
      <w:pPr>
        <w:pStyle w:val="ListParagraph"/>
        <w:numPr>
          <w:ilvl w:val="0"/>
          <w:numId w:val="2"/>
        </w:numPr>
        <w:spacing w:after="90" w:line="276"/>
      </w:pPr>
      <w:r>
        <w:rPr>
          <w:rFonts w:ascii="Calibri" w:cs="Calibri" w:eastAsia="Calibri" w:hAnsi="Calibri"/>
          <w:b/>
          <w:bCs/>
          <w:color w:val="222222"/>
          <w:sz w:val="22"/>
          <w:szCs w:val="22"/>
        </w:rPr>
        <w:t xml:space="preserve">Loghi come SVG inline. </w:t>
      </w:r>
      <w:r>
        <w:rPr>
          <w:rFonts w:ascii="Calibri" w:cs="Calibri" w:eastAsia="Calibri" w:hAnsi="Calibri"/>
          <w:color w:val="222222"/>
          <w:sz w:val="22"/>
          <w:szCs w:val="22"/>
        </w:rPr>
        <w:t xml:space="preserve">la libreria di icone in uso (lucide-react) ha rimosso le icone dei brand per motivi di marchio; si usano quindi i tracciati ufficiali dei loghi Discord e Twitch come SVG inline, senza dipendenze aggiuntive.</w:t>
      </w:r>
    </w:p>
    <w:p>
      <w:pPr>
        <w:pStyle w:val="ListParagraph"/>
        <w:numPr>
          <w:ilvl w:val="0"/>
          <w:numId w:val="2"/>
        </w:numPr>
        <w:spacing w:after="90" w:line="276"/>
      </w:pPr>
      <w:r>
        <w:rPr>
          <w:rFonts w:ascii="Calibri" w:cs="Calibri" w:eastAsia="Calibri" w:hAnsi="Calibri"/>
          <w:b/>
          <w:bCs/>
          <w:color w:val="222222"/>
          <w:sz w:val="22"/>
          <w:szCs w:val="22"/>
        </w:rPr>
        <w:t xml:space="preserve">Colore del brand come variabile. </w:t>
      </w:r>
      <w:r>
        <w:rPr>
          <w:rFonts w:ascii="Calibri" w:cs="Calibri" w:eastAsia="Calibri" w:hAnsi="Calibri"/>
          <w:color w:val="222222"/>
          <w:sz w:val="22"/>
          <w:szCs w:val="22"/>
        </w:rPr>
        <w:t xml:space="preserve">ogni pulsante riceve il proprio colore tramite una variabile CSS (--brand-rgb), così lo stesso foglio di stile serve entrambi i pulsanti cambiando solo la tinta.</w:t>
      </w:r>
    </w:p>
    <w:p>
      <w:pPr>
        <w:pStyle w:val="ListParagraph"/>
        <w:numPr>
          <w:ilvl w:val="0"/>
          <w:numId w:val="2"/>
        </w:numPr>
        <w:spacing w:after="90" w:line="276"/>
      </w:pPr>
      <w:r>
        <w:rPr>
          <w:rFonts w:ascii="Calibri" w:cs="Calibri" w:eastAsia="Calibri" w:hAnsi="Calibri"/>
          <w:b/>
          <w:bCs/>
          <w:color w:val="222222"/>
          <w:sz w:val="22"/>
          <w:szCs w:val="22"/>
        </w:rPr>
        <w:t xml:space="preserve">Link esterni sicuri. </w:t>
      </w:r>
      <w:r>
        <w:rPr>
          <w:rFonts w:ascii="Calibri" w:cs="Calibri" w:eastAsia="Calibri" w:hAnsi="Calibri"/>
          <w:color w:val="222222"/>
          <w:sz w:val="22"/>
          <w:szCs w:val="22"/>
        </w:rPr>
        <w:t xml:space="preserve">i collegamenti si aprono in una nuova scheda con rel=“noopener noreferrer”; gli href sono predisposti e vanno completati con l’invito reale al server Discord e il canale Twitch.</w:t>
      </w:r>
    </w:p>
    <w:p>
      <w:pPr>
        <w:pStyle w:val="Heading2"/>
        <w:keepNext/>
        <w:spacing w:after="100" w:before="260"/>
      </w:pPr>
      <w:r>
        <w:rPr>
          <w:rFonts w:ascii="Calibri" w:cs="Calibri" w:eastAsia="Calibri" w:hAnsi="Calibri"/>
          <w:b/>
          <w:bCs/>
          <w:color w:val="1A1F3A"/>
          <w:sz w:val="27"/>
          <w:szCs w:val="27"/>
        </w:rPr>
        <w:t xml:space="preserve">4. Stile “glass” coerente con l’header</w:t>
      </w:r>
    </w:p>
    <w:p>
      <w:pPr>
        <w:spacing w:after="140" w:line="276"/>
        <w:jc w:val="both"/>
      </w:pPr>
      <w:r>
        <w:rPr>
          <w:rFonts w:ascii="Calibri" w:cs="Calibri" w:eastAsia="Calibri" w:hAnsi="Calibri"/>
          <w:b w:val="false"/>
          <w:bCs w:val="false"/>
          <w:i w:val="false"/>
          <w:iCs w:val="false"/>
          <w:color w:val="222222"/>
          <w:sz w:val="22"/>
          <w:szCs w:val="22"/>
        </w:rPr>
        <w:t xml:space="preserve">I pulsanti adottano la stessa base visiva della barra di ricerca e del menù utente: fondo navy semitrasparente, sfocatura di ciò che sta dietro (backdrop-filter), bordo chiaro sottile e leggero riflesso superiore. Sopra questa base viene steso un velo tenue nel colore del brand, e l’icona è mostrata nel colore originale del marchio. In questo modo i pulsanti appartengono alla stessa “famiglia” dell’header invece di sembrare incollati sopra.</w:t>
      </w:r>
    </w:p>
    <w:p>
      <w:pPr>
        <w:pStyle w:val="ListParagraph"/>
        <w:numPr>
          <w:ilvl w:val="0"/>
          <w:numId w:val="2"/>
        </w:numPr>
        <w:spacing w:after="90" w:line="276"/>
      </w:pPr>
      <w:r>
        <w:rPr>
          <w:rFonts w:ascii="Calibri" w:cs="Calibri" w:eastAsia="Calibri" w:hAnsi="Calibri"/>
          <w:b/>
          <w:bCs/>
          <w:color w:val="222222"/>
          <w:sz w:val="22"/>
          <w:szCs w:val="22"/>
        </w:rPr>
        <w:t xml:space="preserve">Stato a riposo. </w:t>
      </w:r>
      <w:r>
        <w:rPr>
          <w:rFonts w:ascii="Calibri" w:cs="Calibri" w:eastAsia="Calibri" w:hAnsi="Calibri"/>
          <w:color w:val="222222"/>
          <w:sz w:val="22"/>
          <w:szCs w:val="22"/>
        </w:rPr>
        <w:t xml:space="preserve">vetro con velo del brand appena percettibile e icona nel colore del marchio (Discord blurple, Twitch viola).</w:t>
      </w:r>
    </w:p>
    <w:p>
      <w:pPr>
        <w:pStyle w:val="ListParagraph"/>
        <w:numPr>
          <w:ilvl w:val="0"/>
          <w:numId w:val="2"/>
        </w:numPr>
        <w:spacing w:after="90" w:line="276"/>
      </w:pPr>
      <w:r>
        <w:rPr>
          <w:rFonts w:ascii="Calibri" w:cs="Calibri" w:eastAsia="Calibri" w:hAnsi="Calibri"/>
          <w:b/>
          <w:bCs/>
          <w:color w:val="222222"/>
          <w:sz w:val="22"/>
          <w:szCs w:val="22"/>
        </w:rPr>
        <w:t xml:space="preserve">Passaggio del mouse (hover). </w:t>
      </w:r>
      <w:r>
        <w:rPr>
          <w:rFonts w:ascii="Calibri" w:cs="Calibri" w:eastAsia="Calibri" w:hAnsi="Calibri"/>
          <w:color w:val="222222"/>
          <w:sz w:val="22"/>
          <w:szCs w:val="22"/>
        </w:rPr>
        <w:t xml:space="preserve">il velo si intensifica, l’icona diventa bianca, compare un bagliore nel colore del brand e il pulsante si solleva di poco.</w:t>
      </w:r>
    </w:p>
    <w:p>
      <w:pPr>
        <w:pStyle w:val="ListParagraph"/>
        <w:numPr>
          <w:ilvl w:val="0"/>
          <w:numId w:val="2"/>
        </w:numPr>
        <w:spacing w:after="90" w:line="276"/>
      </w:pPr>
      <w:r>
        <w:rPr>
          <w:rFonts w:ascii="Calibri" w:cs="Calibri" w:eastAsia="Calibri" w:hAnsi="Calibri"/>
          <w:b/>
          <w:bCs/>
          <w:color w:val="222222"/>
          <w:sz w:val="22"/>
          <w:szCs w:val="22"/>
        </w:rPr>
        <w:t xml:space="preserve">Focus da tastiera. </w:t>
      </w:r>
      <w:r>
        <w:rPr>
          <w:rFonts w:ascii="Calibri" w:cs="Calibri" w:eastAsia="Calibri" w:hAnsi="Calibri"/>
          <w:color w:val="222222"/>
          <w:sz w:val="22"/>
          <w:szCs w:val="22"/>
        </w:rPr>
        <w:t xml:space="preserve">anello di focus visibile nel colore del brand, per la navigazione senza mouse.</w:t>
      </w:r>
    </w:p>
    <w:p>
      <w:pPr>
        <w:pStyle w:val="ListParagraph"/>
        <w:numPr>
          <w:ilvl w:val="0"/>
          <w:numId w:val="2"/>
        </w:numPr>
        <w:spacing w:after="90" w:line="276"/>
      </w:pPr>
      <w:r>
        <w:rPr>
          <w:rFonts w:ascii="Calibri" w:cs="Calibri" w:eastAsia="Calibri" w:hAnsi="Calibri"/>
          <w:b/>
          <w:bCs/>
          <w:color w:val="222222"/>
          <w:sz w:val="22"/>
          <w:szCs w:val="22"/>
        </w:rPr>
        <w:t xml:space="preserve">Movimento ridotto. </w:t>
      </w:r>
      <w:r>
        <w:rPr>
          <w:rFonts w:ascii="Calibri" w:cs="Calibri" w:eastAsia="Calibri" w:hAnsi="Calibri"/>
          <w:color w:val="222222"/>
          <w:sz w:val="22"/>
          <w:szCs w:val="22"/>
        </w:rPr>
        <w:t xml:space="preserve">le transizioni si annullano per gli utenti con prefers-reduced-motion.</w:t>
      </w:r>
    </w:p>
    <w:p>
      <w:pPr>
        <w:pStyle w:val="Heading2"/>
        <w:keepNext/>
        <w:spacing w:after="100" w:before="260"/>
      </w:pPr>
      <w:r>
        <w:rPr>
          <w:rFonts w:ascii="Calibri" w:cs="Calibri" w:eastAsia="Calibri" w:hAnsi="Calibri"/>
          <w:b/>
          <w:bCs/>
          <w:color w:val="1A1F3A"/>
          <w:sz w:val="27"/>
          <w:szCs w:val="27"/>
        </w:rPr>
        <w:t xml:space="preserve">5. Posizionamento nell’header</w:t>
      </w:r>
    </w:p>
    <w:p>
      <w:pPr>
        <w:spacing w:after="140" w:line="276"/>
        <w:jc w:val="both"/>
      </w:pPr>
      <w:r>
        <w:rPr>
          <w:rFonts w:ascii="Calibri" w:cs="Calibri" w:eastAsia="Calibri" w:hAnsi="Calibri"/>
          <w:b w:val="false"/>
          <w:bCs w:val="false"/>
          <w:i w:val="false"/>
          <w:iCs w:val="false"/>
          <w:color w:val="222222"/>
          <w:sz w:val="22"/>
          <w:szCs w:val="22"/>
        </w:rPr>
        <w:t xml:space="preserve">I pulsanti sono collocati nel gruppo di destra dell’header (lo stesso che contiene il cambio lingua e il menù utente), prima del selettore di lingua. L’ordine finale, da sinistra a destra, è: Discord, Twitch, selettore IT/EN, utente. La barra di ricerca resta a sinistra e occupa lo spazio centrale; la spaziatura tra gli elementi è gestita dal gruppo esistente, quindi non sono state necessarie modifiche al foglio di stile dell’header.</w:t>
      </w:r>
    </w:p>
    <w:p>
      <w:pPr>
        <w:pStyle w:val="Heading2"/>
        <w:keepNext/>
        <w:spacing w:after="100" w:before="260"/>
      </w:pPr>
      <w:r>
        <w:rPr>
          <w:rFonts w:ascii="Calibri" w:cs="Calibri" w:eastAsia="Calibri" w:hAnsi="Calibri"/>
          <w:b/>
          <w:bCs/>
          <w:color w:val="1A1F3A"/>
          <w:sz w:val="27"/>
          <w:szCs w:val="27"/>
        </w:rPr>
        <w:t xml:space="preserve">6. Internazionalizzazione (i18n)</w:t>
      </w:r>
    </w:p>
    <w:p>
      <w:pPr>
        <w:spacing w:after="140" w:line="276"/>
        <w:jc w:val="both"/>
      </w:pPr>
      <w:r>
        <w:rPr>
          <w:rFonts w:ascii="Calibri" w:cs="Calibri" w:eastAsia="Calibri" w:hAnsi="Calibri"/>
          <w:b w:val="false"/>
          <w:bCs w:val="false"/>
          <w:i w:val="false"/>
          <w:iCs w:val="false"/>
          <w:color w:val="222222"/>
          <w:sz w:val="22"/>
          <w:szCs w:val="22"/>
        </w:rPr>
        <w:t xml:space="preserve">È stato aggiunto un namespace “social” ai file di traduzione, con due chiavi (discord e twitch). Le etichette non sono i nomi secchi dei brand ma un breve invito (“Unisciti a noi su Discord”, “Guardaci su Twitch”): compaiono come tooltip al passaggio del mouse e come etichetta accessibile (aria-label) per i lettori di schermo, e si aggiornano automaticamente al cambio di lingua.</w:t>
      </w:r>
    </w:p>
    <w:p>
      <w:pPr>
        <w:pStyle w:val="Heading2"/>
        <w:keepNext/>
        <w:spacing w:after="100" w:before="260"/>
      </w:pPr>
      <w:r>
        <w:rPr>
          <w:rFonts w:ascii="Calibri" w:cs="Calibri" w:eastAsia="Calibri" w:hAnsi="Calibri"/>
          <w:b/>
          <w:bCs/>
          <w:color w:val="1A1F3A"/>
          <w:sz w:val="27"/>
          <w:szCs w:val="27"/>
        </w:rPr>
        <w:t xml:space="preserve">7. Accessibilità</w:t>
      </w:r>
    </w:p>
    <w:p>
      <w:pPr>
        <w:pStyle w:val="ListParagraph"/>
        <w:numPr>
          <w:ilvl w:val="0"/>
          <w:numId w:val="2"/>
        </w:numPr>
        <w:spacing w:after="90" w:line="276"/>
      </w:pPr>
      <w:r>
        <w:rPr>
          <w:rFonts w:ascii="Calibri" w:cs="Calibri" w:eastAsia="Calibri" w:hAnsi="Calibri"/>
          <w:color w:val="222222"/>
          <w:sz w:val="22"/>
          <w:szCs w:val="22"/>
        </w:rPr>
        <w:t xml:space="preserve">Ogni pulsante è un collegamento con etichetta accessibile (aria-label) e tooltip (title).</w:t>
      </w:r>
    </w:p>
    <w:p>
      <w:pPr>
        <w:pStyle w:val="ListParagraph"/>
        <w:numPr>
          <w:ilvl w:val="0"/>
          <w:numId w:val="2"/>
        </w:numPr>
        <w:spacing w:after="90" w:line="276"/>
      </w:pPr>
      <w:r>
        <w:rPr>
          <w:rFonts w:ascii="Calibri" w:cs="Calibri" w:eastAsia="Calibri" w:hAnsi="Calibri"/>
          <w:color w:val="222222"/>
          <w:sz w:val="22"/>
          <w:szCs w:val="22"/>
        </w:rPr>
        <w:t xml:space="preserve">Le icone SVG sono marcate come decorative (aria-hidden), poiché il significato è già dato dall’etichetta.</w:t>
      </w:r>
    </w:p>
    <w:p>
      <w:pPr>
        <w:pStyle w:val="ListParagraph"/>
        <w:numPr>
          <w:ilvl w:val="0"/>
          <w:numId w:val="2"/>
        </w:numPr>
        <w:spacing w:after="90" w:line="276"/>
      </w:pPr>
      <w:r>
        <w:rPr>
          <w:rFonts w:ascii="Calibri" w:cs="Calibri" w:eastAsia="Calibri" w:hAnsi="Calibri"/>
          <w:color w:val="222222"/>
          <w:sz w:val="22"/>
          <w:szCs w:val="22"/>
        </w:rPr>
        <w:t xml:space="preserve">Anello di focus visibile da tastiera; transizioni disattivate con prefers-reduced-motion.</w:t>
      </w:r>
    </w:p>
    <w:p>
      <w:pPr>
        <w:pStyle w:val="Heading2"/>
        <w:keepNext/>
        <w:spacing w:after="100" w:before="260"/>
      </w:pPr>
      <w:r>
        <w:rPr>
          <w:rFonts w:ascii="Calibri" w:cs="Calibri" w:eastAsia="Calibri" w:hAnsi="Calibri"/>
          <w:b/>
          <w:bCs/>
          <w:color w:val="1A1F3A"/>
          <w:sz w:val="27"/>
          <w:szCs w:val="27"/>
        </w:rPr>
        <w:t xml:space="preserve">8. Note e scelte di design</w:t>
      </w:r>
    </w:p>
    <w:tbl>
      <w:tblPr>
        <w:tblW w:type="dxa" w:w="9020"/>
        <w:tblBorders>
          <w:top w:val="single" w:color="D5D7E3" w:sz="4"/>
          <w:left w:val="single" w:color="D5D7E3" w:sz="4"/>
          <w:bottom w:val="single" w:color="D5D7E3" w:sz="4"/>
          <w:right w:val="single" w:color="D5D7E3" w:sz="4"/>
          <w:insideH w:val="single" w:color="D5D7E3" w:sz="4"/>
          <w:insideV w:val="single" w:color="D5D7E3" w:sz="4"/>
        </w:tblBorders>
      </w:tblPr>
      <w:tblGrid>
        <w:gridCol w:w="2600"/>
        <w:gridCol w:w="6420"/>
      </w:tblGrid>
      <w:tr>
        <w:trPr>
          <w:tblHeader/>
        </w:trPr>
        <w:tc>
          <w:tcPr>
            <w:tcW w:type="dxa" w:w="2600"/>
            <w:shd w:fill="EDEBFF" w:color="auto" w:val="clear"/>
            <w:tcMar>
              <w:top w:type="dxa" w:w="60"/>
              <w:left w:type="dxa" w:w="110"/>
              <w:bottom w:type="dxa" w:w="60"/>
              <w:right w:type="dxa" w:w="110"/>
            </w:tcMar>
          </w:tcPr>
          <w:p>
            <w:r>
              <w:rPr>
                <w:rFonts w:ascii="Calibri" w:cs="Calibri" w:eastAsia="Calibri" w:hAnsi="Calibri"/>
                <w:b/>
                <w:bCs/>
                <w:color w:val="1A1F3A"/>
                <w:sz w:val="21"/>
                <w:szCs w:val="21"/>
              </w:rPr>
              <w:t xml:space="preserve">Punto</w:t>
            </w:r>
          </w:p>
        </w:tc>
        <w:tc>
          <w:tcPr>
            <w:tcW w:type="dxa" w:w="6420"/>
            <w:shd w:fill="EDEBFF" w:color="auto" w:val="clear"/>
            <w:tcMar>
              <w:top w:type="dxa" w:w="60"/>
              <w:left w:type="dxa" w:w="110"/>
              <w:bottom w:type="dxa" w:w="60"/>
              <w:right w:type="dxa" w:w="110"/>
            </w:tcMar>
          </w:tcPr>
          <w:p>
            <w:r>
              <w:rPr>
                <w:rFonts w:ascii="Calibri" w:cs="Calibri" w:eastAsia="Calibri" w:hAnsi="Calibri"/>
                <w:b/>
                <w:bCs/>
                <w:color w:val="1A1F3A"/>
                <w:sz w:val="21"/>
                <w:szCs w:val="21"/>
              </w:rPr>
              <w:t xml:space="preserve">Scelta</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1"/>
                <w:szCs w:val="21"/>
              </w:rPr>
              <w:t xml:space="preserve">Componente dedicato</w:t>
            </w:r>
          </w:p>
        </w:tc>
        <w:tc>
          <w:tcPr>
            <w:tcW w:type="dxa" w:w="6420"/>
            <w:tcMar>
              <w:top w:type="dxa" w:w="60"/>
              <w:left w:type="dxa" w:w="110"/>
              <w:bottom w:type="dxa" w:w="60"/>
              <w:right w:type="dxa" w:w="110"/>
            </w:tcMar>
          </w:tcPr>
          <w:p>
            <w:r>
              <w:rPr>
                <w:rFonts w:ascii="Calibri" w:cs="Calibri" w:eastAsia="Calibri" w:hAnsi="Calibri"/>
                <w:b w:val="false"/>
                <w:bCs w:val="false"/>
                <w:color w:val="222222"/>
                <w:sz w:val="21"/>
                <w:szCs w:val="21"/>
              </w:rPr>
              <w:t xml:space="preserve">logica e stile isolati in SocialLinks, riutilizzabile ed estendibile a nuovi canali.</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1"/>
                <w:szCs w:val="21"/>
              </w:rPr>
              <w:t xml:space="preserve">Loghi SVG inline</w:t>
            </w:r>
          </w:p>
        </w:tc>
        <w:tc>
          <w:tcPr>
            <w:tcW w:type="dxa" w:w="6420"/>
            <w:tcMar>
              <w:top w:type="dxa" w:w="60"/>
              <w:left w:type="dxa" w:w="110"/>
              <w:bottom w:type="dxa" w:w="60"/>
              <w:right w:type="dxa" w:w="110"/>
            </w:tcMar>
          </w:tcPr>
          <w:p>
            <w:r>
              <w:rPr>
                <w:rFonts w:ascii="Calibri" w:cs="Calibri" w:eastAsia="Calibri" w:hAnsi="Calibri"/>
                <w:b w:val="false"/>
                <w:bCs w:val="false"/>
                <w:color w:val="222222"/>
                <w:sz w:val="21"/>
                <w:szCs w:val="21"/>
              </w:rPr>
              <w:t xml:space="preserve">aggira la rimozione delle icone brand da lucide-react, senza dipendenze extra.</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1"/>
                <w:szCs w:val="21"/>
              </w:rPr>
              <w:t xml:space="preserve">Colore via variabile CSS</w:t>
            </w:r>
          </w:p>
        </w:tc>
        <w:tc>
          <w:tcPr>
            <w:tcW w:type="dxa" w:w="6420"/>
            <w:tcMar>
              <w:top w:type="dxa" w:w="60"/>
              <w:left w:type="dxa" w:w="110"/>
              <w:bottom w:type="dxa" w:w="60"/>
              <w:right w:type="dxa" w:w="110"/>
            </w:tcMar>
          </w:tcPr>
          <w:p>
            <w:r>
              <w:rPr>
                <w:rFonts w:ascii="Calibri" w:cs="Calibri" w:eastAsia="Calibri" w:hAnsi="Calibri"/>
                <w:b w:val="false"/>
                <w:bCs w:val="false"/>
                <w:color w:val="222222"/>
                <w:sz w:val="21"/>
                <w:szCs w:val="21"/>
              </w:rPr>
              <w:t xml:space="preserve">un solo foglio di stile per entrambi i pulsanti; la tinta cambia con --brand-rgb.</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1"/>
                <w:szCs w:val="21"/>
              </w:rPr>
              <w:t xml:space="preserve">Stile glass condiviso</w:t>
            </w:r>
          </w:p>
        </w:tc>
        <w:tc>
          <w:tcPr>
            <w:tcW w:type="dxa" w:w="6420"/>
            <w:tcMar>
              <w:top w:type="dxa" w:w="60"/>
              <w:left w:type="dxa" w:w="110"/>
              <w:bottom w:type="dxa" w:w="60"/>
              <w:right w:type="dxa" w:w="110"/>
            </w:tcMar>
          </w:tcPr>
          <w:p>
            <w:r>
              <w:rPr>
                <w:rFonts w:ascii="Calibri" w:cs="Calibri" w:eastAsia="Calibri" w:hAnsi="Calibri"/>
                <w:b w:val="false"/>
                <w:bCs w:val="false"/>
                <w:color w:val="222222"/>
                <w:sz w:val="21"/>
                <w:szCs w:val="21"/>
              </w:rPr>
              <w:t xml:space="preserve">stessa base della barra di ricerca e del menù utente, per coerenza visiva.</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1"/>
                <w:szCs w:val="21"/>
              </w:rPr>
              <w:t xml:space="preserve">Etichette via i18n</w:t>
            </w:r>
          </w:p>
        </w:tc>
        <w:tc>
          <w:tcPr>
            <w:tcW w:type="dxa" w:w="6420"/>
            <w:tcMar>
              <w:top w:type="dxa" w:w="60"/>
              <w:left w:type="dxa" w:w="110"/>
              <w:bottom w:type="dxa" w:w="60"/>
              <w:right w:type="dxa" w:w="110"/>
            </w:tcMar>
          </w:tcPr>
          <w:p>
            <w:r>
              <w:rPr>
                <w:rFonts w:ascii="Calibri" w:cs="Calibri" w:eastAsia="Calibri" w:hAnsi="Calibri"/>
                <w:b w:val="false"/>
                <w:bCs w:val="false"/>
                <w:color w:val="222222"/>
                <w:sz w:val="21"/>
                <w:szCs w:val="21"/>
              </w:rPr>
              <w:t xml:space="preserve">namespace “social” in IT/EN; nessuna stringa fissa nel codice.</w:t>
            </w:r>
          </w:p>
        </w:tc>
      </w:tr>
    </w:tbl>
    <w:p>
      <w:pPr>
        <w:pStyle w:val="Heading2"/>
        <w:keepNext/>
        <w:spacing w:after="100" w:before="260"/>
      </w:pPr>
      <w:r>
        <w:rPr>
          <w:rFonts w:ascii="Calibri" w:cs="Calibri" w:eastAsia="Calibri" w:hAnsi="Calibri"/>
          <w:b/>
          <w:bCs/>
          <w:color w:val="1A1F3A"/>
          <w:sz w:val="27"/>
          <w:szCs w:val="27"/>
        </w:rPr>
        <w:t xml:space="preserve">9. Prossimi passi</w:t>
      </w:r>
    </w:p>
    <w:p>
      <w:pPr>
        <w:spacing w:after="140" w:line="276"/>
        <w:jc w:val="both"/>
      </w:pPr>
      <w:r>
        <w:rPr>
          <w:rFonts w:ascii="Calibri" w:cs="Calibri" w:eastAsia="Calibri" w:hAnsi="Calibri"/>
          <w:b w:val="false"/>
          <w:bCs w:val="false"/>
          <w:i w:val="false"/>
          <w:iCs w:val="false"/>
          <w:color w:val="222222"/>
          <w:sz w:val="22"/>
          <w:szCs w:val="22"/>
        </w:rPr>
        <w:t xml:space="preserve">Restano da completare gli href con l’invito reale al server Discord e il canale Twitch del progetto. Nello stesso spazio dell’header è prevista, in un task successivo (T11), la campanella delle notifiche, che seguirà lo stesso stile glass dei pulsanti social qui introdotti.</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7E3" w:sz="4" w:space="6"/>
      </w:pBdr>
      <w:tabs>
        <w:tab w:val="right" w:pos="9020"/>
      </w:tabs>
    </w:pPr>
    <w:r>
      <w:rPr>
        <w:rFonts w:ascii="Calibri" w:cs="Calibri" w:eastAsia="Calibri" w:hAnsi="Calibri"/>
        <w:color w:val="6B7280"/>
        <w:sz w:val="16"/>
        <w:szCs w:val="16"/>
      </w:rPr>
      <w:t xml:space="preserve">Arcadium · ACE5 — M5-T6 · Pulsanti social Discord e Twitch</w:t>
    </w:r>
    <w:r>
      <w:rPr>
        <w:rFonts w:ascii="Calibri" w:cs="Calibri" w:eastAsia="Calibri" w:hAnsi="Calibri"/>
        <w:color w:val="6B7280"/>
        <w:sz w:val="16"/>
        <w:szCs w:val="16"/>
      </w:rPr>
      <w:t xml:space="preserve">	pag.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7C5C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M5-T6 · Pulsanti social Discord e Twitch</dc:title>
  <dc:creator>Arcadium · ACE5</dc:creator>
  <cp:lastModifiedBy>Un-named</cp:lastModifiedBy>
  <cp:revision>1</cp:revision>
  <dcterms:created xsi:type="dcterms:W3CDTF">2026-07-05T18:58:23.754Z</dcterms:created>
  <dcterms:modified xsi:type="dcterms:W3CDTF">2026-07-05T18:58:23.766Z</dcterms:modified>
</cp:coreProperties>
</file>

<file path=docProps/custom.xml><?xml version="1.0" encoding="utf-8"?>
<Properties xmlns="http://schemas.openxmlformats.org/officeDocument/2006/custom-properties" xmlns:vt="http://schemas.openxmlformats.org/officeDocument/2006/docPropsVTypes"/>
</file>