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C5CFF"/>
          <w:sz w:val="20"/>
          <w:szCs w:val="20"/>
        </w:rPr>
        <w:t xml:space="preserve">Progetto Arcadium — ACE5</w:t>
      </w:r>
    </w:p>
    <w:p>
      <w:pPr>
        <w:pStyle w:val="Heading1"/>
      </w:pPr>
      <w:r>
        <w:t xml:space="preserve">Setup Next.js, routing e tema (palette violet)</w:t>
      </w:r>
    </w:p>
    <w:p>
      <w:pPr>
        <w:pBdr>
          <w:bottom w:val="single" w:color="7C5CFF" w:sz="6" w:space="4"/>
        </w:pBdr>
        <w:spacing w:after="80"/>
      </w:pPr>
      <w:r>
        <w:rPr>
          <w:i/>
          <w:iCs/>
          <w:color w:val="6B7280"/>
          <w:sz w:val="21"/>
          <w:szCs w:val="21"/>
        </w:rPr>
        <w:t xml:space="preserve">Milestone M5 — Frontend React · Task T1</w:t>
      </w:r>
    </w:p>
    <w:p>
      <w:pPr>
        <w:spacing w:after="120" w:line="276"/>
      </w:pPr>
      <w:r>
        <w:t xml:space="preserve">Documento di riferimento per l’inizializzazione del frontend di Arcadium: scaffolding del progetto Next.js, struttura delle cartelle, sistema di routing e definizione del tema scuro con palette violet, in coerenza con i mockup e con il logo forniti dal cliente.</w:t>
      </w:r>
    </w:p>
    <w:p>
      <w:pPr>
        <w:pStyle w:val="Heading2"/>
      </w:pPr>
      <w:r>
        <w:t xml:space="preserve">1. Obiettivo</w:t>
      </w:r>
    </w:p>
    <w:p>
      <w:pPr>
        <w:spacing w:after="120" w:line="276"/>
      </w:pPr>
      <w:r>
        <w:t xml:space="preserve">Predisporre la base del frontend su cui costruiranno tutti i task successivi della milestone M5: un progetto Next.js avviabile, con routing già impostato verso le pagine principali dei mockup (Panoramica, Negozio, Libreria, Wishlist, Backlog, Statistiche, Community, Impostazioni, oltre a login/registrazione e dettaglio gioco) e un tema globale scuro con palette violet pronto per il design system del task T2.</w:t>
      </w:r>
    </w:p>
    <w:p>
      <w:pPr>
        <w:pStyle w:val="Heading2"/>
      </w:pPr>
      <w:r>
        <w:t xml:space="preserve">2. Stack e scelte tecniche</w:t>
      </w:r>
    </w:p>
    <w:p>
      <w:pPr>
        <w:spacing w:after="120" w:line="276"/>
      </w:pPr>
      <w:r>
        <w:t xml:space="preserve">Il backlog indicava in origine “React + Vite”. Si è scelto invece Next.js (App Router) come da indicazione di progetto, perché offre routing basato sul file system, rendering server/statico, struttura a layout annidati e una migliore organizzazione del codice. La scelta non cambia gli obiettivi del task, solo lo strumento di base.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120"/>
      </w:tblGrid>
      <w:tr>
        <w:trPr>
          <w:tblHeader/>
        </w:trPr>
        <w:tc>
          <w:tcPr>
            <w:tcW w:type="dxa" w:w="2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Ambito</w:t>
            </w:r>
          </w:p>
        </w:tc>
        <w:tc>
          <w:tcPr>
            <w:tcW w:type="dxa" w:w="29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Scelta</w:t>
            </w:r>
          </w:p>
        </w:tc>
        <w:tc>
          <w:tcPr>
            <w:tcW w:type="dxa" w:w="41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29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dxa" w:w="41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Routing file-system, layout annidati, Server Components.</w:t>
            </w:r>
          </w:p>
        </w:tc>
      </w:tr>
      <w:tr>
        <w:tc>
          <w:tcPr>
            <w:tcW w:type="dxa" w:w="2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Linguaggio</w:t>
            </w:r>
          </w:p>
        </w:tc>
        <w:tc>
          <w:tcPr>
            <w:tcW w:type="dxa" w:w="29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41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Tipizzazione di props, DTO e risposte API.</w:t>
            </w:r>
          </w:p>
        </w:tc>
      </w:tr>
      <w:tr>
        <w:tc>
          <w:tcPr>
            <w:tcW w:type="dxa" w:w="2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UI library</w:t>
            </w:r>
          </w:p>
        </w:tc>
        <w:tc>
          <w:tcPr>
            <w:tcW w:type="dxa" w:w="29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React 19.2</w:t>
            </w:r>
          </w:p>
        </w:tc>
        <w:tc>
          <w:tcPr>
            <w:tcW w:type="dxa" w:w="41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Inclusa con Next.js 16.</w:t>
            </w:r>
          </w:p>
        </w:tc>
      </w:tr>
      <w:tr>
        <w:tc>
          <w:tcPr>
            <w:tcW w:type="dxa" w:w="2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Bundler / dev</w:t>
            </w:r>
          </w:p>
        </w:tc>
        <w:tc>
          <w:tcPr>
            <w:tcW w:type="dxa" w:w="29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Turbopack</w:t>
            </w:r>
          </w:p>
        </w:tc>
        <w:tc>
          <w:tcPr>
            <w:tcW w:type="dxa" w:w="41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Default su Next.js 16 (next dev / next build).</w:t>
            </w:r>
          </w:p>
        </w:tc>
      </w:tr>
      <w:tr>
        <w:tc>
          <w:tcPr>
            <w:tcW w:type="dxa" w:w="2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29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Node.js 20+</w:t>
            </w:r>
          </w:p>
        </w:tc>
        <w:tc>
          <w:tcPr>
            <w:tcW w:type="dxa" w:w="41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Requisito minimo di Next.js 16.</w:t>
            </w:r>
          </w:p>
        </w:tc>
      </w:tr>
      <w:tr>
        <w:tc>
          <w:tcPr>
            <w:tcW w:type="dxa" w:w="2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29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Tailwind CSS + CSS variables</w:t>
            </w:r>
          </w:p>
        </w:tc>
        <w:tc>
          <w:tcPr>
            <w:tcW w:type="dxa" w:w="41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Token del tema (palette violet) come variabili CSS.</w:t>
            </w:r>
          </w:p>
        </w:tc>
      </w:tr>
      <w:tr>
        <w:tc>
          <w:tcPr>
            <w:tcW w:type="dxa" w:w="20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Lint / format</w:t>
            </w:r>
          </w:p>
        </w:tc>
        <w:tc>
          <w:tcPr>
            <w:tcW w:type="dxa" w:w="29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41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Stile di codice condiviso nel team.</w:t>
            </w:r>
          </w:p>
        </w:tc>
      </w:tr>
    </w:tbl>
    <w:p>
      <w:pPr>
        <w:pStyle w:val="Heading2"/>
      </w:pPr>
      <w:r>
        <w:t xml:space="preserve">3. Inizializzazione del progetto</w:t>
      </w:r>
    </w:p>
    <w:p>
      <w:pPr>
        <w:spacing w:after="120" w:line="276"/>
      </w:pPr>
      <w:r>
        <w:t xml:space="preserve">Il progetto è stato creato con lo scaffolder ufficiale, attivando TypeScript, Tailwind, ESLint, App Router e la cartella src/:</w:t>
      </w:r>
    </w:p>
    <w:p>
      <w:pPr>
        <w:shd w:fill="F4F4F7" w:val="clear"/>
        <w:spacing w:after="140" w:before="40"/>
      </w:pPr>
      <w:r>
        <w:rPr>
          <w:rFonts w:ascii="Consolas" w:cs="Consolas" w:eastAsia="Consolas" w:hAnsi="Consolas"/>
          <w:sz w:val="19"/>
          <w:szCs w:val="19"/>
        </w:rPr>
        <w:t xml:space="preserve">npx create-next-app@latest frontend --typescript --tailwind --eslint --app --src-dir</w:t>
      </w:r>
    </w:p>
    <w:p>
      <w:pPr>
        <w:spacing w:after="120" w:line="276"/>
      </w:pPr>
      <w:r>
        <w:t xml:space="preserve">Avvio in sviluppo: </w:t>
      </w:r>
      <w:r>
        <w:rPr>
          <w:b/>
          <w:bCs/>
        </w:rPr>
        <w:t xml:space="preserve">npm run dev</w:t>
      </w:r>
      <w:r>
        <w:t xml:space="preserve"> → applicazione su http://localhost:3000. L’URL del backend è esposto come variabile d’ambiente (NEXT_PUBLIC_API_URL) per le chiamate future.</w:t>
      </w:r>
    </w:p>
    <w:p>
      <w:pPr>
        <w:pStyle w:val="Heading2"/>
      </w:pPr>
      <w:r>
        <w:t xml:space="preserve">4. Struttura delle cartelle</w:t>
      </w:r>
    </w:p>
    <w:p>
      <w:pPr>
        <w:spacing w:after="120" w:line="276"/>
      </w:pPr>
      <w:r>
        <w:t xml:space="preserve">La struttura segue l’organizzazione concordata nel team (cartella frontend/), adattata alle convenzioni dell’App Router: le pagine vivono sotto src/app/ come route, mentre le altre cartelle ospitano componenti, contesti, hook, traduzioni, tema e utilità.</w:t>
      </w:r>
    </w:p>
    <w:p>
      <w:pPr>
        <w:shd w:fill="F4F4F7" w:val="clear"/>
        <w:spacing w:after="140" w:before="40"/>
      </w:pPr>
      <w:r>
        <w:rPr>
          <w:rFonts w:ascii="Consolas" w:cs="Consolas" w:eastAsia="Consolas" w:hAnsi="Consolas"/>
          <w:sz w:val="19"/>
          <w:szCs w:val="19"/>
        </w:rPr>
        <w:t xml:space="preserve">frontend/</w:t>
      </w:r>
      <w:r>
        <w:rPr>
          <w:rFonts w:ascii="Consolas" w:cs="Consolas" w:eastAsia="Consolas" w:hAnsi="Consolas"/>
          <w:sz w:val="19"/>
          <w:szCs w:val="19"/>
        </w:rPr>
        <w:br/>
        <w:t xml:space="preserve">  src/</w:t>
      </w:r>
      <w:r>
        <w:rPr>
          <w:rFonts w:ascii="Consolas" w:cs="Consolas" w:eastAsia="Consolas" w:hAnsi="Consolas"/>
          <w:sz w:val="19"/>
          <w:szCs w:val="19"/>
        </w:rPr>
        <w:br/>
        <w:t xml:space="preserve">    app/                route dell'App Router (vedi sez. 5)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(auth)/           gruppo route senza sidebar (login, registrazione)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(app)/            gruppo route con layout autenticato (sidebar+header)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layout.tsx        layout radice (provider, tema, i18n)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globals.css       reset + variabili CSS del tema</w:t>
      </w:r>
      <w:r>
        <w:rPr>
          <w:rFonts w:ascii="Consolas" w:cs="Consolas" w:eastAsia="Consolas" w:hAnsi="Consolas"/>
          <w:sz w:val="19"/>
          <w:szCs w:val="19"/>
        </w:rPr>
        <w:br/>
        <w:t xml:space="preserve">    components/         componenti riutilizzabili (T2)</w:t>
      </w:r>
      <w:r>
        <w:rPr>
          <w:rFonts w:ascii="Consolas" w:cs="Consolas" w:eastAsia="Consolas" w:hAnsi="Consolas"/>
          <w:sz w:val="19"/>
          <w:szCs w:val="19"/>
        </w:rPr>
        <w:br/>
        <w:t xml:space="preserve">    layouts/            layout principale (sidebar, header, ricerca) (T4)</w:t>
      </w:r>
      <w:r>
        <w:rPr>
          <w:rFonts w:ascii="Consolas" w:cs="Consolas" w:eastAsia="Consolas" w:hAnsi="Consolas"/>
          <w:sz w:val="19"/>
          <w:szCs w:val="19"/>
        </w:rPr>
        <w:br/>
        <w:t xml:space="preserve">    api/                client e chiamate al backend</w:t>
      </w:r>
      <w:r>
        <w:rPr>
          <w:rFonts w:ascii="Consolas" w:cs="Consolas" w:eastAsia="Consolas" w:hAnsi="Consolas"/>
          <w:sz w:val="19"/>
          <w:szCs w:val="19"/>
        </w:rPr>
        <w:br/>
        <w:t xml:space="preserve">    context/            stato auth e lingua</w:t>
      </w:r>
      <w:r>
        <w:rPr>
          <w:rFonts w:ascii="Consolas" w:cs="Consolas" w:eastAsia="Consolas" w:hAnsi="Consolas"/>
          <w:sz w:val="19"/>
          <w:szCs w:val="19"/>
        </w:rPr>
        <w:br/>
        <w:t xml:space="preserve">    hooks/              hook personalizzati</w:t>
      </w:r>
      <w:r>
        <w:rPr>
          <w:rFonts w:ascii="Consolas" w:cs="Consolas" w:eastAsia="Consolas" w:hAnsi="Consolas"/>
          <w:sz w:val="19"/>
          <w:szCs w:val="19"/>
        </w:rPr>
        <w:br/>
        <w:t xml:space="preserve">    i18n/               react-i18next, locali IT/EN (T3)</w:t>
      </w:r>
      <w:r>
        <w:rPr>
          <w:rFonts w:ascii="Consolas" w:cs="Consolas" w:eastAsia="Consolas" w:hAnsi="Consolas"/>
          <w:sz w:val="19"/>
          <w:szCs w:val="19"/>
        </w:rPr>
        <w:br/>
        <w:t xml:space="preserve">    theme/              palette violet, token, stili globali</w:t>
      </w:r>
      <w:r>
        <w:rPr>
          <w:rFonts w:ascii="Consolas" w:cs="Consolas" w:eastAsia="Consolas" w:hAnsi="Consolas"/>
          <w:sz w:val="19"/>
          <w:szCs w:val="19"/>
        </w:rPr>
        <w:br/>
        <w:t xml:space="preserve">    assets/             logo, immagini, fallback GameImage</w:t>
      </w:r>
      <w:r>
        <w:rPr>
          <w:rFonts w:ascii="Consolas" w:cs="Consolas" w:eastAsia="Consolas" w:hAnsi="Consolas"/>
          <w:sz w:val="19"/>
          <w:szCs w:val="19"/>
        </w:rPr>
        <w:br/>
        <w:t xml:space="preserve">    utils/              funzioni di supporto</w:t>
      </w:r>
    </w:p>
    <w:p>
      <w:pPr>
        <w:pStyle w:val="Heading2"/>
      </w:pPr>
      <w:r>
        <w:t xml:space="preserve">5. Routing (App Router)</w:t>
      </w:r>
    </w:p>
    <w:p>
      <w:pPr>
        <w:spacing w:after="120" w:line="276"/>
      </w:pPr>
      <w:r>
        <w:t xml:space="preserve">Ogni schermata dei mockup corrisponde a una route. Le pagine autenticate condividono un layout con sidebar e header (gruppo (app)); login e registrazione usano un layout dedicato senza sidebar (gruppo (auth)). Il dettaglio gioco è una route dinamica che usa l’app_id del catalogo (chiave primaria definita in M1).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0"/>
      </w:tblGrid>
      <w:tr>
        <w:trPr>
          <w:tblHeader/>
        </w:trP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Pagina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Panoramica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Dashboard iniziale dopo il login.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Negozio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/negozio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Catalogo Steam con filtri (genere, prezzo, sconto…).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Libreria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/libreria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Giochi posseduti con stato e tempo di gioco.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Wishlist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/wishlist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Lista desideri con prezzo e notifica calo.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Backlog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/backlog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Gestione stati: in corso / finito / abbandonato.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Statistiche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/statistiche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KPI e grafici (Recharts in M5-T12).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Community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/community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Sezione sociale.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Impostazioni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/impostazioni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Profilo, lingua, collegamento Steam.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Dettaglio gioco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/giochi/[appId]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Route dinamica su app_id.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Gruppo (auth), layout senza sidebar.</w:t>
            </w:r>
          </w:p>
        </w:tc>
      </w:tr>
      <w:tr>
        <w:tc>
          <w:tcPr>
            <w:tcW w:type="dxa" w:w="23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Registrazione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/registrazione</w:t>
            </w:r>
          </w:p>
        </w:tc>
        <w:tc>
          <w:tcPr>
            <w:tcW w:type="dxa" w:w="40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Gruppo (auth).</w:t>
            </w:r>
          </w:p>
        </w:tc>
      </w:tr>
    </w:tbl>
    <w:p>
      <w:pPr>
        <w:pStyle w:val="Heading2"/>
      </w:pPr>
      <w:r>
        <w:t xml:space="preserve">6. Tema e palette violet</w:t>
      </w:r>
    </w:p>
    <w:p>
      <w:pPr>
        <w:spacing w:after="120" w:line="276"/>
      </w:pPr>
      <w:r>
        <w:t xml:space="preserve">Il tema è scuro, con sfondo blu-navy molto profondo e accento violet a gradiente (coerente con logo e pulsanti dei mockup). I colori sono definiti come variabili CSS nel tema e mappati su Tailwind, così da essere riutilizzabili dal design system del T2. I valori seguenti sono i token di partenza e possono essere rifiniti sui mockup definitivi.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0"/>
      </w:tblGrid>
      <w:tr>
        <w:trPr>
          <w:tblHeader/>
        </w:trP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Valore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--bg-base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#0B0E1A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Sfondo principale dell’app.</w:t>
            </w:r>
          </w:p>
        </w:tc>
      </w:tr>
      <w:t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--surface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#161B2E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Card, pannelli, barra di ricerca.</w:t>
            </w:r>
          </w:p>
        </w:tc>
      </w:tr>
      <w:t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--surface-2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#1E2438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Superfici elevate, menu, dropdown.</w:t>
            </w:r>
          </w:p>
        </w:tc>
      </w:tr>
      <w:t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--border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#2A3150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Bordi e separatori.</w:t>
            </w:r>
          </w:p>
        </w:tc>
      </w:tr>
      <w:t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--violet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#7C5CFF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Colore primario / brand.</w:t>
            </w:r>
          </w:p>
        </w:tc>
      </w:tr>
      <w:t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--gradient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#7C5CFF → #5B7CFA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Pulsanti primari, evidenziazioni.</w:t>
            </w:r>
          </w:p>
        </w:tc>
      </w:tr>
      <w:t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--text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#E8EAF2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Testo principale.</w:t>
            </w:r>
          </w:p>
        </w:tc>
      </w:tr>
      <w:t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--text-muted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#8B92A8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Testo secondario, label.</w:t>
            </w:r>
          </w:p>
        </w:tc>
      </w:tr>
      <w:tr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--success</w:t>
            </w:r>
          </w:p>
        </w:tc>
        <w:tc>
          <w:tcPr>
            <w:tcW w:type="dxa" w:w="26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#2DD4A7</w:t>
            </w:r>
          </w:p>
        </w:tc>
        <w:tc>
          <w:tcPr>
            <w:tcW w:type="dxa" w:w="38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Sconti, “Gratis”, calo prezzo.</w:t>
            </w:r>
          </w:p>
        </w:tc>
      </w:tr>
    </w:tbl>
    <w:p>
      <w:pPr>
        <w:pStyle w:val="Heading2"/>
      </w:pPr>
      <w:r>
        <w:t xml:space="preserve">7. Configurazione di base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Alias di import @/* verso src/ (tsconfig + Tailwind), per percorsi puliti.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globals.css con reset, variabili del tema e classe base sul body (sfondo scuro, font UI).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ESLint + Prettier con configurazione condivisa per uniformare lo stile nel team.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Variabile d’ambiente NEXT_PUBLIC_API_URL per puntare al backend Spring Boot (M4).</w:t>
      </w:r>
    </w:p>
    <w:p>
      <w:pPr>
        <w:pStyle w:val="Heading2"/>
      </w:pPr>
      <w:r>
        <w:t xml:space="preserve">8. Avvio e verifica</w:t>
      </w:r>
    </w:p>
    <w:p>
      <w:pPr>
        <w:spacing w:after="120" w:line="276"/>
      </w:pPr>
      <w:r>
        <w:t xml:space="preserve">Dopo npm install, il comando npm run dev avvia il server di sviluppo; la home risponde su /, la sidebar (placeholder in questo task) consente di raggiungere le route principali, e il tema scuro con accento violet è applicato globalmente. Build di produzione con npm run build.</w:t>
      </w:r>
    </w:p>
    <w:p>
      <w:pPr>
        <w:pStyle w:val="Heading2"/>
      </w:pPr>
      <w:r>
        <w:t xml:space="preserve">9. Prossimi passi</w:t>
      </w:r>
    </w:p>
    <w:p>
      <w:pPr>
        <w:spacing w:after="120" w:line="276"/>
      </w:pPr>
      <w:r>
        <w:t xml:space="preserve">Con la base pronta, il task T2 definisce il design system e i componenti riutilizzabili a partire dai mockup; il task T3 introduce l’internazionalizzazione IT/EN e il cambio lingua; il task T4 costruisce il layout principale (sidebar, header, barra di ricerca) sulle route qui predisposte.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A1F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1F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9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2026-06-29T15:41:12.051Z</dcterms:created>
  <dcterms:modified xsi:type="dcterms:W3CDTF">2026-06-29T15:41:12.052Z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