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C5CFF"/>
          <w:sz w:val="20"/>
          <w:szCs w:val="20"/>
        </w:rPr>
        <w:t xml:space="preserve">Progetto Arcadium — ACE5</w:t>
      </w:r>
    </w:p>
    <w:p>
      <w:pPr>
        <w:pStyle w:val="Heading1"/>
      </w:pPr>
      <w:r>
        <w:t xml:space="preserve">Design system e componenti base dai mockup</w:t>
      </w:r>
    </w:p>
    <w:p>
      <w:pPr>
        <w:pBdr>
          <w:bottom w:val="single" w:color="7C5CFF" w:sz="6" w:space="4"/>
        </w:pBdr>
        <w:spacing w:after="80"/>
      </w:pPr>
      <w:r>
        <w:rPr>
          <w:i/>
          <w:iCs/>
          <w:color w:val="6B7280"/>
          <w:sz w:val="21"/>
          <w:szCs w:val="21"/>
        </w:rPr>
        <w:t xml:space="preserve">Milestone M5 — Frontend React · Task T2</w:t>
      </w:r>
    </w:p>
    <w:p>
      <w:pPr>
        <w:spacing w:after="120" w:line="276"/>
      </w:pPr>
      <w:r>
        <w:t xml:space="preserve">Documento di riferimento per la definizione del design system di Arcadium: token visivi (colori, tipografia, spaziatura) e libreria di componenti base riutilizzabili, estratti direttamente dai mockup forniti dal cliente. È la base su cui verranno montati layout e pagine nei task successivi.</w:t>
      </w:r>
    </w:p>
    <w:p>
      <w:pPr>
        <w:pStyle w:val="Heading2"/>
      </w:pPr>
      <w:r>
        <w:t xml:space="preserve">1. Obiettivo</w:t>
      </w:r>
    </w:p>
    <w:p>
      <w:pPr>
        <w:spacing w:after="120" w:line="276"/>
      </w:pPr>
      <w:r>
        <w:t xml:space="preserve">Tradurre i mockup in un insieme coerente di token e componenti riutilizzabili, in modo che tutte le pagine della milestone M5 condividano lo stesso linguaggio visivo ed evitino duplicazioni. I componenti sono tipizzati (TypeScript) e parametrizzati tramite props/varianti.</w:t>
      </w:r>
    </w:p>
    <w:p>
      <w:pPr>
        <w:pStyle w:val="Heading2"/>
      </w:pPr>
      <w:r>
        <w:t xml:space="preserve">2. Token visivi</w:t>
      </w:r>
    </w:p>
    <w:p>
      <w:pPr>
        <w:pStyle w:val="Heading3"/>
      </w:pPr>
      <w:r>
        <w:t xml:space="preserve">2.1 Colori</w:t>
      </w:r>
    </w:p>
    <w:p>
      <w:pPr>
        <w:spacing w:after="120" w:line="276"/>
      </w:pPr>
      <w:r>
        <w:t xml:space="preserve">I colori riprendono i token del tema definiti nel task T1 (variabili CSS, palette violet su fondo scuro). Vengono qui aggiunti i colori semantici di stato usati dai badge.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0"/>
      </w:tblGrid>
      <w:tr>
        <w:trPr>
          <w:tblHeader/>
        </w:trP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Ruolo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Valore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Primario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#7C5CFF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Pulsanti primari, link attivi, brand.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Gradiente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#7C5CFF → #5B7CFA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CTA principali (es. “Accedi”, “Acquista su Steam”).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Superficie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#161B2E / #1E2438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Card, pannelli, menu.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Successo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#2DD4A7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Sconti, “Gratis”, badge calo prezzo.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Stato — Mai giocato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Badge neutro.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Stato — In corso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#F59E0B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Badge ambra.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Stato — Finito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#34D399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Badge verde.</w:t>
            </w:r>
          </w:p>
        </w:tc>
      </w:tr>
      <w:tr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Stato — Abbandonato</w:t>
            </w:r>
          </w:p>
        </w:tc>
        <w:tc>
          <w:tcPr>
            <w:tcW w:type="dxa" w:w="27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#F43F5E</w:t>
            </w:r>
          </w:p>
        </w:tc>
        <w:tc>
          <w:tcPr>
            <w:tcW w:type="dxa" w:w="36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Badge rosso/rosa.</w:t>
            </w:r>
          </w:p>
        </w:tc>
      </w:tr>
    </w:tbl>
    <w:p>
      <w:pPr>
        <w:pStyle w:val="Heading3"/>
      </w:pPr>
      <w:r>
        <w:t xml:space="preserve">2.2 Tipografia, spaziatura e forme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Font UI: </w:t>
      </w:r>
      <w:r>
        <w:t xml:space="preserve">sans-serif (es. Inter), con pesi 400/500/600/700 per gerarchia.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Scala tipografica: </w:t>
      </w:r>
      <w:r>
        <w:t xml:space="preserve">titolo pagina (~24px), titolo sezione (~18px), corpo (~14px), label/caption (~12px).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Spaziatura: </w:t>
      </w:r>
      <w:r>
        <w:t xml:space="preserve">scala a step di 4px (4/8/12/16/24/32) per padding e gap coerenti.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Raggi: </w:t>
      </w:r>
      <w:r>
        <w:t xml:space="preserve">card e pulsanti arrotondati (~10–14px); pill per i badge.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rPr>
          <w:b/>
          <w:bCs/>
        </w:rPr>
        <w:t xml:space="preserve">Ombre/glow: </w:t>
      </w:r>
      <w:r>
        <w:t xml:space="preserve">elevazione tenue sulle card; lieve glow violet sugli elementi attivi.</w:t>
      </w:r>
    </w:p>
    <w:p>
      <w:pPr>
        <w:pStyle w:val="Heading2"/>
      </w:pPr>
      <w:r>
        <w:t xml:space="preserve">3. Componenti base</w:t>
      </w:r>
    </w:p>
    <w:p>
      <w:pPr>
        <w:spacing w:after="120" w:line="276"/>
      </w:pPr>
      <w:r>
        <w:t xml:space="preserve">Inventario dei componenti riutilizzabili individuati nei mockup. Ogni componente è un file dedicato in src/components/, con props tipizzate e varianti gestite via prop.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720"/>
      </w:tblGrid>
      <w:tr>
        <w:trPr>
          <w:tblHeader/>
        </w:trP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shd w:fill="EDE9F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Varianti / props principali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Button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Pulsante azione.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variant: primary (gradiente) | secondary | ghost | icon; size; disabled; loading.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StatusBadge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Stato gioco nel backlog/libreria.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status: mai_giocato | in_corso | finito | abbandonato (colore semantico).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DiscountBadge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Etichetta sconto sul negozio.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percent; mostra “-50%”, verde.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Input / PasswordInput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Campi form (login, ricerca).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label, error, icon; toggle visibilità password.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SearchBar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Barra di ricerca in alto.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placeholder, scorciatoia (Ctrl/), onChange con debounce.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NavItem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Voce della sidebar.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icon, label, href, active.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GameCard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Card gioco in libreria.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cover, titolo, ore, achievement, StatusBadge, dropdown stato.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StoreCard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Card gioco nel negozio.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cover, prezzo/sconto, CTA “Acquista/Ottieni su Steam”.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WishlistRow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Riga lista wishlist.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cover, titolo, generi, prezzo, stato notifica prezzo.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StatCard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Riquadro KPI statistiche.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label, valore, eventuale unità.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Banner / Alert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Avviso a tutta larghezza.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variant: info | success (es. “Account Steam collegato”, calo prezzo).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Dropdown / Select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Filtri e selezione stato.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options, value, multiple (filtri negozio).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Avatar / UserMenu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Menu utente in alto a destra.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nome, avatar, voci menu (es. “Luca”).</w:t>
            </w:r>
          </w:p>
        </w:tc>
      </w:tr>
      <w:tr>
        <w:tc>
          <w:tcPr>
            <w:tcW w:type="dxa" w:w="22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Card / Panel</w:t>
            </w:r>
          </w:p>
        </w:tc>
        <w:tc>
          <w:tcPr>
            <w:tcW w:type="dxa" w:w="310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Contenitore generico.</w:t>
            </w:r>
          </w:p>
        </w:tc>
        <w:tc>
          <w:tcPr>
            <w:tcW w:type="dxa" w:w="3720"/>
            <w:tcBorders>
              <w:top w:val="single" w:color="D8D8E0" w:sz="1"/>
              <w:left w:val="single" w:color="D8D8E0" w:sz="1"/>
              <w:bottom w:val="single" w:color="D8D8E0" w:sz="1"/>
              <w:right w:val="single" w:color="D8D8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padding, header opzionale; base per le altre card.</w:t>
            </w:r>
          </w:p>
        </w:tc>
      </w:tr>
    </w:tbl>
    <w:p>
      <w:pPr>
        <w:pStyle w:val="Heading2"/>
      </w:pPr>
      <w:r>
        <w:t xml:space="preserve">4. Convenzioni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Un componente per file, nominato in PascalCase (es. GameCard.tsx).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Props tipizzate con interface/type; varianti espresse via prop (non via duplicazione del componente).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Nessuna logica di dominio nei componenti base: solo presentazione e callback.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Le stringhe testuali passano dall’i18n (task T3): i componenti non contengono testo fisso in italiano.</w:t>
      </w:r>
    </w:p>
    <w:p>
      <w:pPr>
        <w:pStyle w:val="Heading2"/>
      </w:pPr>
      <w:r>
        <w:t xml:space="preserve">5. Stati e accessibilità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Stati interattivi definiti per ogni componente: default, hover, focus-visible, active, disabled.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Contrasto testo/sfondo adeguato sul tema scuro; focus visibile per la navigazione da tastiera.</w:t>
      </w:r>
    </w:p>
    <w:p>
      <w:pPr>
        <w:pStyle w:val="ListParagraph"/>
        <w:numPr>
          <w:ilvl w:val="0"/>
          <w:numId w:val="2"/>
        </w:numPr>
        <w:spacing w:after="40" w:line="270"/>
      </w:pPr>
      <w:r>
        <w:t xml:space="preserve">aria-label sui pulsanti icona e sugli elementi non testuali (es. toggle password, voci sidebar).</w:t>
      </w:r>
    </w:p>
    <w:p>
      <w:pPr>
        <w:pStyle w:val="Heading2"/>
      </w:pPr>
      <w:r>
        <w:t xml:space="preserve">6. Prossimi passi</w:t>
      </w:r>
    </w:p>
    <w:p>
      <w:pPr>
        <w:spacing w:after="120" w:line="276"/>
      </w:pPr>
      <w:r>
        <w:t xml:space="preserve">Con i componenti base pronti, il task T4 assembla il layout principale (sidebar, header, barra di ricerca); i task successivi costruiscono le singole pagine (catalogo, dettaglio, libreria, wishlist, backlog, statistiche, login/registrazione) componendo questi elementi.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1A1F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F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94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2026-06-29T15:41:12.103Z</dcterms:created>
  <dcterms:modified xsi:type="dcterms:W3CDTF">2026-06-29T15:41:12.103Z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