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C5CFF"/>
          <w:sz w:val="20"/>
          <w:szCs w:val="20"/>
        </w:rPr>
        <w:t xml:space="preserve">Progetto Arcadium — ACE5</w:t>
      </w:r>
    </w:p>
    <w:p>
      <w:pPr>
        <w:pStyle w:val="Heading1"/>
      </w:pPr>
      <w:r>
        <w:t xml:space="preserve">Internazionalizzazione IT/EN (react-i18next) e cambio lingua</w:t>
      </w:r>
    </w:p>
    <w:p>
      <w:pPr>
        <w:pBdr>
          <w:bottom w:val="single" w:color="7C5CFF" w:sz="6" w:space="4"/>
        </w:pBdr>
        <w:spacing w:after="80"/>
      </w:pPr>
      <w:r>
        <w:rPr>
          <w:i/>
          <w:iCs/>
          <w:color w:val="6B7280"/>
          <w:sz w:val="21"/>
          <w:szCs w:val="21"/>
        </w:rPr>
        <w:t xml:space="preserve">Milestone M5 — Frontend React · Task T3</w:t>
      </w:r>
    </w:p>
    <w:p>
      <w:pPr>
        <w:spacing w:after="120" w:line="276"/>
      </w:pPr>
      <w:r>
        <w:t xml:space="preserve">Documento di riferimento per l’internazionalizzazione del frontend: integrazione di react-i18next con Next.js, organizzazione delle traduzioni italiano/inglese, componente per il cambio lingua e persistenza della preferenza utente. Prepara inoltre l’aggancio con i messaggi server multilingua del backend (M4-T4).</w:t>
      </w:r>
    </w:p>
    <w:p>
      <w:pPr>
        <w:pStyle w:val="Heading2"/>
      </w:pPr>
      <w:r>
        <w:t xml:space="preserve">1. Obiettivo</w:t>
      </w:r>
    </w:p>
    <w:p>
      <w:pPr>
        <w:spacing w:after="120" w:line="276"/>
      </w:pPr>
      <w:r>
        <w:t xml:space="preserve">Rendere l’interfaccia disponibile in italiano e inglese, con cambio lingua immediato dall’header e memorizzazione della scelta dell’utente. Tutte le stringhe visibili passano dalle chiavi di traduzione: nessun testo fisso resta nei componenti.</w:t>
      </w:r>
    </w:p>
    <w:p>
      <w:pPr>
        <w:pStyle w:val="Heading2"/>
      </w:pPr>
      <w:r>
        <w:t xml:space="preserve">2. Libreria e approccio</w:t>
      </w:r>
    </w:p>
    <w:p>
      <w:pPr>
        <w:spacing w:after="120" w:line="276"/>
      </w:pPr>
      <w:r>
        <w:t xml:space="preserve">Come da backlog si adotta react-i18next (con il core i18next). In un progetto Next.js con App Router, l’istanza i18next viene inizializzata e fornita ai componenti tramite un provider lato client (I18nextProvider) montato nel layout radice; il rilevamento della lingua iniziale usa i18next-browser-languagedetector. La lingua di fallback è l’italiano.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0"/>
      </w:tblGrid>
      <w:tr>
        <w:trPr>
          <w:tblHeader/>
        </w:trPr>
        <w:tc>
          <w:tcPr>
            <w:tcW w:type="dxa" w:w="34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Pacchetto</w:t>
            </w:r>
          </w:p>
        </w:tc>
        <w:tc>
          <w:tcPr>
            <w:tcW w:type="dxa" w:w="56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Ruolo</w:t>
            </w:r>
          </w:p>
        </w:tc>
      </w:tr>
      <w:tr>
        <w:tc>
          <w:tcPr>
            <w:tcW w:type="dxa" w:w="34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i18next</w:t>
            </w:r>
          </w:p>
        </w:tc>
        <w:tc>
          <w:tcPr>
            <w:tcW w:type="dxa" w:w="56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Core del motore di traduzione.</w:t>
            </w:r>
          </w:p>
        </w:tc>
      </w:tr>
      <w:tr>
        <w:tc>
          <w:tcPr>
            <w:tcW w:type="dxa" w:w="34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react-i18next</w:t>
            </w:r>
          </w:p>
        </w:tc>
        <w:tc>
          <w:tcPr>
            <w:tcW w:type="dxa" w:w="56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Hook useTranslation e binding con i componenti React.</w:t>
            </w:r>
          </w:p>
        </w:tc>
      </w:tr>
      <w:tr>
        <w:tc>
          <w:tcPr>
            <w:tcW w:type="dxa" w:w="34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i18next-browser-languagedetector</w:t>
            </w:r>
          </w:p>
        </w:tc>
        <w:tc>
          <w:tcPr>
            <w:tcW w:type="dxa" w:w="56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Rilevamento lingua (localStorage, navigatore).</w:t>
            </w:r>
          </w:p>
        </w:tc>
      </w:tr>
    </w:tbl>
    <w:p>
      <w:pPr>
        <w:pStyle w:val="Heading2"/>
      </w:pPr>
      <w:r>
        <w:t xml:space="preserve">3. Struttura dei file</w:t>
      </w:r>
    </w:p>
    <w:p>
      <w:pPr>
        <w:spacing w:after="120" w:line="276"/>
      </w:pPr>
      <w:r>
        <w:t xml:space="preserve">Le traduzioni vivono in src/i18n/, suddivise per lingua e organizzate in namespace (un file JSON per area funzionale), così da mantenere i file piccoli e leggibili.</w:t>
      </w:r>
    </w:p>
    <w:p>
      <w:pPr>
        <w:shd w:fill="F4F4F7" w:val="clear"/>
        <w:spacing w:after="140" w:before="40"/>
      </w:pPr>
      <w:r>
        <w:rPr>
          <w:rFonts w:ascii="Consolas" w:cs="Consolas" w:eastAsia="Consolas" w:hAnsi="Consolas"/>
          <w:sz w:val="19"/>
          <w:szCs w:val="19"/>
        </w:rPr>
        <w:t xml:space="preserve">src/i18n/</w:t>
      </w:r>
      <w:r>
        <w:rPr>
          <w:rFonts w:ascii="Consolas" w:cs="Consolas" w:eastAsia="Consolas" w:hAnsi="Consolas"/>
          <w:sz w:val="19"/>
          <w:szCs w:val="19"/>
        </w:rPr>
        <w:br/>
        <w:t xml:space="preserve">  config.ts                inizializzazione i18next + detector</w:t>
      </w:r>
      <w:r>
        <w:rPr>
          <w:rFonts w:ascii="Consolas" w:cs="Consolas" w:eastAsia="Consolas" w:hAnsi="Consolas"/>
          <w:sz w:val="19"/>
          <w:szCs w:val="19"/>
        </w:rPr>
        <w:br/>
        <w:t xml:space="preserve">  locales/</w:t>
      </w:r>
      <w:r>
        <w:rPr>
          <w:rFonts w:ascii="Consolas" w:cs="Consolas" w:eastAsia="Consolas" w:hAnsi="Consolas"/>
          <w:sz w:val="19"/>
          <w:szCs w:val="19"/>
        </w:rPr>
        <w:br/>
        <w:t xml:space="preserve">    it/</w:t>
      </w:r>
      <w:r>
        <w:rPr>
          <w:rFonts w:ascii="Consolas" w:cs="Consolas" w:eastAsia="Consolas" w:hAnsi="Consolas"/>
          <w:sz w:val="19"/>
          <w:szCs w:val="19"/>
        </w:rPr>
        <w:br/>
        <w:t xml:space="preserve">      common.json  nav.json  auth.json  store.json</w:t>
      </w:r>
      <w:r>
        <w:rPr>
          <w:rFonts w:ascii="Consolas" w:cs="Consolas" w:eastAsia="Consolas" w:hAnsi="Consolas"/>
          <w:sz w:val="19"/>
          <w:szCs w:val="19"/>
        </w:rPr>
        <w:br/>
        <w:t xml:space="preserve">      library.json wishlist.json stats.json status.json</w:t>
      </w:r>
      <w:r>
        <w:rPr>
          <w:rFonts w:ascii="Consolas" w:cs="Consolas" w:eastAsia="Consolas" w:hAnsi="Consolas"/>
          <w:sz w:val="19"/>
          <w:szCs w:val="19"/>
        </w:rPr>
        <w:br/>
        <w:t xml:space="preserve">    en/</w:t>
      </w:r>
      <w:r>
        <w:rPr>
          <w:rFonts w:ascii="Consolas" w:cs="Consolas" w:eastAsia="Consolas" w:hAnsi="Consolas"/>
          <w:sz w:val="19"/>
          <w:szCs w:val="19"/>
        </w:rPr>
        <w:br/>
        <w:t xml:space="preserve">      common.json  nav.json  auth.json  store.json</w:t>
      </w:r>
      <w:r>
        <w:rPr>
          <w:rFonts w:ascii="Consolas" w:cs="Consolas" w:eastAsia="Consolas" w:hAnsi="Consolas"/>
          <w:sz w:val="19"/>
          <w:szCs w:val="19"/>
        </w:rPr>
        <w:br/>
        <w:t xml:space="preserve">      library.json wishlist.json stats.json status.json</w:t>
      </w:r>
    </w:p>
    <w:p>
      <w:pPr>
        <w:pStyle w:val="Heading2"/>
      </w:pPr>
      <w:r>
        <w:t xml:space="preserve">4. Namespace e organizzazione delle chiavi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0"/>
      </w:tblGrid>
      <w:tr>
        <w:trPr>
          <w:tblHeader/>
        </w:trP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Namespace</w:t>
            </w:r>
          </w:p>
        </w:tc>
        <w:tc>
          <w:tcPr>
            <w:tcW w:type="dxa" w:w="68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Contenuto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common</w:t>
            </w:r>
          </w:p>
        </w:tc>
        <w:tc>
          <w:tcPr>
            <w:tcW w:type="dxa" w:w="68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Azioni e termini generici: cerca, salva, annulla, conferma, caricamento, errore.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nav</w:t>
            </w:r>
          </w:p>
        </w:tc>
        <w:tc>
          <w:tcPr>
            <w:tcW w:type="dxa" w:w="68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Voci sidebar: Panoramica, Negozio, Libreria, Wishlist, Backlog, Statistiche, Community, Impostazioni.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68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Login/registrazione: Bentornato, Accedi, Email, Password, “Password dimenticata?”, errori.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store</w:t>
            </w:r>
          </w:p>
        </w:tc>
        <w:tc>
          <w:tcPr>
            <w:tcW w:type="dxa" w:w="68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Negozio: filtri (genere, prezzo, sconto…), “Sconti del momento”, “Acquista/Ottieni su Steam”.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library</w:t>
            </w:r>
          </w:p>
        </w:tc>
        <w:tc>
          <w:tcPr>
            <w:tcW w:type="dxa" w:w="68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Libreria: “La tua libreria”, ore di gioco, achievement, filtri stato.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wishlist</w:t>
            </w:r>
          </w:p>
        </w:tc>
        <w:tc>
          <w:tcPr>
            <w:tcW w:type="dxa" w:w="68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Wishlist: “La tua wishlist”, ordina per prezzo, “Notifica prezzo attiva”.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stats</w:t>
            </w:r>
          </w:p>
        </w:tc>
        <w:tc>
          <w:tcPr>
            <w:tcW w:type="dxa" w:w="68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Statistiche: “Giochi posseduti”, “Tempo totale”, “Completati”, “Achievement”.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8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Stati gioco: Mai giocato, In corso, Finito, Abbandonato.</w:t>
            </w:r>
          </w:p>
        </w:tc>
      </w:tr>
    </w:tbl>
    <w:p>
      <w:pPr>
        <w:pStyle w:val="Heading2"/>
      </w:pPr>
      <w:r>
        <w:t xml:space="preserve">5. Esempio di chiavi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00"/>
        <w:gridCol w:w="3000"/>
      </w:tblGrid>
      <w:tr>
        <w:trPr>
          <w:tblHeader/>
        </w:trPr>
        <w:tc>
          <w:tcPr>
            <w:tcW w:type="dxa" w:w="30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Chiave</w:t>
            </w:r>
          </w:p>
        </w:tc>
        <w:tc>
          <w:tcPr>
            <w:tcW w:type="dxa" w:w="3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</w:t>
            </w:r>
          </w:p>
        </w:tc>
        <w:tc>
          <w:tcPr>
            <w:tcW w:type="dxa" w:w="3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</w:t>
            </w:r>
          </w:p>
        </w:tc>
      </w:tr>
      <w:tr>
        <w:tc>
          <w:tcPr>
            <w:tcW w:type="dxa" w:w="30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nav.library</w:t>
            </w:r>
          </w:p>
        </w:tc>
        <w:tc>
          <w:tcPr>
            <w:tcW w:type="dxa" w:w="3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Libreria</w:t>
            </w:r>
          </w:p>
        </w:tc>
        <w:tc>
          <w:tcPr>
            <w:tcW w:type="dxa" w:w="3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Library</w:t>
            </w:r>
          </w:p>
        </w:tc>
      </w:tr>
      <w:tr>
        <w:tc>
          <w:tcPr>
            <w:tcW w:type="dxa" w:w="30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nav.wishlist</w:t>
            </w:r>
          </w:p>
        </w:tc>
        <w:tc>
          <w:tcPr>
            <w:tcW w:type="dxa" w:w="3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Wishlist</w:t>
            </w:r>
          </w:p>
        </w:tc>
        <w:tc>
          <w:tcPr>
            <w:tcW w:type="dxa" w:w="3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Wishlist</w:t>
            </w:r>
          </w:p>
        </w:tc>
      </w:tr>
      <w:tr>
        <w:tc>
          <w:tcPr>
            <w:tcW w:type="dxa" w:w="30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status.in_corso</w:t>
            </w:r>
          </w:p>
        </w:tc>
        <w:tc>
          <w:tcPr>
            <w:tcW w:type="dxa" w:w="3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 corso</w:t>
            </w:r>
          </w:p>
        </w:tc>
        <w:tc>
          <w:tcPr>
            <w:tcW w:type="dxa" w:w="3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30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status.finito</w:t>
            </w:r>
          </w:p>
        </w:tc>
        <w:tc>
          <w:tcPr>
            <w:tcW w:type="dxa" w:w="3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Finito</w:t>
            </w:r>
          </w:p>
        </w:tc>
        <w:tc>
          <w:tcPr>
            <w:tcW w:type="dxa" w:w="3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30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status.abbandonato</w:t>
            </w:r>
          </w:p>
        </w:tc>
        <w:tc>
          <w:tcPr>
            <w:tcW w:type="dxa" w:w="3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Abbandonato</w:t>
            </w:r>
          </w:p>
        </w:tc>
        <w:tc>
          <w:tcPr>
            <w:tcW w:type="dxa" w:w="3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Dropped</w:t>
            </w:r>
          </w:p>
        </w:tc>
      </w:tr>
      <w:tr>
        <w:tc>
          <w:tcPr>
            <w:tcW w:type="dxa" w:w="30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auth.signIn</w:t>
            </w:r>
          </w:p>
        </w:tc>
        <w:tc>
          <w:tcPr>
            <w:tcW w:type="dxa" w:w="3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Accedi</w:t>
            </w:r>
          </w:p>
        </w:tc>
        <w:tc>
          <w:tcPr>
            <w:tcW w:type="dxa" w:w="3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Sign in</w:t>
            </w:r>
          </w:p>
        </w:tc>
      </w:tr>
      <w:tr>
        <w:tc>
          <w:tcPr>
            <w:tcW w:type="dxa" w:w="30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store.buyOnSteam</w:t>
            </w:r>
          </w:p>
        </w:tc>
        <w:tc>
          <w:tcPr>
            <w:tcW w:type="dxa" w:w="3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Acquista su Steam</w:t>
            </w:r>
          </w:p>
        </w:tc>
        <w:tc>
          <w:tcPr>
            <w:tcW w:type="dxa" w:w="3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Buy on Steam</w:t>
            </w:r>
          </w:p>
        </w:tc>
      </w:tr>
    </w:tbl>
    <w:p>
      <w:pPr>
        <w:spacing w:after="120" w:line="276"/>
      </w:pPr>
      <w:r>
        <w:t xml:space="preserve">Nei componenti, le stringhe si ottengono con l’hook: const { t } = useTranslation(); poi t("nav.library").</w:t>
      </w:r>
    </w:p>
    <w:p>
      <w:pPr>
        <w:pStyle w:val="Heading2"/>
      </w:pPr>
      <w:r>
        <w:t xml:space="preserve">6. Componente di cambio lingua</w:t>
      </w:r>
    </w:p>
    <w:p>
      <w:pPr>
        <w:spacing w:after="120" w:line="276"/>
      </w:pPr>
      <w:r>
        <w:t xml:space="preserve">Un componente LanguageSwitcher, collocato nell’header accanto al menu utente, consente di passare tra IT ed EN. Internamente usa i18n.changeLanguage(lng): il cambio è immediato e re-renderizza l’interfaccia senza ricaricare la pagina. La lingua attiva è evidenziata.</w:t>
      </w:r>
    </w:p>
    <w:p>
      <w:pPr>
        <w:pStyle w:val="Heading2"/>
      </w:pPr>
      <w:r>
        <w:t xml:space="preserve">7. Persistenza e rilevamento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t xml:space="preserve">Ordine di rilevamento: preferenza salvata (localStorage) → lingua del browser → fallback italiano.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t xml:space="preserve">La scelta dell’utente viene salvata in localStorage e ripristinata agli accessi successivi.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t xml:space="preserve">L’attributo lang dell’elemento &lt;html&gt; viene aggiornato per accessibilità e SEO.</w:t>
      </w:r>
    </w:p>
    <w:p>
      <w:pPr>
        <w:pStyle w:val="Heading2"/>
      </w:pPr>
      <w:r>
        <w:t xml:space="preserve">8. Integrazione con il backend</w:t>
      </w:r>
    </w:p>
    <w:p>
      <w:pPr>
        <w:spacing w:after="120" w:line="276"/>
      </w:pPr>
      <w:r>
        <w:t xml:space="preserve">La lingua attiva viene inviata al backend tramite l’header Accept-Language (IT/EN) sulle chiamate API, in modo che i messaggi server multilingua (M4-T4) rispondano nella stessa lingua dell’interfaccia. Il client API legge la lingua corrente da i18next e la imposta automaticamente su ogni richiesta.</w:t>
      </w:r>
    </w:p>
    <w:p>
      <w:pPr>
        <w:pStyle w:val="Heading2"/>
      </w:pPr>
      <w:r>
        <w:t xml:space="preserve">9. Prossimi passi</w:t>
      </w:r>
    </w:p>
    <w:p>
      <w:pPr>
        <w:spacing w:after="120" w:line="276"/>
      </w:pPr>
      <w:r>
        <w:t xml:space="preserve">Con l’i18n attivo, le pagine costruite nei task successivi useranno esclusivamente le chiavi di traduzione. I pulsanti di integrazione (Discord/Twitch) e le sezioni achievement aggiungeranno i propri namespace seguendo la stessa organizzazione.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Arial" w:cs="Arial" w:eastAsia="Arial" w:hAnsi="Arial"/>
      <w:b/>
      <w:bCs/>
      <w:color w:val="1A1F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A1F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94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2026-06-29T15:41:12.161Z</dcterms:created>
  <dcterms:modified xsi:type="dcterms:W3CDTF">2026-06-29T15:41:12.161Z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