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5B6178"/>
          <w:sz w:val="20"/>
          <w:szCs w:val="20"/>
        </w:rPr>
        <w:t xml:space="preserve">PROGETTO ARCADIUM — ACE5</w:t>
      </w:r>
    </w:p>
    <w:p>
      <w:pPr>
        <w:pStyle w:val="Heading1"/>
        <w:spacing w:after="120" w:before="80"/>
      </w:pPr>
      <w:r>
        <w:rPr>
          <w:rFonts w:ascii="Calibri" w:cs="Calibri" w:eastAsia="Calibri" w:hAnsi="Calibri"/>
          <w:b/>
          <w:bCs/>
          <w:color w:val="1B2033"/>
          <w:sz w:val="40"/>
          <w:szCs w:val="40"/>
        </w:rPr>
        <w:t xml:space="preserve">Pagina di dettaglio del gioco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178"/>
          <w:sz w:val="21"/>
          <w:szCs w:val="21"/>
        </w:rPr>
        <w:t xml:space="preserve">Milestone M5 — Frontend React · Task T9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Questo task realizza la pagina di dettaglio di un singolo gioco (rotta /gioco/[appId]), fedele al mockup: un hero immersivo con la copertina a fuoco su uno sfondo sfocato ricavato dalla stessa immagine, i contenuti descrittivi a sinistra e, a destra, una card d'acquisto “appiccicata” con prezzo, azioni e scheda tecnica. Come per il resto della milestone l'implementazione usa JavaScript e CSS Modules, riusa i componenti del design system (T2), il componente GameImage (T7), le etichette dell'i18n IT/EN (T3) e l'utility prezzi introdotta nel negozio (T8).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1. Obiettivo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Offrire una scheda gioco completa e leggibile in cui l'utente riconosce a colpo d'occhio copertina, titolo, sviluppatore e riepilogo recensioni, legge la descrizione, valuta prezzo ed eventuale sconto e compie le azioni chiave: aggiungere alla wishlist, mettere in backlog o aprire la scheda ufficiale su Steam. In attesa del backend la pagina lavora su un dataset finto con la stessa forma prevista per l'endpoint di dettaglio (M4-T6), così l'aggancio all'API sarà la sostituzione della sola sorgente dati.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2. Struttura e file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La pagina vive nel gruppo di rotte autenticato e riusa i componenti esistenti; introduce solo la rotta dinamica, i suoi stili e un dataset finto co-locato. Le stringhe provengono dal nuovo namespace i18n “gameDetail”.</w:t>
      </w:r>
    </w:p>
    <w:tbl>
      <w:tblPr>
        <w:tblW w:type="dxa" w:w="8360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1900"/>
        <w:gridCol w:w="3400"/>
        <w:gridCol w:w="3060"/>
      </w:tblGrid>
      <w:tr>
        <w:trPr>
          <w:tblHeader/>
        </w:trPr>
        <w:tc>
          <w:tcPr>
            <w:tcW w:type="dxa" w:w="1900"/>
            <w:shd w:fill="F1EE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033"/>
                <w:sz w:val="19"/>
                <w:szCs w:val="19"/>
              </w:rPr>
              <w:t xml:space="preserve">Elemento</w:t>
            </w:r>
          </w:p>
        </w:tc>
        <w:tc>
          <w:tcPr>
            <w:tcW w:type="dxa" w:w="3400"/>
            <w:shd w:fill="F1EE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033"/>
                <w:sz w:val="19"/>
                <w:szCs w:val="19"/>
              </w:rPr>
              <w:t xml:space="preserve">Posizione</w:t>
            </w:r>
          </w:p>
        </w:tc>
        <w:tc>
          <w:tcPr>
            <w:tcW w:type="dxa" w:w="3060"/>
            <w:shd w:fill="F1EE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033"/>
                <w:sz w:val="19"/>
                <w:szCs w:val="19"/>
              </w:rPr>
              <w:t xml:space="preserve">Ruolo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page.js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app/(app)/gioco/[appId]/page.js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Pagina: recupero gioco, stato azioni, composizione della UI.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gioco.module.css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app/(app)/gioco/[appId]/gioco.module.css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Stili: hero, griglia contenuti, card acquisto, responsive.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mockGameDetail.js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app/(app)/gioco/[appId]/mockGameDetail.js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Catalogo finto indicizzato per appId, sostituibile con l'API.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Namespace i18n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i18n/it.json · en.json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Chiave “gameDetail”: etichette, azioni, recensioni, stato “non trovato”.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3. Rotta dinamica e recupero del gioco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La cartella [appId] genera una rotta dinamica: l'identificativo nell'URL viene letto con useParams() e passato a getGameById(). Se l'appId non esiste nel catalogo la pagina mostra uno stato “gioco non trovato” con un invito a tornare al negozio, invece di un errore tecnico. Le card del negozio (T8) collegheranno qui puntando a /gioco/{appId}.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4. Hero immersivo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L'elemento distintivo della pagina. La copertina header di Steam è mostrata a fuoco dentro una cornice; la stessa immagine, ingrandita e sfocata, riempie lo sfondo, con un velo scuro sovrapposto che garantisce la leggibilità del testo bianco. Accanto compaiono titolo, sviluppatore, i dati rapidi (riepilogo recensioni e data di uscita) e i generi principali come badge. Il risultato richiama l'estetica delle schede Steam restando coerente con la palette violet dell'app.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5. Contenuti principali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La colonna sinistra raccoglie, in sezioni chiare: la descrizione del gioco, una striscia di immagini, il riepilogo recensioni e gli elenchi di tag e categorie.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Recensioni: la percentuale di giudizi positivi è calcolata da positive/(positive+negative) e tradotta in un'etichetta a fasce (Molto positive, Positive, Nella media, Negative) con colore coerente e una barra di riempimento.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Tag e categorie: resi come pillole del design system (Badge), nella lingua del dato come fornito dal database.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Immagini: mostrate tramite GameImage, che gestisce da sé caricamento e fallback in caso di URL non disponibile.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6. Card d'acquisto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La colonna destra ospita la card che resta visibile durante lo scorrimento (sticky). Riunisce prezzo, azioni e scheda tecnica.</w:t>
      </w:r>
    </w:p>
    <w:tbl>
      <w:tblPr>
        <w:tblW w:type="dxa" w:w="8360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100"/>
        <w:gridCol w:w="6260"/>
      </w:tblGrid>
      <w:tr>
        <w:trPr>
          <w:tblHeader/>
        </w:trPr>
        <w:tc>
          <w:tcPr>
            <w:tcW w:type="dxa" w:w="2100"/>
            <w:shd w:fill="F1EE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033"/>
                <w:sz w:val="19"/>
                <w:szCs w:val="19"/>
              </w:rPr>
              <w:t xml:space="preserve">Blocco</w:t>
            </w:r>
          </w:p>
        </w:tc>
        <w:tc>
          <w:tcPr>
            <w:tcW w:type="dxa" w:w="6260"/>
            <w:shd w:fill="F1EE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033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Prezzo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“Gratis” se prezzo a zero; altrimenti prezzo pieno oppure, in sconto, badge −X% + prezzo barrato + prezzo finale.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Wishlist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Pulsante che alterna “Aggiungi” / “Nella wishlist”; stato locale in attesa dell'endpoint (M4-T7).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Backlog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Pulsante che alterna l'inserimento in backlog; stato locale in attesa dell'endpoint (M4-T8).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Vedi su Steam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CTA principale: apre store.steampowered.com/app/{appId} in una nuova scheda.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Scheda tecnica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Data di uscita, sviluppatore, publisher, piattaforme, achievement e voto Metacritic (badge colorato per fascia).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7. Prezzi e riuso dell'utility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I prezzi sono gestiti in centesimi (interi) per evitare errori di arrotondamento, come nel negozio. La pagina riusa utils/price.js (T8): discountedPrice() applica la percentuale di sconto e formatPrice() formatta in euro italiano. Nessuna logica di prezzo è duplicata.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8. Internazionalizzazione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Tutte le stringhe passano dall'i18n: è stato aggiunto il namespace gameDetail a it.json ed en.json (etichette dell'hero, titoli di sezione, azioni, riepilogo recensioni, scheda tecnica e stato “non trovato”). I nomi di generi, tag, categorie e piattaforme restano nella lingua del dato, come li fornirà il database.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9. Dati mock e aggancio all'API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Il file mockGameDetail.js contiene alcune schede segnaposto indicizzate per appId, con i campi previsti dalla tabella games: appId, name, headerImage, aboutTheGame, priceCents, discount, releaseDate, developers, publishers, genres, tags, categories, platforms, positive, negative, metacriticScore, achievementsCount. La forma corrisponde a quella attesa dall'endpoint di dettaglio: in un task successivo bastera' sostituire getGameById con una fetch a src/api/, lasciando invariata la UI.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10. Accessibilità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Immagini con testo alternativo; sfondo sfocato e velo marcati come decorativi (aria-hidden).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Pulsanti wishlist e backlog espongono aria-pressed che riflette lo stato attivo.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La barra recensioni ha un'etichetta testuale accessibile; la CTA Steam apre in nuova scheda con rel=“noopener noreferrer”.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11. Responsive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Sotto i 900px il layout passa a colonna unica: la card d'acquisto va a tutta larghezza e viene anticipata sopra i contenuti, l'hero si dispone in verticale e la striscia immagini diventa a colonna singola. Il tutto resta ancorato ai design token, senza valori fissi scritti a mano.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12. Coerenza con i mockup</w:t>
      </w:r>
    </w:p>
    <w:tbl>
      <w:tblPr>
        <w:tblW w:type="dxa" w:w="8360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5760"/>
      </w:tblGrid>
      <w:tr>
        <w:trPr>
          <w:tblHeader/>
        </w:trPr>
        <w:tc>
          <w:tcPr>
            <w:tcW w:type="dxa" w:w="2600"/>
            <w:shd w:fill="F1EE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033"/>
                <w:sz w:val="19"/>
                <w:szCs w:val="19"/>
              </w:rPr>
              <w:t xml:space="preserve">Aspetto</w:t>
            </w:r>
          </w:p>
        </w:tc>
        <w:tc>
          <w:tcPr>
            <w:tcW w:type="dxa" w:w="5760"/>
            <w:shd w:fill="F1EE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033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Hero con cover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Copertina a fuoco su sfondo sfocato, titolo e sviluppatore in evidenza.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Card acquisto a destra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Prezzo con eventuale sconto, azioni e scheda tecnica, ancorata allo scorrimento.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Stile e palette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Superfici scure, badge violet, gradiente brand sulla CTA e sulla barra recensioni.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Azioni chiave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178"/>
                <w:sz w:val="19"/>
                <w:szCs w:val="19"/>
              </w:rPr>
              <w:t xml:space="preserve">Wishlist, backlog e collegamento diretto alla scheda Steam.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7C5CFF"/>
          <w:sz w:val="26"/>
          <w:szCs w:val="26"/>
        </w:rPr>
        <w:t xml:space="preserve">13. Prossimi passi</w:t>
      </w:r>
    </w:p>
    <w:p>
      <w:pPr>
        <w:spacing w:after="120" w:line="300"/>
      </w:pPr>
      <w:r>
        <w:rPr>
          <w:rFonts w:ascii="Calibri" w:cs="Calibri" w:eastAsia="Calibri" w:hAnsi="Calibri"/>
          <w:color w:val="1B2033"/>
          <w:sz w:val="21"/>
          <w:szCs w:val="21"/>
        </w:rPr>
        <w:t xml:space="preserve">Collegare wishlist e backlog agli endpoint reali (M4-T7 / M4-T8) sostituendo lo stato locale; sostituire il dataset finto con l'endpoint di dettaglio (M4-T6); arricchire la striscia immagini con la galleria reale degli screenshot quando disponibile dal dataset.</w:t>
      </w:r>
    </w:p>
    <w:p>
      <w:r>
        <w:rPr>
          <w:rFonts w:ascii="Calibri" w:cs="Calibri" w:eastAsia="Calibri" w:hAnsi="Calibri"/>
          <w:sz w:val="10"/>
          <w:szCs w:val="10"/>
        </w:rP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2026-07-07T14:33:44.807Z</dcterms:created>
  <dcterms:modified xsi:type="dcterms:W3CDTF">2026-07-07T14:33:44.807Z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