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44475a"/>
          <w:sz w:val="20"/>
          <w:szCs w:val="20"/>
        </w:rPr>
        <w:t xml:space="preserve">Progetto Arcadium — ACE5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Layout principale: sidebar, header e barra di ricerca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B46C8"/>
          <w:sz w:val="22"/>
          <w:szCs w:val="22"/>
        </w:rPr>
        <w:t xml:space="preserve">Milestone M5 — Frontend React · Task T4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Questo task realizza la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shell dell’applicazione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: il layout persistente condiviso da tutte le pagine dell’area autenticata — la sidebar con il marchio e la navigazione, l’header superiore con barra di ricerca, lingua e profilo, e l’area centrale in cui si innestano le singole pagine. Il layout è costruito per aderire ai mockup forniti dal cliente, sulla base predisposta nel task T1 (setup e tema) e nel task T2 (design system), utilizzando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JavaScript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CSS Modules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e attingendo ai design token centralizzati in </w:t>
      </w:r>
      <w:r>
        <w:rPr>
          <w:rFonts w:ascii="Consolas" w:cs="Consolas" w:eastAsia="Consolas" w:hAnsi="Consolas"/>
          <w:color w:val="5B46C8"/>
          <w:sz w:val="20"/>
          <w:szCs w:val="20"/>
        </w:rPr>
        <w:t xml:space="preserve">theme.css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1. Obiettivo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Fornire il guscio grafico su cui poggiano tutte le schermate della milestone M5. L’obiettivo del task è duplice: da un lato costruire i tre elementi strutturali (sidebar, header, area contenuto) in modo riutilizzabile e coerente con i componenti base del T2; dall’altro rendere il risultato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visivamente fedele ai mockup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marchio, colori, spaziature e posizionamento degli elementi — così che le pagine costruite nei task successivi ereditino un layout già corretto senza doverlo rifare.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2. Struttura del layout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Il layout radice di Next.js (</w:t>
      </w:r>
      <w:r>
        <w:rPr>
          <w:rFonts w:ascii="Consolas" w:cs="Consolas" w:eastAsia="Consolas" w:hAnsi="Consolas"/>
          <w:color w:val="5B46C8"/>
          <w:sz w:val="20"/>
          <w:szCs w:val="20"/>
        </w:rPr>
        <w:t xml:space="preserve">app/layout.js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 avvolge ogni pagina: imposta la lingua del documento, carica i token del tema e gli stili globali, monta il provider di traduzione IT/EN e lo sfondo animato. Le pagine dell’area autenticata vengono renderizzate come </w:t>
      </w:r>
      <w:r>
        <w:rPr>
          <w:rFonts w:ascii="Consolas" w:cs="Consolas" w:eastAsia="Consolas" w:hAnsi="Consolas"/>
          <w:color w:val="5B46C8"/>
          <w:sz w:val="20"/>
          <w:szCs w:val="20"/>
        </w:rPr>
        <w:t xml:space="preserve">children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all’interno del guscio composto da sidebar, header e contenuto. La struttura segue l’organizzazione concordata dal team: i due elementi di layout in </w:t>
      </w:r>
      <w:r>
        <w:rPr>
          <w:rFonts w:ascii="Consolas" w:cs="Consolas" w:eastAsia="Consolas" w:hAnsi="Consolas"/>
          <w:color w:val="5B46C8"/>
          <w:sz w:val="20"/>
          <w:szCs w:val="20"/>
        </w:rPr>
        <w:t xml:space="preserve">layouts/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i componenti riutilizzabili in </w:t>
      </w:r>
      <w:r>
        <w:rPr>
          <w:rFonts w:ascii="Consolas" w:cs="Consolas" w:eastAsia="Consolas" w:hAnsi="Consolas"/>
          <w:color w:val="5B46C8"/>
          <w:sz w:val="20"/>
          <w:szCs w:val="20"/>
        </w:rPr>
        <w:t xml:space="preserve">components/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i token in </w:t>
      </w:r>
      <w:r>
        <w:rPr>
          <w:rFonts w:ascii="Consolas" w:cs="Consolas" w:eastAsia="Consolas" w:hAnsi="Consolas"/>
          <w:color w:val="5B46C8"/>
          <w:sz w:val="20"/>
          <w:szCs w:val="20"/>
        </w:rPr>
        <w:t xml:space="preserve">theme/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d8d8e0" w:sz="4"/>
          <w:left w:val="single" w:color="d8d8e0" w:sz="4"/>
          <w:bottom w:val="single" w:color="d8d8e0" w:sz="4"/>
          <w:right w:val="single" w:color="d8d8e0" w:sz="4"/>
          <w:insideH w:val="single" w:color="d8d8e0" w:sz="4"/>
          <w:insideV w:val="single" w:color="d8d8e0" w:sz="4"/>
        </w:tblBorders>
      </w:tblPr>
      <w:tblGrid>
        <w:gridCol w:w="2100"/>
        <w:gridCol w:w="3360"/>
        <w:gridCol w:w="3900"/>
      </w:tblGrid>
      <w:tr>
        <w:trPr>
          <w:tblHeader/>
        </w:trPr>
        <w:tc>
          <w:tcPr>
            <w:tcW w:type="dxa" w:w="2100"/>
            <w:shd w:fill="2A25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3360"/>
            <w:shd w:fill="2A25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Posizione</w:t>
            </w:r>
          </w:p>
        </w:tc>
        <w:tc>
          <w:tcPr>
            <w:tcW w:type="dxa" w:w="3900"/>
            <w:shd w:fill="2A25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Ruolo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RootLayout</w:t>
            </w:r>
          </w:p>
        </w:tc>
        <w:tc>
          <w:tcPr>
            <w:tcW w:type="dxa" w:w="33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46C8"/>
                <w:sz w:val="20"/>
                <w:szCs w:val="20"/>
              </w:rPr>
              <w:t xml:space="preserve">app/layout.js</w:t>
            </w:r>
          </w:p>
        </w:tc>
        <w:tc>
          <w:tcPr>
            <w:tcW w:type="dxa" w:w="39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Lingua, tema, stili globali, provider i18n, sfondo animato.</w:t>
            </w:r>
          </w:p>
        </w:tc>
      </w:tr>
      <w:tr>
        <w:tc>
          <w:tcPr>
            <w:tcW w:type="dxa" w:w="2100"/>
            <w:shd w:fill="F3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Sidebar</w:t>
            </w:r>
          </w:p>
        </w:tc>
        <w:tc>
          <w:tcPr>
            <w:tcW w:type="dxa" w:w="3360"/>
            <w:shd w:fill="F3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46C8"/>
                <w:sz w:val="20"/>
                <w:szCs w:val="20"/>
              </w:rPr>
              <w:t xml:space="preserve">layouts/Sidebar/</w:t>
            </w:r>
          </w:p>
        </w:tc>
        <w:tc>
          <w:tcPr>
            <w:tcW w:type="dxa" w:w="3900"/>
            <w:shd w:fill="F3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Marchio (Logo) e navigazione principale (NavItem).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Header</w:t>
            </w:r>
          </w:p>
        </w:tc>
        <w:tc>
          <w:tcPr>
            <w:tcW w:type="dxa" w:w="33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46C8"/>
                <w:sz w:val="20"/>
                <w:szCs w:val="20"/>
              </w:rPr>
              <w:t xml:space="preserve">layouts/Header/</w:t>
            </w:r>
          </w:p>
        </w:tc>
        <w:tc>
          <w:tcPr>
            <w:tcW w:type="dxa" w:w="39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Barra di ricerca, cambio lingua, menu profilo.</w:t>
            </w:r>
          </w:p>
        </w:tc>
      </w:tr>
      <w:tr>
        <w:tc>
          <w:tcPr>
            <w:tcW w:type="dxa" w:w="2100"/>
            <w:shd w:fill="F3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Logo</w:t>
            </w:r>
          </w:p>
        </w:tc>
        <w:tc>
          <w:tcPr>
            <w:tcW w:type="dxa" w:w="3360"/>
            <w:shd w:fill="F3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46C8"/>
                <w:sz w:val="20"/>
                <w:szCs w:val="20"/>
              </w:rPr>
              <w:t xml:space="preserve">components/Logo/</w:t>
            </w:r>
          </w:p>
        </w:tc>
        <w:tc>
          <w:tcPr>
            <w:tcW w:type="dxa" w:w="3900"/>
            <w:shd w:fill="F3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Marchio Arcadium: icona reale + wordmark.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NavItem</w:t>
            </w:r>
          </w:p>
        </w:tc>
        <w:tc>
          <w:tcPr>
            <w:tcW w:type="dxa" w:w="33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46C8"/>
                <w:sz w:val="20"/>
                <w:szCs w:val="20"/>
              </w:rPr>
              <w:t xml:space="preserve">components/NavItem/</w:t>
            </w:r>
          </w:p>
        </w:tc>
        <w:tc>
          <w:tcPr>
            <w:tcW w:type="dxa" w:w="39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Singola voce di navigazione con stato attivo.</w:t>
            </w:r>
          </w:p>
        </w:tc>
      </w:tr>
      <w:tr>
        <w:tc>
          <w:tcPr>
            <w:tcW w:type="dxa" w:w="2100"/>
            <w:shd w:fill="F3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LanguageSwitcher</w:t>
            </w:r>
          </w:p>
        </w:tc>
        <w:tc>
          <w:tcPr>
            <w:tcW w:type="dxa" w:w="3360"/>
            <w:shd w:fill="F3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46C8"/>
                <w:sz w:val="20"/>
                <w:szCs w:val="20"/>
              </w:rPr>
              <w:t xml:space="preserve">components/LanguageSwitcher/</w:t>
            </w:r>
          </w:p>
        </w:tc>
        <w:tc>
          <w:tcPr>
            <w:tcW w:type="dxa" w:w="3900"/>
            <w:shd w:fill="F3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Selettore lingua IT/EN nell’header.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StarField</w:t>
            </w:r>
          </w:p>
        </w:tc>
        <w:tc>
          <w:tcPr>
            <w:tcW w:type="dxa" w:w="33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46C8"/>
                <w:sz w:val="20"/>
                <w:szCs w:val="20"/>
              </w:rPr>
              <w:t xml:space="preserve">components/StarField/</w:t>
            </w:r>
          </w:p>
        </w:tc>
        <w:tc>
          <w:tcPr>
            <w:tcW w:type="dxa" w:w="39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Sfondo animato decorativo (canvas).</w:t>
            </w:r>
          </w:p>
        </w:tc>
      </w:tr>
    </w:tbl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3. Sidebar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La sidebar è una colonna fissa a sinistra, con il marchio in alto e le voci di navigazione sotto. Le voci non sono scritte a mano nel componente ma provengono da un unico file di configurazione (</w:t>
      </w:r>
      <w:r>
        <w:rPr>
          <w:rFonts w:ascii="Consolas" w:cs="Consolas" w:eastAsia="Consolas" w:hAnsi="Consolas"/>
          <w:color w:val="5B46C8"/>
          <w:sz w:val="20"/>
          <w:szCs w:val="20"/>
        </w:rPr>
        <w:t xml:space="preserve">config/nav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): la sidebar si limita a scorrerle, così aggiungere o riordinare una voce non richiede modifiche al layout.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Marchio (Logo).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La lettera “A” provvisoria è stata sostituita dall’icona reale del logo Arcadium (immagine con sfondo trasparente), affiancata dal wordmark “ARCADIUM”. Il marchio è cliccabile e riporta alla Panoramica.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Voci di navigazione (NavItem).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Panoramica, Negozio, Libreria, Wishlist, Backlog, Statistiche, Community, Impostazioni. Ogni voce ha icona ed etichetta; la voce corrispondente alla pagina corrente riceve lo stato attivo (sfondo violet tenue e icona in tinta brand).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4. Header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L’header ospita la barra di ricerca a sinistra e, all’estremità destra, il selettore di lingua e il menu del profilo utente. Lo spazio centrale è volutamente lasciato libero: è la zona in cui, nel task T6, si inseriranno i pulsanti Discord/Twitch e la campanella delle notifiche previsti dal mockup.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Barra di ricerca.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Campo con icona di ricerca e testo segnaposto localizzato; predisposta la scorciatoia da tastiera per il focus rapido. Le sue dimensioni (larghezza e altezza) e il posizionamento sono stati regolati per riprodurre la proporzione del mockup.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Cambio lingua (LanguageSwitcher).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Pillola IT/EN con la lingua attiva evidenziata dal gradiente brand; si integra con l’i18n del task T3.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Profilo utente.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Avatar con iniziale, nome e chevron. Il nome è fisso in questa fase e sarà collegato all’autenticazione nelle milestone successive (JWT, M4-T3).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Pulsanti social e notifiche — fuori perimetro.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Discord, Twitch e notifiche non sono implementati in questo task: appartengono al T6 (pulsanti social) e ai relativi endpoint del backend (M4-T15). Nel layout ne è però già riservato lo spazio, per non spostare gli altri elementi quando verranno aggiunti.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5. Tema e allineamento cromatico ai mockup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Tutti i colori vivono in </w:t>
      </w:r>
      <w:r>
        <w:rPr>
          <w:rFonts w:ascii="Consolas" w:cs="Consolas" w:eastAsia="Consolas" w:hAnsi="Consolas"/>
          <w:color w:val="5B46C8"/>
          <w:sz w:val="20"/>
          <w:szCs w:val="20"/>
        </w:rPr>
        <w:t xml:space="preserve">theme/theme.css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come variabili CSS: un’unica sorgente di verità per l’intera applicazione. In questo task i valori di sfondo sono stati allineati al mockup, campionandone i colori esatti. Per fondere header e pagina in un’unica superficie continua, la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riga divisoria sotto l’header è stata rimossa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e lo sfondo dell’header reso trasparente, così da lasciar trasparire il gradiente della pagina.</w:t>
      </w:r>
    </w:p>
    <w:tbl>
      <w:tblPr>
        <w:tblW w:type="dxa" w:w="9360"/>
        <w:tblBorders>
          <w:top w:val="single" w:color="d8d8e0" w:sz="4"/>
          <w:left w:val="single" w:color="d8d8e0" w:sz="4"/>
          <w:bottom w:val="single" w:color="d8d8e0" w:sz="4"/>
          <w:right w:val="single" w:color="d8d8e0" w:sz="4"/>
          <w:insideH w:val="single" w:color="d8d8e0" w:sz="4"/>
          <w:insideV w:val="single" w:color="d8d8e0" w:sz="4"/>
        </w:tblBorders>
      </w:tblPr>
      <w:tblGrid>
        <w:gridCol w:w="2100"/>
        <w:gridCol w:w="3060"/>
        <w:gridCol w:w="4200"/>
      </w:tblGrid>
      <w:tr>
        <w:trPr>
          <w:tblHeader/>
        </w:trPr>
        <w:tc>
          <w:tcPr>
            <w:tcW w:type="dxa" w:w="2100"/>
            <w:shd w:fill="2A25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Aspetto</w:t>
            </w:r>
          </w:p>
        </w:tc>
        <w:tc>
          <w:tcPr>
            <w:tcW w:type="dxa" w:w="3060"/>
            <w:shd w:fill="2A25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Scelta</w:t>
            </w:r>
          </w:p>
        </w:tc>
        <w:tc>
          <w:tcPr>
            <w:tcW w:type="dxa" w:w="4200"/>
            <w:shd w:fill="2A25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Sfondo pagina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46C8"/>
                <w:sz w:val="20"/>
                <w:szCs w:val="20"/>
              </w:rPr>
              <w:t xml:space="preserve">--gradient-bg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Due aloni radiali: violet in alto a sinistra, blu in alto a destra, su base blu-navy. Ripreso dal mockup.</w:t>
            </w:r>
          </w:p>
        </w:tc>
      </w:tr>
      <w:tr>
        <w:tc>
          <w:tcPr>
            <w:tcW w:type="dxa" w:w="2100"/>
            <w:shd w:fill="F3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Colore base</w:t>
            </w:r>
          </w:p>
        </w:tc>
        <w:tc>
          <w:tcPr>
            <w:tcW w:type="dxa" w:w="3060"/>
            <w:shd w:fill="F3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#0e1025 (navy)</w:t>
            </w:r>
          </w:p>
        </w:tc>
        <w:tc>
          <w:tcPr>
            <w:tcW w:type="dxa" w:w="4200"/>
            <w:shd w:fill="F3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Colore di riserva sotto il gradiente.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Colore sidebar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#0c0e23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Blu-navy pieno, campionato dal mockup.</w:t>
            </w:r>
          </w:p>
        </w:tc>
      </w:tr>
      <w:tr>
        <w:tc>
          <w:tcPr>
            <w:tcW w:type="dxa" w:w="2100"/>
            <w:shd w:fill="F3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Header</w:t>
            </w:r>
          </w:p>
        </w:tc>
        <w:tc>
          <w:tcPr>
            <w:tcW w:type="dxa" w:w="3060"/>
            <w:shd w:fill="F3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trasparente</w:t>
            </w:r>
          </w:p>
        </w:tc>
        <w:tc>
          <w:tcPr>
            <w:tcW w:type="dxa" w:w="4200"/>
            <w:shd w:fill="F3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Mostra il gradiente della pagina: header e contenuto diventano un’unica superficie.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Alone violet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rgba(124,92,255, …)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Sopra la barra di ricerca (alto-sinistra).</w:t>
            </w:r>
          </w:p>
        </w:tc>
      </w:tr>
      <w:tr>
        <w:tc>
          <w:tcPr>
            <w:tcW w:type="dxa" w:w="2100"/>
            <w:shd w:fill="F3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Alone blu</w:t>
            </w:r>
          </w:p>
        </w:tc>
        <w:tc>
          <w:tcPr>
            <w:tcW w:type="dxa" w:w="3060"/>
            <w:shd w:fill="F3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rgba(79,123,255, …)</w:t>
            </w:r>
          </w:p>
        </w:tc>
        <w:tc>
          <w:tcPr>
            <w:tcW w:type="dxa" w:w="4200"/>
            <w:shd w:fill="F3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Verso il profilo (alto-destra).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Il gradiente è ancorato alla viewport (fisso allo scorrimento) e gli aloni partono dagli angoli superiori, così da apparire come una sfumatura morbida e non come cerchi netti al centro della pagina.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6. Sfondo animato stellato (StarField)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In coerenza con l’identità “spaziale” del marchio (la stella e l’orbita del logo), è stato aggiunto uno sfondo stellato animato realizzato con un elemento </w:t>
      </w:r>
      <w:r>
        <w:rPr>
          <w:rFonts w:ascii="Consolas" w:cs="Consolas" w:eastAsia="Consolas" w:hAnsi="Consolas"/>
          <w:color w:val="5B46C8"/>
          <w:sz w:val="20"/>
          <w:szCs w:val="20"/>
        </w:rPr>
        <w:t xml:space="preserve">&lt;canvas&gt;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Le stelle si spostano lentamente e brillano in dissolvenza, dietro all’intera applicazione. È un elemento puramente decorativo e progettato per non incidere su usabilità e prestazioni: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Prestazioni.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Il numero di stelle è proporzionato all’area dello schermo e limitato da un tetto massimo; il rendering usa requestAnimationFrame.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Accessibilità.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L’animazione si ferma automaticamente per gli utenti che preferiscono meno movimento (prefers-reduced-motion), lasciando uno sfondo stellato statico.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Non invadenza.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Il canvas è dietro a tutto (z-index negativo), è marcato aria-hidden e non intercetta i clic (pointer-events: none).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7. Accessibilità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Elementi decorativi (sfondo stellato) marcati aria-hidden e non focalizzabili.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Focus da tastiera sempre visibile (focus-visible) ereditato dagli stili globali.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Etichette accessibili sui controlli non testuali (ricerca, cambio lingua, profilo).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Scorciatoia da tastiera per portare rapidamente il focus sulla barra di ricerca.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8. Coerenza con i mockup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Rispetto alla prima versione del layout, sono state allineate al mockup le seguenti differenze: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Marchio: icona reale del logo al posto della lettera “A” provvisoria.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Barra di ricerca: dimensione e posizionamento rivisti secondo la proporzione del mockup.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Riga divisoria sotto l’header rimossa; header e pagina fusi in un’unica superficie.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Colori di sfondo (pagina e sidebar) campionati esattamente dal mockup, con gradiente a due aloni.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Dimensioni di sidebar, voci di menu e controlli dell’header regolate per un insieme uniforme.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9. Note e scelte di design</w:t>
      </w:r>
    </w:p>
    <w:tbl>
      <w:tblPr>
        <w:tblW w:type="dxa" w:w="9360"/>
        <w:tblBorders>
          <w:top w:val="single" w:color="d8d8e0" w:sz="4"/>
          <w:left w:val="single" w:color="d8d8e0" w:sz="4"/>
          <w:bottom w:val="single" w:color="d8d8e0" w:sz="4"/>
          <w:right w:val="single" w:color="d8d8e0" w:sz="4"/>
          <w:insideH w:val="single" w:color="d8d8e0" w:sz="4"/>
          <w:insideV w:val="single" w:color="d8d8e0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2A25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Punto</w:t>
            </w:r>
          </w:p>
        </w:tc>
        <w:tc>
          <w:tcPr>
            <w:tcW w:type="dxa" w:w="6160"/>
            <w:shd w:fill="2A25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Scelta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Pulsanti Discord/Twitch e notifiche</w:t>
            </w:r>
          </w:p>
        </w:tc>
        <w:tc>
          <w:tcPr>
            <w:tcW w:type="dxa" w:w="61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Rinviati al T6 (e agli endpoint M4-T15). Nel layout è riservato lo spazio.</w:t>
            </w:r>
          </w:p>
        </w:tc>
      </w:tr>
      <w:tr>
        <w:tc>
          <w:tcPr>
            <w:tcW w:type="dxa" w:w="3200"/>
            <w:shd w:fill="F3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Colore pieno della sidebar</w:t>
            </w:r>
          </w:p>
        </w:tc>
        <w:tc>
          <w:tcPr>
            <w:tcW w:type="dxa" w:w="6160"/>
            <w:shd w:fill="F3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Mantenuto come nel mockup (superficie piatta), distinta dal gradiente dell’area principale.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Sfondo animato</w:t>
            </w:r>
          </w:p>
        </w:tc>
        <w:tc>
          <w:tcPr>
            <w:tcW w:type="dxa" w:w="61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Decorativo e disattivabile via preferenze di sistema; non blocca clic né focus.</w:t>
            </w:r>
          </w:p>
        </w:tc>
      </w:tr>
      <w:tr>
        <w:tc>
          <w:tcPr>
            <w:tcW w:type="dxa" w:w="3200"/>
            <w:shd w:fill="F3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Colori a valori fissi</w:t>
            </w:r>
          </w:p>
        </w:tc>
        <w:tc>
          <w:tcPr>
            <w:tcW w:type="dxa" w:w="6160"/>
            <w:shd w:fill="F3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Centralizzati in theme.css come sorgente unica; potranno confluire nei token del design system.</w:t>
            </w:r>
          </w:p>
        </w:tc>
      </w:tr>
    </w:tbl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10. Prossimi passi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Con la shell pronta, il task T5 costruisce le pagine di login e registrazione (che useranno un layout dedicato senza sidebar); il task T6 aggiunge i pulsanti social e le notifiche negli spazi già predisposti nell’header; le pagine di contenuto (negozio, dettaglio, libreria, wishlist, backlog, statistiche, achievement) si innesteranno nell’area centrale di questo layout nei task successivi.</w:t>
      </w:r>
    </w:p>
    <w:sectPr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8e0" w:sz="4" w:space="6"/>
      </w:pBdr>
      <w:jc w:val="center"/>
    </w:pPr>
    <w:r>
      <w:rPr>
        <w:rFonts w:ascii="Calibri" w:cs="Calibri" w:eastAsia="Calibri" w:hAnsi="Calibri"/>
        <w:color w:val="44475a"/>
        <w:sz w:val="16"/>
        <w:szCs w:val="16"/>
      </w:rPr>
      <w:t xml:space="preserve">Arcadium · ACE5 — M5-T4 · Layout principale (sidebar, header, ricerca)      pag. </w:t>
    </w:r>
    <w:r>
      <w:rPr>
        <w:rFonts w:ascii="Calibri" w:cs="Calibri" w:eastAsia="Calibri" w:hAnsi="Calibri"/>
        <w:color w:val="4447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M5-T4 · Layout principale</dc:title>
  <dc:creator>ACE5 — Arcadium</dc:creator>
  <cp:lastModifiedBy>Un-named</cp:lastModifiedBy>
  <cp:revision>1</cp:revision>
  <dcterms:created xsi:type="dcterms:W3CDTF">2026-07-01T15:44:18.046Z</dcterms:created>
  <dcterms:modified xsi:type="dcterms:W3CDTF">2026-07-01T15:44:18.046Z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