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7C5CFF"/>
          <w:spacing w:val="20"/>
          <w:sz w:val="18"/>
          <w:szCs w:val="18"/>
        </w:rPr>
        <w:t xml:space="preserve">PROGETTO ARCADIUM — ACE5</w:t>
      </w:r>
    </w:p>
    <w:p>
      <w:pPr>
        <w:pStyle w:val="Heading1"/>
        <w:pBdr>
          <w:bottom w:val="single" w:color="7C5CFF" w:sz="12" w:space="6"/>
        </w:pBdr>
        <w:spacing w:after="80"/>
      </w:pPr>
      <w:r>
        <w:rPr>
          <w:rFonts w:ascii="Calibri" w:cs="Calibri" w:eastAsia="Calibri" w:hAnsi="Calibri"/>
          <w:b/>
          <w:bCs/>
          <w:color w:val="1A1F3A"/>
          <w:sz w:val="40"/>
          <w:szCs w:val="40"/>
        </w:rPr>
        <w:t xml:space="preserve">Pagine di login e registrazione</w:t>
      </w:r>
    </w:p>
    <w:p>
      <w:pPr>
        <w:spacing w:after="220" w:before="6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Milestone M5 — Frontend React · Task T5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Questo task realizza le due schermate di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autenticazione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— accesso (login) e registrazione — attraverso cui l’utente entra nell’applicazione. A differenza delle pagine di contenuto, login e registrazione vivono in un layout dedicato senza sidebar (il gruppo di route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(auth)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predisposto nel task T1) e sono costruite attorno a un unico componente montato che passa dall’uno all’altro form tramite un’animazione di transizione fluida (morph), senza ricaricare la pagina. Come per il resto della milestone, l’implementazione usa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JavaScript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e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CSS Modules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, con i testi gestiti dall’i18n IT/EN del task T3 e i colori attinti dai token centralizzati in theme.css.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F3A"/>
          <w:sz w:val="27"/>
          <w:szCs w:val="27"/>
        </w:rPr>
        <w:t xml:space="preserve">1. Obiettivo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Fornire le schermate di accesso e registrazione fedeli ai mockup, condividendo un’unica base grafica e un passaggio animato tra i due form. L’obiettivo è duplice: da un lato far convivere login e registrazione in un solo componente montato, così che il passaggio tra i due avvenga come una trasformazione continua e non come un cambio di pagina con sfarfallio; dall’altro mantenere le due route distinte (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/login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 e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/registrazione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) per avere URL condivisibili, una cronologia del browser coerente e una base pronta per la futura protezione delle rotte.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F3A"/>
          <w:sz w:val="27"/>
          <w:szCs w:val="27"/>
        </w:rPr>
        <w:t xml:space="preserve">2. Struttura e routing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Le due schermate corrispondono a due route del gruppo (auth), che utilizza un layout dedicato senza sidebar né header. Ogni route è un involucro minimo (page.js) che si limita a montare il pannello di autenticazione indicando la modalità iniziale; tutta la logica e la grafica vivono nel componente condiviso AuthPanel.</w:t>
      </w:r>
    </w:p>
    <w:tbl>
      <w:tblPr>
        <w:tblW w:type="dxa" w:w="9020"/>
        <w:tblBorders>
          <w:top w:val="single" w:color="D5D7E3" w:sz="4"/>
          <w:left w:val="single" w:color="D5D7E3" w:sz="4"/>
          <w:bottom w:val="single" w:color="D5D7E3" w:sz="4"/>
          <w:right w:val="single" w:color="D5D7E3" w:sz="4"/>
          <w:insideH w:val="single" w:color="D5D7E3" w:sz="4"/>
          <w:insideV w:val="single" w:color="D5D7E3" w:sz="4"/>
        </w:tblBorders>
      </w:tblPr>
      <w:tblGrid>
        <w:gridCol w:w="2000"/>
        <w:gridCol w:w="3020"/>
        <w:gridCol w:w="4000"/>
      </w:tblGrid>
      <w:tr>
        <w:trPr>
          <w:tblHeader/>
        </w:trPr>
        <w:tc>
          <w:tcPr>
            <w:tcW w:type="dxa" w:w="2000"/>
            <w:shd w:fill="EDEB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F3A"/>
                <w:sz w:val="21"/>
                <w:szCs w:val="21"/>
              </w:rPr>
              <w:t xml:space="preserve">Elemento</w:t>
            </w:r>
          </w:p>
        </w:tc>
        <w:tc>
          <w:tcPr>
            <w:tcW w:type="dxa" w:w="3020"/>
            <w:shd w:fill="EDEB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F3A"/>
                <w:sz w:val="21"/>
                <w:szCs w:val="21"/>
              </w:rPr>
              <w:t xml:space="preserve">Posizione</w:t>
            </w:r>
          </w:p>
        </w:tc>
        <w:tc>
          <w:tcPr>
            <w:tcW w:type="dxa" w:w="4000"/>
            <w:shd w:fill="EDEB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F3A"/>
                <w:sz w:val="21"/>
                <w:szCs w:val="21"/>
              </w:rPr>
              <w:t xml:space="preserve">Ruolo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Layout (auth)</w:t>
            </w:r>
          </w:p>
        </w:tc>
        <w:tc>
          <w:tcPr>
            <w:tcW w:type="dxa" w:w="30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app/(auth)/layout.js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Guscio senza sidebar/header per l’autenticazione: sfondo e centratura del pannello.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Login (route)</w:t>
            </w:r>
          </w:p>
        </w:tc>
        <w:tc>
          <w:tcPr>
            <w:tcW w:type="dxa" w:w="30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app/(auth)/login/page.js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Involucro minimo: monta AuthPanel con initialMode = “login”.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Registrazione (route)</w:t>
            </w:r>
          </w:p>
        </w:tc>
        <w:tc>
          <w:tcPr>
            <w:tcW w:type="dxa" w:w="30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app/(auth)/registrazione/page.js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Involucro minimo: monta AuthPanel con initialMode = “register”.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AuthPanel</w:t>
            </w:r>
          </w:p>
        </w:tc>
        <w:tc>
          <w:tcPr>
            <w:tcW w:type="dxa" w:w="30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components/AuthPanel/AuthPanel.js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Componente unico che contiene entrambi i form e l’animazione di transizione.</w:t>
            </w:r>
          </w:p>
        </w:tc>
      </w:tr>
      <w:tr>
        <w:tc>
          <w:tcPr>
            <w:tcW w:type="dxa" w:w="2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Stili del pannello</w:t>
            </w:r>
          </w:p>
        </w:tc>
        <w:tc>
          <w:tcPr>
            <w:tcW w:type="dxa" w:w="30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components/AuthPanel/AuthPanel.module.css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Stili e keyframe dell’animazione morph, isolati (scoped) al componente.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F3A"/>
          <w:sz w:val="27"/>
          <w:szCs w:val="27"/>
        </w:rPr>
        <w:t xml:space="preserve">3. Un unico componente montato (AuthPanel)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 scelta chiave del task è far vivere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entrambi i form nello stesso componente montato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. Se login e registrazione fossero due pagine separate, passare dall’una all’altra provocherebbe lo smontaggio di un form e il montaggio dell’altro: il risultato sarebbe un lampo visivo (flash) e la perdita di qualsiasi stato di transizione. Montando invece entrambi i form nel medesimo componente e cambiando solo la modalità interna, il passaggio diventa una trasformazione fluida degli stessi elementi già presenti in pagina.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Prop initialMode.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decide quale form mostrare al primo caricamento: “login” quando si arriva da /login, “register” quando si arriva da /registrazione.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Alternanza interna.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un collegamento del tipo “Non hai un account? Registrati” / “Hai già un account? Accedi” cambia la modalità senza navigare via, aggiornando l’URL in modo che la route resti coerente con ciò che si vede a schermo.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F3A"/>
          <w:sz w:val="27"/>
          <w:szCs w:val="27"/>
        </w:rPr>
        <w:t xml:space="preserve">4. Animazione di transizione (morph)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Il passaggio tra login e registrazione è animato: il pannello adatta la propria altezza mentre i campi compaiono o scompaiono con una dissolvenza e uno scorrimento morbidi, definiti come keyframe in AuthPanel.module.css. Poiché gli elementi non vengono smontati, l’animazione risulta continua e priva di sfarfallio.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Preferenze di sistema.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l’animazione si riduce o si annulla per gli utenti con prefers-reduced-motion, lasciando un passaggio istantaneo.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Nessun blocco.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durante la transizione i campi restano utilizzabili e il focus da tastiera non viene perso.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F3A"/>
          <w:sz w:val="27"/>
          <w:szCs w:val="27"/>
        </w:rPr>
        <w:t xml:space="preserve">5. Form di accesso e registrazione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 due form riutilizzano i componenti base del design system (task T2): campi Input per i dati testuali e PasswordInput per la password, con il relativo toggle di visibilità. I campi rispecchiano l’entità app_user del modello dati (M1/M2).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Accesso.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credenziale (email o username) e password; il pulsante di conferma “Accedi” è in tinta brand (gradiente violet).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Registrazione.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username, email e password; conferma con “Crea account”, anch’esso in tinta brand.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Testi localizzati.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etichette, segnaposto e messaggi provengono dal namespace auth dell’i18n (T3), disponibili in italiano e in inglese.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2"/>
          <w:szCs w:val="22"/>
        </w:rPr>
        <w:t xml:space="preserve">Integrazione con il backend — fuori perimetro.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La chiamata reale di login/registrazione e la gestione del token JWT non fanno parte di questo task: sono previste nel task T13 (integrazione auth JWT), tramite il client centralizzato in src/api/ e gli endpoint della milestone M4. In T5 i form sono completi sul piano dell’interfaccia e già pronti per essere collegati.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F3A"/>
          <w:sz w:val="27"/>
          <w:szCs w:val="27"/>
        </w:rPr>
        <w:t xml:space="preserve">6. Layout dedicato (auth) senza sidebar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Il gruppo (auth) usa un proprio layout, distinto da quello dell’area autenticata: niente sidebar e niente header. Il pannello di autenticazione è centrato nella pagina, sopra lo stesso sfondo dell’applicazione (gradiente violet/blu e sfondo stellato StarField del task T4), così da garantire continuità visiva tra le schermate di ingresso e il resto dell’app.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F3A"/>
          <w:sz w:val="27"/>
          <w:szCs w:val="27"/>
        </w:rPr>
        <w:t xml:space="preserve">7. Internazionalizzazione (i18n)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Tutti i testi delle due schermate passano dall’i18n IT/EN del task T3 e sono raccolti nel namespace auth dei file it.json ed en.json. I form non contengono stringhe fisse in italiano nel codice: al cambio di lingua, etichette e messaggi si aggiornano di conseguenza.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F3A"/>
          <w:sz w:val="27"/>
          <w:szCs w:val="27"/>
        </w:rPr>
        <w:t xml:space="preserve">8. Accessibilità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Ogni campo ha un’etichetta associata; il toggle di visibilità della password espone un’etichetta accessibile (aria-label).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Focus da tastiera sempre visibile (focus-visible), ereditato dagli stili globali.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Ordine di tabulazione coerente; il collegamento di alternanza login/registrazione è raggiungibile e attivabile da tastiera.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Animazione ridotta per prefers-reduced-motion.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F3A"/>
          <w:sz w:val="27"/>
          <w:szCs w:val="27"/>
        </w:rPr>
        <w:t xml:space="preserve">9. Coerenza con i mockup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Pannello centrato, con angoli arrotondati e superficie elevata sul tema scuro.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Accento violet a gradiente su pulsanti e stati attivi.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Toggle di visibilità della password come da componente PasswordInput del task T2.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Passaggio login ⇄ registrazione come trasformazione fluida, senza cambio di pagina percepibile.</w:t>
      </w:r>
    </w:p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F3A"/>
          <w:sz w:val="27"/>
          <w:szCs w:val="27"/>
        </w:rPr>
        <w:t xml:space="preserve">10. Note e scelte di design</w:t>
      </w:r>
    </w:p>
    <w:tbl>
      <w:tblPr>
        <w:tblW w:type="dxa" w:w="9020"/>
        <w:tblBorders>
          <w:top w:val="single" w:color="D5D7E3" w:sz="4"/>
          <w:left w:val="single" w:color="D5D7E3" w:sz="4"/>
          <w:bottom w:val="single" w:color="D5D7E3" w:sz="4"/>
          <w:right w:val="single" w:color="D5D7E3" w:sz="4"/>
          <w:insideH w:val="single" w:color="D5D7E3" w:sz="4"/>
          <w:insideV w:val="single" w:color="D5D7E3" w:sz="4"/>
        </w:tblBorders>
      </w:tblPr>
      <w:tblGrid>
        <w:gridCol w:w="2600"/>
        <w:gridCol w:w="6420"/>
      </w:tblGrid>
      <w:tr>
        <w:trPr>
          <w:tblHeader/>
        </w:trPr>
        <w:tc>
          <w:tcPr>
            <w:tcW w:type="dxa" w:w="2600"/>
            <w:shd w:fill="EDEB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F3A"/>
                <w:sz w:val="21"/>
                <w:szCs w:val="21"/>
              </w:rPr>
              <w:t xml:space="preserve">Punto</w:t>
            </w:r>
          </w:p>
        </w:tc>
        <w:tc>
          <w:tcPr>
            <w:tcW w:type="dxa" w:w="6420"/>
            <w:shd w:fill="EDEB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F3A"/>
                <w:sz w:val="21"/>
                <w:szCs w:val="21"/>
              </w:rPr>
              <w:t xml:space="preserve">Scelta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Un solo componente montato</w:t>
            </w:r>
          </w:p>
        </w:tc>
        <w:tc>
          <w:tcPr>
            <w:tcW w:type="dxa" w:w="64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login e registrazione nello stesso AuthPanel, per un morph senza sfarfallio.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Due route mantenute</w:t>
            </w:r>
          </w:p>
        </w:tc>
        <w:tc>
          <w:tcPr>
            <w:tcW w:type="dxa" w:w="64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/login e /registrazione restano URL distinti (condivisibili e storicizzati), pur condividendo il componente.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initialMode come prop</w:t>
            </w:r>
          </w:p>
        </w:tc>
        <w:tc>
          <w:tcPr>
            <w:tcW w:type="dxa" w:w="64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ogni route decide solo il form iniziale; il resto è gestito internamente dal pannello.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Integrazione backend rinviata</w:t>
            </w:r>
          </w:p>
        </w:tc>
        <w:tc>
          <w:tcPr>
            <w:tcW w:type="dxa" w:w="64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login/registrazione reali e JWT nel task T13; qui l’interfaccia è pronta e collegabile.</w:t>
            </w:r>
          </w:p>
        </w:tc>
      </w:tr>
      <w:tr>
        <w:tc>
          <w:tcPr>
            <w:tcW w:type="dxa" w:w="26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Testi via i18n</w:t>
            </w:r>
          </w:p>
        </w:tc>
        <w:tc>
          <w:tcPr>
            <w:tcW w:type="dxa" w:w="642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nessuna stringa fissa nel codice; namespace auth in IT/EN.</w:t>
            </w:r>
          </w:p>
        </w:tc>
      </w:tr>
    </w:tbl>
    <w:p>
      <w:pPr>
        <w:pStyle w:val="Heading2"/>
        <w:keepNext/>
        <w:spacing w:after="100" w:before="260"/>
      </w:pPr>
      <w:r>
        <w:rPr>
          <w:rFonts w:ascii="Calibri" w:cs="Calibri" w:eastAsia="Calibri" w:hAnsi="Calibri"/>
          <w:b/>
          <w:bCs/>
          <w:color w:val="1A1F3A"/>
          <w:sz w:val="27"/>
          <w:szCs w:val="27"/>
        </w:rPr>
        <w:t xml:space="preserve">11. Prossimi passi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Con le pagine di autenticazione pronte, il task T6 aggiunge i pulsanti social (Discord/Twitch) e le notifiche negli spazi già riservati nell’header del task T4; il collegamento effettivo dei form al backend, con token JWT, è previsto nel task T13 tramite il client centralizzato in src/api/ e gli endpoint della milestone M4.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7E3" w:sz="4" w:space="6"/>
      </w:pBdr>
      <w:tabs>
        <w:tab w:val="right" w:pos="9020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Arcadium · ACE5 — M5-T5 · Pagine login e registrazione</w:t>
    </w:r>
    <w:r>
      <w:rPr>
        <w:rFonts w:ascii="Calibri" w:cs="Calibri" w:eastAsia="Calibri" w:hAnsi="Calibri"/>
        <w:color w:val="6B7280"/>
        <w:sz w:val="16"/>
        <w:szCs w:val="16"/>
      </w:rPr>
      <w:t xml:space="preserve">	pag.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7C5CF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M5-T5 · Pagine login e registrazione</dc:title>
  <dc:creator>Arcadium · ACE5</dc:creator>
  <cp:lastModifiedBy>Un-named</cp:lastModifiedBy>
  <cp:revision>1</cp:revision>
  <dcterms:created xsi:type="dcterms:W3CDTF">2026-07-05T13:44:41.547Z</dcterms:created>
  <dcterms:modified xsi:type="dcterms:W3CDTF">2026-07-05T13:44:41.547Z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