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595959"/>
          <w:sz w:val="21"/>
        </w:rPr>
        <w:t>Progetto Arcadium</w:t>
      </w:r>
      <w:r>
        <w:rPr>
          <w:rFonts w:ascii="Calibri" w:hAnsi="Calibri"/>
          <w:b/>
          <w:i w:val="0"/>
          <w:color w:val="595959"/>
          <w:sz w:val="21"/>
        </w:rPr>
        <w:t xml:space="preserve">   •   Milestone 4 — Backend Spring Boot</w:t>
      </w:r>
    </w:p>
    <w:p>
      <w:pPr>
        <w:spacing w:after="40" w:before="120"/>
      </w:pPr>
      <w:r>
        <w:rPr>
          <w:rFonts w:ascii="Calibri" w:hAnsi="Calibri"/>
          <w:b/>
          <w:i w:val="0"/>
          <w:color w:val="5A2CA0"/>
          <w:sz w:val="32"/>
        </w:rPr>
        <w:t>M4-T12 — Validazione, gestione errori e documentazione API (Swagger)</w:t>
      </w:r>
    </w:p>
    <w:p>
      <w:pPr>
        <w:spacing w:after="160" w:before="0"/>
      </w:pPr>
      <w:r>
        <w:rPr>
          <w:rFonts w:ascii="Calibri" w:hAnsi="Calibri"/>
          <w:b w:val="0"/>
          <w:i/>
          <w:color w:val="595959"/>
          <w:sz w:val="21"/>
        </w:rPr>
        <w:t>Un corpo d’errore unico per tutta l’API e documentazione OpenAPI — Team ACE5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Dare all’API una forma d’errore unica e documentarla. Fino a M4-T11 gli errori avevano strutture diverse a seconda dell’origine (l’errore applicativo restituiva un solo campo message, la validazione aggiungeva errors, il 401 di sicurezza usava error); questa task le unifica in un unico corpo ApiError e aggiunge la documentazione OpenAPI con Swagger UI. E’ la rifinitura richiamata da M4-T3/T5/T7/T8 come «forma uniforme e strutturata del corpo d’errore con Swagger».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L’esito atteso e’ che </w:t>
      </w:r>
      <w:r>
        <w:rPr>
          <w:rFonts w:ascii="Calibri" w:hAnsi="Calibri"/>
          <w:b w:val="0"/>
          <w:i/>
          <w:color w:val="1A1A1A"/>
          <w:sz w:val="21"/>
        </w:rPr>
        <w:t>ogni</w:t>
      </w:r>
      <w:r>
        <w:rPr>
          <w:rFonts w:ascii="Calibri" w:hAnsi="Calibri"/>
          <w:b w:val="0"/>
          <w:i w:val="0"/>
          <w:color w:val="1A1A1A"/>
          <w:sz w:val="21"/>
        </w:rPr>
        <w:t xml:space="preserve"> errore dell’API — previsto o inatteso, dai controller o dalla catena di sicurezza — esca con la stessa struttura e nella lingua della richiesta, e che gli endpoint siano esplorabili da </w:t>
      </w:r>
      <w:r>
        <w:rPr>
          <w:rFonts w:ascii="Calibri" w:hAnsi="Calibri"/>
          <w:b/>
          <w:i w:val="0"/>
          <w:color w:val="1A1A1A"/>
          <w:sz w:val="21"/>
        </w:rPr>
        <w:t>/swagger-ui.html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introduce il DTO d’errore, un handler di accesso negato e la configurazione OpenAPI; riscrive la gestione errori esistente e aggiunge una dipendenza.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dto/ApiError, security/RestAccessDeniedHandler, config/OpenApiConfig.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GlobalExceptionHandler (tutti gli errori → ApiError), JwtAuthenticationEntryPoint (401 nella nuova forma), SecurityConfig (handler 403 + path Swagger pubblici), i due bundle messages*.properties (chiavi d’errore generiche), application.yml (springdoc) e pom.xml (dipendenza springdoc).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Dipendenza: </w:t>
      </w:r>
      <w:r>
        <w:rPr>
          <w:rFonts w:ascii="Calibri" w:hAnsi="Calibri"/>
          <w:b w:val="0"/>
          <w:i w:val="0"/>
          <w:color w:val="1A1A1A"/>
          <w:sz w:val="21"/>
        </w:rPr>
        <w:t>springdoc-openapi-starter-webmvc-ui, linea 3.0.x (quella per Spring Boot 4 / Spring 7; la 2.x e’ per Boot 3). Genera OpenAPI e Swagger UI dai controller.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nuovi vincoli di validazione sui DTO (gia’ introdotti dai rispettivi endpoint, M4-T3/T8) e il consumo lato frontend del corpo d’errore (M5).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3.  Il corpo d’errore uniforme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Ogni errore diventa un ApiError con questi campi. Il dettaglio per campo compare solo per la validazione (altrimenti e’ omesso dalla risposta).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20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Campo</w:t>
            </w:r>
          </w:p>
        </w:tc>
        <w:tc>
          <w:tcPr>
            <w:tcW w:type="dxa" w:w="76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Significato</w:t>
            </w:r>
          </w:p>
        </w:tc>
      </w:tr>
      <w:tr>
        <w:tc>
          <w:tcPr>
            <w:tcW w:type="dxa" w:w="2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timestamp</w:t>
            </w:r>
          </w:p>
        </w:tc>
        <w:tc>
          <w:tcPr>
            <w:tcW w:type="dxa" w:w="76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Istante dell’errore.</w:t>
            </w:r>
          </w:p>
        </w:tc>
      </w:tr>
      <w:tr>
        <w:tc>
          <w:tcPr>
            <w:tcW w:type="dxa" w:w="2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status</w:t>
            </w:r>
          </w:p>
        </w:tc>
        <w:tc>
          <w:tcPr>
            <w:tcW w:type="dxa" w:w="76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Codice di stato HTTP (es. 404).</w:t>
            </w:r>
          </w:p>
        </w:tc>
      </w:tr>
      <w:tr>
        <w:tc>
          <w:tcPr>
            <w:tcW w:type="dxa" w:w="2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error</w:t>
            </w:r>
          </w:p>
        </w:tc>
        <w:tc>
          <w:tcPr>
            <w:tcW w:type="dxa" w:w="76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Motivo HTTP (es. “Not Found”).</w:t>
            </w:r>
          </w:p>
        </w:tc>
      </w:tr>
      <w:tr>
        <w:tc>
          <w:tcPr>
            <w:tcW w:type="dxa" w:w="2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message</w:t>
            </w:r>
          </w:p>
        </w:tc>
        <w:tc>
          <w:tcPr>
            <w:tcW w:type="dxa" w:w="76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Messaggio leggibile, nella lingua della richiesta (M4-T4).</w:t>
            </w:r>
          </w:p>
        </w:tc>
      </w:tr>
      <w:tr>
        <w:tc>
          <w:tcPr>
            <w:tcW w:type="dxa" w:w="2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path</w:t>
            </w:r>
          </w:p>
        </w:tc>
        <w:tc>
          <w:tcPr>
            <w:tcW w:type="dxa" w:w="76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Percorso della richiesta che ha generato l’errore.</w:t>
            </w:r>
          </w:p>
        </w:tc>
      </w:tr>
      <w:tr>
        <w:tc>
          <w:tcPr>
            <w:tcW w:type="dxa" w:w="20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fieldErrors</w:t>
            </w:r>
          </w:p>
        </w:tc>
        <w:tc>
          <w:tcPr>
            <w:tcW w:type="dxa" w:w="76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Mappa campo → messaggio; solo per la validazione (400), altrimenti assente.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4.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Una sola forma, ovunque. </w:t>
      </w:r>
      <w:r>
        <w:rPr>
          <w:rFonts w:ascii="Calibri" w:hAnsi="Calibri"/>
          <w:b w:val="0"/>
          <w:i w:val="0"/>
          <w:color w:val="1A1A1A"/>
          <w:sz w:val="21"/>
        </w:rPr>
        <w:t>Errori applicativi, di validazione e di sicurezza convergono tutti su ApiError. Anche il 401 (entry point) e il 403 della catena di sicurezza — che nascono nei filtri, prima del DispatcherServlet — usano la stessa struttura, serializzata con l’ObjectMapper di Spring.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Messaggi localizzati, non nel codice. </w:t>
      </w:r>
      <w:r>
        <w:rPr>
          <w:rFonts w:ascii="Calibri" w:hAnsi="Calibri"/>
          <w:b w:val="0"/>
          <w:i w:val="0"/>
          <w:color w:val="1A1A1A"/>
          <w:sz w:val="21"/>
        </w:rPr>
        <w:t>I testi restano nei bundle messages*.properties (M4-T4). Nei filtri di sicurezza la lingua si ricava dalla richiesta (LocaleResolver), perche’ li’ non e’ ancora nel contesto.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Casi noti gestiti, piu’ una rete di sicurezza. </w:t>
      </w:r>
      <w:r>
        <w:rPr>
          <w:rFonts w:ascii="Calibri" w:hAnsi="Calibri"/>
          <w:b w:val="0"/>
          <w:i w:val="0"/>
          <w:color w:val="1A1A1A"/>
          <w:sz w:val="21"/>
        </w:rPr>
        <w:t>Sono tradotti esplicitamente: errore applicativo, validazione del corpo, parametro di tipo errato, corpo malformato, metodo non supportato, rotta inesistente. Qualunque altra eccezione diventa un 500 uniforme, con il dettaglio tecnico nel log e non nella risposta.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Nessuno stato significativo nascosto. </w:t>
      </w:r>
      <w:r>
        <w:rPr>
          <w:rFonts w:ascii="Calibri" w:hAnsi="Calibri"/>
          <w:b w:val="0"/>
          <w:i w:val="0"/>
          <w:color w:val="1A1A1A"/>
          <w:sz w:val="21"/>
        </w:rPr>
        <w:t>L’app lancia solo ApiException per gli errori previsti (nessuna ResponseStatusException in giro): il catch-all 500 non maschera stati voluti.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Documentazione dal codice. </w:t>
      </w:r>
      <w:r>
        <w:rPr>
          <w:rFonts w:ascii="Calibri" w:hAnsi="Calibri"/>
          <w:b w:val="0"/>
          <w:i w:val="0"/>
          <w:color w:val="1A1A1A"/>
          <w:sz w:val="21"/>
        </w:rPr>
        <w:t>springdoc esamina i controller a runtime e genera OpenAPI e Swagger UI. La config aggiunge solo i metadati e lo schema JWT (bearerAuth): compare il pulsante Authorize per provare gli endpoint protetti col token del login.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Documentazione pubblica, resto invariato. </w:t>
      </w:r>
      <w:r>
        <w:rPr>
          <w:rFonts w:ascii="Calibri" w:hAnsi="Calibri"/>
          <w:b w:val="0"/>
          <w:i w:val="0"/>
          <w:color w:val="1A1A1A"/>
          <w:sz w:val="21"/>
        </w:rPr>
        <w:t>Solo /swagger-ui e /v3/api-docs sono aperti; la catena di sicurezza degli endpoint non cambia.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5.  Mappa degli errori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9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Situazione</w:t>
            </w:r>
          </w:p>
        </w:tc>
        <w:tc>
          <w:tcPr>
            <w:tcW w:type="dxa" w:w="23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Stato</w:t>
            </w:r>
          </w:p>
        </w:tc>
        <w:tc>
          <w:tcPr>
            <w:tcW w:type="dxa" w:w="34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Eccezione gestita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Errore applicativo previsto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409/404/401/403/400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ApiException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Corpo non valido (validazione)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400 + fieldErrors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MethodArgumentNotValidException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Parametro di tipo errato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400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MethodArgumentTypeMismatchException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Corpo mancante o malformato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400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HttpMessageNotReadableException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Metodo HTTP non supportato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405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HttpRequestMethodNotSupportedException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Rotta inesistente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404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NoResourceFoundException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Accesso senza token valido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401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(entry point di sicurezza)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Accesso negato dalla catena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403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(access denied handler)</w:t>
            </w:r>
          </w:p>
        </w:tc>
      </w:tr>
      <w:tr>
        <w:tc>
          <w:tcPr>
            <w:tcW w:type="dxa" w:w="3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Qualunque altro errore</w:t>
            </w:r>
          </w:p>
        </w:tc>
        <w:tc>
          <w:tcPr>
            <w:tcW w:type="dxa" w:w="2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500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Exception (rete di sicurezza)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6.  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1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Classe / risorsa</w:t>
            </w:r>
          </w:p>
        </w:tc>
        <w:tc>
          <w:tcPr>
            <w:tcW w:type="dxa" w:w="66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Responsabilità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ApiError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Il corpo d’errore uniforme (record), con fabbriche per il caso semplice e per la validazione.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GlobalExceptionHandler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Traduce ogni eccezione dei controller in ApiError, con messaggio localizzato; 500 come rete di sicurezza.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JwtAuthenticationEntryPoint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401 nella forma ApiError (aggiornato da M4-T3).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RestAccessDeniedHandler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403 nella forma ApiError, per la catena di sicurezza.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OpenApiConfig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Metadati OpenAPI e schema di sicurezza JWT (bearerAuth) per la Swagger UI.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SecurityConfig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handler 403 agganciato e path Swagger resi pubblici.</w:t>
            </w:r>
          </w:p>
        </w:tc>
      </w:tr>
      <w:tr>
        <w:tc>
          <w:tcPr>
            <w:tcW w:type="dxa" w:w="31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messages*.properties</w:t>
            </w:r>
          </w:p>
        </w:tc>
        <w:tc>
          <w:tcPr>
            <w:tcW w:type="dxa" w:w="6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Aggiornati: chiavi generiche (access.denied, notFound, request.malformed, request.typeMismatch, method.notSupported, internal).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7.  Esito della verifica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Verifica in due parti: test unitari del gestore errori (senza database, MessageSource mockato) e verifica empirica sull’istanza reale.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4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Controllo</w:t>
            </w:r>
          </w:p>
        </w:tc>
        <w:tc>
          <w:tcPr>
            <w:tcW w:type="dxa" w:w="53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 unitari GlobalExceptionHandlerTest (Mockito)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Coprono: ApiException → stato e messaggio corretti; validazione → 400 con fieldErrors; parametro errato → 400; eccezione inattesa → 500 uniforme.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Avvio applicazione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OK — springdoc attivo, Swagger UI e /v3/api-docs esposti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Errore applicativo (es. duplicato in wishlist)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409 — ApiError con status/error/message/path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Validazione (registrazione con password corta)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400 — ApiError con fieldErrors del campo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appId non numerico nel path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400 — ApiError (invece di 500)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Richiesta senza token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401 — ApiError (stessa forma degli altri)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/swagger-ui.html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Swagger UI raggiungibile, senza token</w:t>
            </w:r>
          </w:p>
        </w:tc>
      </w:tr>
      <w:tr>
        <w:tc>
          <w:tcPr>
            <w:tcW w:type="dxa" w:w="4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Messaggi IT/EN via Accept-Language</w:t>
            </w:r>
          </w:p>
        </w:tc>
        <w:tc>
          <w:tcPr>
            <w:tcW w:type="dxa" w:w="5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Il campo message segue la lingua della richiesta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8.  Nota sulla dipendenza (springdoc)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A differenza delle task precedenti, questa aggiunge una dipendenza esterna: al primo avvio IntelliJ deve reimportare Maven per scaricare springdoc (serve connessione). La versione 3.0.x e’ la linea allineata a Spring Boot 4 / Spring 7; se necessario si usa l’ultima 3.0.x disponibile. In produzione la documentazione si puo’ disattivare (springdoc.api-docs.enabled=false, springdoc.swagger-ui.enabled=false).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9.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rientrano: nuovi vincoli di validazione sui DTO (gia’ presenti dai rispettivi endpoint) e il consumo del corpo d’errore lato frontend (M5), che ora puo’ gestire gli errori in un unico modo. Con la forma d’errore uniforme e la documentazione, l’API di Milestone 4 e’ completa e pronta per l’integrazione con il frontend.</w:t>
      </w:r>
    </w:p>
    <w:p>
      <w:pPr>
        <w:spacing w:after="0" w:before="200"/>
      </w:pPr>
      <w:r>
        <w:rPr>
          <w:rFonts w:ascii="Calibri" w:hAnsi="Calibri"/>
          <w:b w:val="0"/>
          <w:i/>
          <w:color w:val="595959"/>
          <w:sz w:val="19"/>
        </w:rPr>
        <w:t>Arcadium · ACE5 — M4-T12 · Validazione, gestione errori e documentazione API (Swagger)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