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b/>
          <w:bCs/>
        </w:rPr>
        <w:t xml:space="preserve">PROGETTO ARCADIUM — ACE5</w:t>
      </w:r>
    </w:p>
    <w:p>
      <w:pPr>
        <w:pStyle w:val="Heading1"/>
        <w:spacing w:after="60"/>
      </w:pPr>
      <w:r>
        <w:rPr>
          <w:b/>
          <w:bCs/>
        </w:rPr>
        <w:t xml:space="preserve">Componente GameImage: anteprima e fallback (catalogo e libreria)</w:t>
      </w:r>
    </w:p>
    <w:p>
      <w:pPr>
        <w:spacing w:after="220"/>
      </w:pPr>
      <w:r>
        <w:rPr>
          <w:i/>
          <w:iCs/>
          <w:color w:val="555555"/>
        </w:rPr>
        <w:t xml:space="preserve">Milestone M5 — Frontend React · Task T7</w:t>
      </w:r>
    </w:p>
    <w:p>
      <w:pPr>
        <w:spacing w:after="120"/>
      </w:pPr>
      <w:r>
        <w:t xml:space="preserve">Questo task realizza un componente riutilizzabile, GameImage, incaricato di mostrare le copertine dei giochi (il campo header_image del catalogo) in modo uniforme in tutta l’applicazione — a partire dal Negozio e dalla Libreria. Il componente gestisce da solo i tre casi che, con un semplice &lt;img&gt;, produrrebbero un risultato incoerente: immagine ancora in caricamento, immagine assente e link rotto. Come per il resto della milestone, l’implementazione usa JavaScript e CSS Modules, con l’icona di fallback presa da lucide-react ed export centralizzato tramite il barrel dei componenti.</w:t>
      </w:r>
    </w:p>
    <w:p>
      <w:pPr>
        <w:pStyle w:val="Heading2"/>
        <w:spacing w:after="120" w:before="240"/>
      </w:pPr>
      <w:r>
        <w:rPr>
          <w:b/>
          <w:bCs/>
        </w:rPr>
        <w:t xml:space="preserve">1. Obiettivo</w:t>
      </w:r>
    </w:p>
    <w:p>
      <w:pPr>
        <w:spacing w:after="120"/>
      </w:pPr>
      <w:r>
        <w:t xml:space="preserve">Fornire un unico “mattone” per le copertine, così che le pagine che le mostrano (catalogo del Negozio nel task T8, Libreria nel task T9) non debbano più preoccuparsi di immagini mancanti o rotte né del salto del layout durante il caricamento. Costruire questo componente prima delle pagine che lo useranno è la ragione per cui il task precede il catalogo nel backlog: è una base condivisa e coerente.</w:t>
      </w:r>
    </w:p>
    <w:p>
      <w:pPr>
        <w:pStyle w:val="Heading2"/>
        <w:spacing w:after="120" w:before="240"/>
      </w:pPr>
      <w:r>
        <w:rPr>
          <w:b/>
          <w:bCs/>
        </w:rPr>
        <w:t xml:space="preserve">2. Struttura e file</w:t>
      </w:r>
    </w:p>
    <w:p>
      <w:pPr>
        <w:spacing w:after="120"/>
      </w:pPr>
      <w:r>
        <w:t xml:space="preserve">La funzionalità è isolata in un nuovo componente riutilizzabile, esposto tramite il barrel dei componenti per l’import centralizzato “@/components”.</w:t>
      </w:r>
    </w:p>
    <w:tbl>
      <w:tblPr>
        <w:tblW w:type="dxa" w:w="9400"/>
        <w:tblBorders>
          <w:top w:val="single" w:color="CCCCCC" w:sz="4"/>
          <w:left w:val="single" w:color="CCCCCC" w:sz="4"/>
          <w:bottom w:val="single" w:color="CCCCCC" w:sz="4"/>
          <w:right w:val="single" w:color="CCCCCC" w:sz="4"/>
          <w:insideH w:val="single" w:color="DDDDDD" w:sz="4"/>
          <w:insideV w:val="single" w:color="DDDDDD" w:sz="4"/>
        </w:tblBorders>
      </w:tblPr>
      <w:tblGrid>
        <w:gridCol w:w="2600"/>
        <w:gridCol w:w="3400"/>
        <w:gridCol w:w="3400"/>
      </w:tblGrid>
      <w:tr>
        <w:trPr>
          <w:tblHeader/>
        </w:trPr>
        <w:tc>
          <w:tcPr>
            <w:tcW w:type="dxa" w:w="2600"/>
            <w:shd w:fill="EDEBFB" w:color="auto" w:val="clear"/>
            <w:tcMar>
              <w:top w:type="dxa" w:w="60"/>
              <w:left w:type="dxa" w:w="100"/>
              <w:bottom w:type="dxa" w:w="60"/>
              <w:right w:type="dxa" w:w="100"/>
            </w:tcMar>
          </w:tcPr>
          <w:p>
            <w:r>
              <w:rPr>
                <w:b/>
                <w:bCs/>
              </w:rPr>
              <w:t xml:space="preserve">Elemento</w:t>
            </w:r>
          </w:p>
        </w:tc>
        <w:tc>
          <w:tcPr>
            <w:tcW w:type="dxa" w:w="3400"/>
            <w:shd w:fill="EDEBFB" w:color="auto" w:val="clear"/>
            <w:tcMar>
              <w:top w:type="dxa" w:w="60"/>
              <w:left w:type="dxa" w:w="100"/>
              <w:bottom w:type="dxa" w:w="60"/>
              <w:right w:type="dxa" w:w="100"/>
            </w:tcMar>
          </w:tcPr>
          <w:p>
            <w:r>
              <w:rPr>
                <w:b/>
                <w:bCs/>
              </w:rPr>
              <w:t xml:space="preserve">Posizione</w:t>
            </w:r>
          </w:p>
        </w:tc>
        <w:tc>
          <w:tcPr>
            <w:tcW w:type="dxa" w:w="3400"/>
            <w:shd w:fill="EDEBFB" w:color="auto" w:val="clear"/>
            <w:tcMar>
              <w:top w:type="dxa" w:w="60"/>
              <w:left w:type="dxa" w:w="100"/>
              <w:bottom w:type="dxa" w:w="60"/>
              <w:right w:type="dxa" w:w="100"/>
            </w:tcMar>
          </w:tcPr>
          <w:p>
            <w:r>
              <w:rPr>
                <w:b/>
                <w:bCs/>
              </w:rPr>
              <w:t xml:space="preserve">Ruolo</w:t>
            </w:r>
          </w:p>
        </w:tc>
      </w:tr>
      <w:tr>
        <w:tc>
          <w:tcPr>
            <w:tcW w:type="dxa" w:w="2600"/>
            <w:tcMar>
              <w:top w:type="dxa" w:w="60"/>
              <w:left w:type="dxa" w:w="100"/>
              <w:bottom w:type="dxa" w:w="60"/>
              <w:right w:type="dxa" w:w="100"/>
            </w:tcMar>
          </w:tcPr>
          <w:p>
            <w:r>
              <w:rPr>
                <w:b w:val="false"/>
                <w:bCs w:val="false"/>
              </w:rPr>
              <w:t xml:space="preserve">GameImage (componente)</w:t>
            </w:r>
          </w:p>
        </w:tc>
        <w:tc>
          <w:tcPr>
            <w:tcW w:type="dxa" w:w="3400"/>
            <w:tcMar>
              <w:top w:type="dxa" w:w="60"/>
              <w:left w:type="dxa" w:w="100"/>
              <w:bottom w:type="dxa" w:w="60"/>
              <w:right w:type="dxa" w:w="100"/>
            </w:tcMar>
          </w:tcPr>
          <w:p>
            <w:r>
              <w:rPr>
                <w:b w:val="false"/>
                <w:bCs w:val="false"/>
              </w:rPr>
              <w:t xml:space="preserve">components/GameImage/GameImage.js</w:t>
            </w:r>
          </w:p>
        </w:tc>
        <w:tc>
          <w:tcPr>
            <w:tcW w:type="dxa" w:w="3400"/>
            <w:tcMar>
              <w:top w:type="dxa" w:w="60"/>
              <w:left w:type="dxa" w:w="100"/>
              <w:bottom w:type="dxa" w:w="60"/>
              <w:right w:type="dxa" w:w="100"/>
            </w:tcMar>
          </w:tcPr>
          <w:p>
            <w:r>
              <w:rPr>
                <w:b w:val="false"/>
                <w:bCs w:val="false"/>
              </w:rPr>
              <w:t xml:space="preserve">Rende la copertina e gestisce i tre stati (caricamento, caricata, fallback).</w:t>
            </w:r>
          </w:p>
        </w:tc>
      </w:tr>
      <w:tr>
        <w:tc>
          <w:tcPr>
            <w:tcW w:type="dxa" w:w="2600"/>
            <w:tcMar>
              <w:top w:type="dxa" w:w="60"/>
              <w:left w:type="dxa" w:w="100"/>
              <w:bottom w:type="dxa" w:w="60"/>
              <w:right w:type="dxa" w:w="100"/>
            </w:tcMar>
          </w:tcPr>
          <w:p>
            <w:r>
              <w:rPr>
                <w:b w:val="false"/>
                <w:bCs w:val="false"/>
              </w:rPr>
              <w:t xml:space="preserve">Stili del componente</w:t>
            </w:r>
          </w:p>
        </w:tc>
        <w:tc>
          <w:tcPr>
            <w:tcW w:type="dxa" w:w="3400"/>
            <w:tcMar>
              <w:top w:type="dxa" w:w="60"/>
              <w:left w:type="dxa" w:w="100"/>
              <w:bottom w:type="dxa" w:w="60"/>
              <w:right w:type="dxa" w:w="100"/>
            </w:tcMar>
          </w:tcPr>
          <w:p>
            <w:r>
              <w:rPr>
                <w:b w:val="false"/>
                <w:bCs w:val="false"/>
              </w:rPr>
              <w:t xml:space="preserve">components/GameImage/GameImage.module.css</w:t>
            </w:r>
          </w:p>
        </w:tc>
        <w:tc>
          <w:tcPr>
            <w:tcW w:type="dxa" w:w="3400"/>
            <w:tcMar>
              <w:top w:type="dxa" w:w="60"/>
              <w:left w:type="dxa" w:w="100"/>
              <w:bottom w:type="dxa" w:w="60"/>
              <w:right w:type="dxa" w:w="100"/>
            </w:tcMar>
          </w:tcPr>
          <w:p>
            <w:r>
              <w:rPr>
                <w:b w:val="false"/>
                <w:bCs w:val="false"/>
              </w:rPr>
              <w:t xml:space="preserve">Riquadro, immagine, skeleton di caricamento e segnaposto di fallback.</w:t>
            </w:r>
          </w:p>
        </w:tc>
      </w:tr>
      <w:tr>
        <w:tc>
          <w:tcPr>
            <w:tcW w:type="dxa" w:w="2600"/>
            <w:tcMar>
              <w:top w:type="dxa" w:w="60"/>
              <w:left w:type="dxa" w:w="100"/>
              <w:bottom w:type="dxa" w:w="60"/>
              <w:right w:type="dxa" w:w="100"/>
            </w:tcMar>
          </w:tcPr>
          <w:p>
            <w:r>
              <w:rPr>
                <w:b w:val="false"/>
                <w:bCs w:val="false"/>
              </w:rPr>
              <w:t xml:space="preserve">Barrel componenti</w:t>
            </w:r>
          </w:p>
        </w:tc>
        <w:tc>
          <w:tcPr>
            <w:tcW w:type="dxa" w:w="3400"/>
            <w:tcMar>
              <w:top w:type="dxa" w:w="60"/>
              <w:left w:type="dxa" w:w="100"/>
              <w:bottom w:type="dxa" w:w="60"/>
              <w:right w:type="dxa" w:w="100"/>
            </w:tcMar>
          </w:tcPr>
          <w:p>
            <w:r>
              <w:rPr>
                <w:b w:val="false"/>
                <w:bCs w:val="false"/>
              </w:rPr>
              <w:t xml:space="preserve">components/index.js</w:t>
            </w:r>
          </w:p>
        </w:tc>
        <w:tc>
          <w:tcPr>
            <w:tcW w:type="dxa" w:w="3400"/>
            <w:tcMar>
              <w:top w:type="dxa" w:w="60"/>
              <w:left w:type="dxa" w:w="100"/>
              <w:bottom w:type="dxa" w:w="60"/>
              <w:right w:type="dxa" w:w="100"/>
            </w:tcMar>
          </w:tcPr>
          <w:p>
            <w:r>
              <w:rPr>
                <w:b w:val="false"/>
                <w:bCs w:val="false"/>
              </w:rPr>
              <w:t xml:space="preserve">Aggiunge l’export di GameImage per l’import centralizzato.</w:t>
            </w:r>
          </w:p>
        </w:tc>
      </w:tr>
    </w:tbl>
    <w:p>
      <w:pPr>
        <w:pStyle w:val="Heading2"/>
        <w:spacing w:after="120" w:before="240"/>
      </w:pPr>
      <w:r>
        <w:rPr>
          <w:b/>
          <w:bCs/>
        </w:rPr>
        <w:t xml:space="preserve">3. I tre stati</w:t>
      </w:r>
    </w:p>
    <w:p>
      <w:pPr>
        <w:spacing w:after="120"/>
      </w:pPr>
      <w:r>
        <w:t xml:space="preserve">Il componente mantiene un piccolo stato interno con tre valori e passa dall’uno all’altro in base agli eventi dell’immagine. Il riquadro esterno ha sempre le stesse dimensioni: cambia solo il contenuto, così il layout non “salta” mai.</w:t>
      </w:r>
    </w:p>
    <w:p>
      <w:pPr>
        <w:pStyle w:val="ListParagraph"/>
        <w:numPr>
          <w:ilvl w:val="0"/>
          <w:numId w:val="1"/>
        </w:numPr>
        <w:spacing w:after="100"/>
      </w:pPr>
      <w:r>
        <w:rPr>
          <w:b/>
          <w:bCs/>
        </w:rPr>
        <w:t xml:space="preserve">Caricamento. </w:t>
      </w:r>
      <w:r>
        <w:t xml:space="preserve">finché l’immagine non è pronta viene mostrato uno skeleton, un rettangolo che pulsa dolcemente (animazione di sola opacità). Occupa esattamente lo spazio della futura copertina.</w:t>
      </w:r>
    </w:p>
    <w:p>
      <w:pPr>
        <w:pStyle w:val="ListParagraph"/>
        <w:numPr>
          <w:ilvl w:val="0"/>
          <w:numId w:val="1"/>
        </w:numPr>
        <w:spacing w:after="100"/>
      </w:pPr>
      <w:r>
        <w:rPr>
          <w:b/>
          <w:bCs/>
        </w:rPr>
        <w:t xml:space="preserve">Caricata. </w:t>
      </w:r>
      <w:r>
        <w:t xml:space="preserve">quando l’immagine termina il caricamento (onLoad) compare la copertina reale, ritagliata con object-fit: cover e resa visibile con una breve dissolvenza.</w:t>
      </w:r>
    </w:p>
    <w:p>
      <w:pPr>
        <w:pStyle w:val="ListParagraph"/>
        <w:numPr>
          <w:ilvl w:val="0"/>
          <w:numId w:val="1"/>
        </w:numPr>
        <w:spacing w:after="100"/>
      </w:pPr>
      <w:r>
        <w:rPr>
          <w:b/>
          <w:bCs/>
        </w:rPr>
        <w:t xml:space="preserve">Fallback. </w:t>
      </w:r>
      <w:r>
        <w:t xml:space="preserve">se manca il link (src vuoto o nullo) oppure il caricamento fallisce (onError), al posto dell’immagine rotta appare un segnaposto pulito: l’icona di un controller (Gamepad2 di lucide-react) nel colore violet del brand e, sotto, il titolo del gioco.</w:t>
      </w:r>
    </w:p>
    <w:p>
      <w:pPr>
        <w:pStyle w:val="Heading2"/>
        <w:spacing w:after="120" w:before="240"/>
      </w:pPr>
      <w:r>
        <w:rPr>
          <w:b/>
          <w:bCs/>
        </w:rPr>
        <w:t xml:space="preserve">4. Le props del componente</w:t>
      </w:r>
    </w:p>
    <w:p>
      <w:pPr>
        <w:spacing w:after="120"/>
      </w:pPr>
      <w:r>
        <w:t xml:space="preserve">Il componente riceve poche informazioni essenziali e, sul modello di Card, resta estendibile dall’esterno tramite className e le restanti proprietà (…rest).</w:t>
      </w:r>
    </w:p>
    <w:tbl>
      <w:tblPr>
        <w:tblW w:type="dxa" w:w="9400"/>
        <w:tblBorders>
          <w:top w:val="single" w:color="CCCCCC" w:sz="4"/>
          <w:left w:val="single" w:color="CCCCCC" w:sz="4"/>
          <w:bottom w:val="single" w:color="CCCCCC" w:sz="4"/>
          <w:right w:val="single" w:color="CCCCCC" w:sz="4"/>
          <w:insideH w:val="single" w:color="DDDDDD" w:sz="4"/>
          <w:insideV w:val="single" w:color="DDDDDD" w:sz="4"/>
        </w:tblBorders>
      </w:tblPr>
      <w:tblGrid>
        <w:gridCol w:w="1800"/>
        <w:gridCol w:w="2600"/>
        <w:gridCol w:w="5000"/>
      </w:tblGrid>
      <w:tr>
        <w:trPr>
          <w:tblHeader/>
        </w:trPr>
        <w:tc>
          <w:tcPr>
            <w:tcW w:type="dxa" w:w="1800"/>
            <w:shd w:fill="EDEBFB" w:color="auto" w:val="clear"/>
            <w:tcMar>
              <w:top w:type="dxa" w:w="60"/>
              <w:left w:type="dxa" w:w="100"/>
              <w:bottom w:type="dxa" w:w="60"/>
              <w:right w:type="dxa" w:w="100"/>
            </w:tcMar>
          </w:tcPr>
          <w:p>
            <w:r>
              <w:rPr>
                <w:b/>
                <w:bCs/>
              </w:rPr>
              <w:t xml:space="preserve">Prop</w:t>
            </w:r>
          </w:p>
        </w:tc>
        <w:tc>
          <w:tcPr>
            <w:tcW w:type="dxa" w:w="2600"/>
            <w:shd w:fill="EDEBFB" w:color="auto" w:val="clear"/>
            <w:tcMar>
              <w:top w:type="dxa" w:w="60"/>
              <w:left w:type="dxa" w:w="100"/>
              <w:bottom w:type="dxa" w:w="60"/>
              <w:right w:type="dxa" w:w="100"/>
            </w:tcMar>
          </w:tcPr>
          <w:p>
            <w:r>
              <w:rPr>
                <w:b/>
                <w:bCs/>
              </w:rPr>
              <w:t xml:space="preserve">Tipo / default</w:t>
            </w:r>
          </w:p>
        </w:tc>
        <w:tc>
          <w:tcPr>
            <w:tcW w:type="dxa" w:w="5000"/>
            <w:shd w:fill="EDEBFB" w:color="auto" w:val="clear"/>
            <w:tcMar>
              <w:top w:type="dxa" w:w="60"/>
              <w:left w:type="dxa" w:w="100"/>
              <w:bottom w:type="dxa" w:w="60"/>
              <w:right w:type="dxa" w:w="100"/>
            </w:tcMar>
          </w:tcPr>
          <w:p>
            <w:r>
              <w:rPr>
                <w:b/>
                <w:bCs/>
              </w:rPr>
              <w:t xml:space="preserve">Ruolo</w:t>
            </w:r>
          </w:p>
        </w:tc>
      </w:tr>
      <w:tr>
        <w:tc>
          <w:tcPr>
            <w:tcW w:type="dxa" w:w="1800"/>
            <w:tcMar>
              <w:top w:type="dxa" w:w="60"/>
              <w:left w:type="dxa" w:w="100"/>
              <w:bottom w:type="dxa" w:w="60"/>
              <w:right w:type="dxa" w:w="100"/>
            </w:tcMar>
          </w:tcPr>
          <w:p>
            <w:r>
              <w:rPr>
                <w:b w:val="false"/>
                <w:bCs w:val="false"/>
              </w:rPr>
              <w:t xml:space="preserve">src</w:t>
            </w:r>
          </w:p>
        </w:tc>
        <w:tc>
          <w:tcPr>
            <w:tcW w:type="dxa" w:w="2600"/>
            <w:tcMar>
              <w:top w:type="dxa" w:w="60"/>
              <w:left w:type="dxa" w:w="100"/>
              <w:bottom w:type="dxa" w:w="60"/>
              <w:right w:type="dxa" w:w="100"/>
            </w:tcMar>
          </w:tcPr>
          <w:p>
            <w:r>
              <w:rPr>
                <w:b w:val="false"/>
                <w:bCs w:val="false"/>
              </w:rPr>
              <w:t xml:space="preserve">stringa (opzionale)</w:t>
            </w:r>
          </w:p>
        </w:tc>
        <w:tc>
          <w:tcPr>
            <w:tcW w:type="dxa" w:w="5000"/>
            <w:tcMar>
              <w:top w:type="dxa" w:w="60"/>
              <w:left w:type="dxa" w:w="100"/>
              <w:bottom w:type="dxa" w:w="60"/>
              <w:right w:type="dxa" w:w="100"/>
            </w:tcMar>
          </w:tcPr>
          <w:p>
            <w:r>
              <w:rPr>
                <w:b w:val="false"/>
                <w:bCs w:val="false"/>
              </w:rPr>
              <w:t xml:space="preserve">Il link della copertina (header_image). Se vuoto o nullo, il componente parte direttamente nello stato di fallback.</w:t>
            </w:r>
          </w:p>
        </w:tc>
      </w:tr>
      <w:tr>
        <w:tc>
          <w:tcPr>
            <w:tcW w:type="dxa" w:w="1800"/>
            <w:tcMar>
              <w:top w:type="dxa" w:w="60"/>
              <w:left w:type="dxa" w:w="100"/>
              <w:bottom w:type="dxa" w:w="60"/>
              <w:right w:type="dxa" w:w="100"/>
            </w:tcMar>
          </w:tcPr>
          <w:p>
            <w:r>
              <w:rPr>
                <w:b w:val="false"/>
                <w:bCs w:val="false"/>
              </w:rPr>
              <w:t xml:space="preserve">alt</w:t>
            </w:r>
          </w:p>
        </w:tc>
        <w:tc>
          <w:tcPr>
            <w:tcW w:type="dxa" w:w="2600"/>
            <w:tcMar>
              <w:top w:type="dxa" w:w="60"/>
              <w:left w:type="dxa" w:w="100"/>
              <w:bottom w:type="dxa" w:w="60"/>
              <w:right w:type="dxa" w:w="100"/>
            </w:tcMar>
          </w:tcPr>
          <w:p>
            <w:r>
              <w:rPr>
                <w:b w:val="false"/>
                <w:bCs w:val="false"/>
              </w:rPr>
              <w:t xml:space="preserve">stringa (default: “”)</w:t>
            </w:r>
          </w:p>
        </w:tc>
        <w:tc>
          <w:tcPr>
            <w:tcW w:type="dxa" w:w="5000"/>
            <w:tcMar>
              <w:top w:type="dxa" w:w="60"/>
              <w:left w:type="dxa" w:w="100"/>
              <w:bottom w:type="dxa" w:w="60"/>
              <w:right w:type="dxa" w:w="100"/>
            </w:tcMar>
          </w:tcPr>
          <w:p>
            <w:r>
              <w:rPr>
                <w:b w:val="false"/>
                <w:bCs w:val="false"/>
              </w:rPr>
              <w:t xml:space="preserve">Il nome del gioco: testo alternativo per l’accessibilità e, insieme, etichetta mostrata nel fallback.</w:t>
            </w:r>
          </w:p>
        </w:tc>
      </w:tr>
      <w:tr>
        <w:tc>
          <w:tcPr>
            <w:tcW w:type="dxa" w:w="1800"/>
            <w:tcMar>
              <w:top w:type="dxa" w:w="60"/>
              <w:left w:type="dxa" w:w="100"/>
              <w:bottom w:type="dxa" w:w="60"/>
              <w:right w:type="dxa" w:w="100"/>
            </w:tcMar>
          </w:tcPr>
          <w:p>
            <w:r>
              <w:rPr>
                <w:b w:val="false"/>
                <w:bCs w:val="false"/>
              </w:rPr>
              <w:t xml:space="preserve">ratio</w:t>
            </w:r>
          </w:p>
        </w:tc>
        <w:tc>
          <w:tcPr>
            <w:tcW w:type="dxa" w:w="2600"/>
            <w:tcMar>
              <w:top w:type="dxa" w:w="60"/>
              <w:left w:type="dxa" w:w="100"/>
              <w:bottom w:type="dxa" w:w="60"/>
              <w:right w:type="dxa" w:w="100"/>
            </w:tcMar>
          </w:tcPr>
          <w:p>
            <w:r>
              <w:rPr>
                <w:b w:val="false"/>
                <w:bCs w:val="false"/>
              </w:rPr>
              <w:t xml:space="preserve">stringa CSS (default: “460 / 215”)</w:t>
            </w:r>
          </w:p>
        </w:tc>
        <w:tc>
          <w:tcPr>
            <w:tcW w:type="dxa" w:w="5000"/>
            <w:tcMar>
              <w:top w:type="dxa" w:w="60"/>
              <w:left w:type="dxa" w:w="100"/>
              <w:bottom w:type="dxa" w:w="60"/>
              <w:right w:type="dxa" w:w="100"/>
            </w:tcMar>
          </w:tcPr>
          <w:p>
            <w:r>
              <w:rPr>
                <w:b w:val="false"/>
                <w:bCs w:val="false"/>
              </w:rPr>
              <w:t xml:space="preserve">La proporzione del riquadro. Il valore predefinito è quello della header Steam (orizzontale); chi usa il componente può sovrascriverlo.</w:t>
            </w:r>
          </w:p>
        </w:tc>
      </w:tr>
      <w:tr>
        <w:tc>
          <w:tcPr>
            <w:tcW w:type="dxa" w:w="1800"/>
            <w:tcMar>
              <w:top w:type="dxa" w:w="60"/>
              <w:left w:type="dxa" w:w="100"/>
              <w:bottom w:type="dxa" w:w="60"/>
              <w:right w:type="dxa" w:w="100"/>
            </w:tcMar>
          </w:tcPr>
          <w:p>
            <w:r>
              <w:rPr>
                <w:b w:val="false"/>
                <w:bCs w:val="false"/>
              </w:rPr>
              <w:t xml:space="preserve">className, …rest</w:t>
            </w:r>
          </w:p>
        </w:tc>
        <w:tc>
          <w:tcPr>
            <w:tcW w:type="dxa" w:w="2600"/>
            <w:tcMar>
              <w:top w:type="dxa" w:w="60"/>
              <w:left w:type="dxa" w:w="100"/>
              <w:bottom w:type="dxa" w:w="60"/>
              <w:right w:type="dxa" w:w="100"/>
            </w:tcMar>
          </w:tcPr>
          <w:p>
            <w:r>
              <w:rPr>
                <w:b w:val="false"/>
                <w:bCs w:val="false"/>
              </w:rPr>
              <w:t xml:space="preserve">—</w:t>
            </w:r>
          </w:p>
        </w:tc>
        <w:tc>
          <w:tcPr>
            <w:tcW w:type="dxa" w:w="5000"/>
            <w:tcMar>
              <w:top w:type="dxa" w:w="60"/>
              <w:left w:type="dxa" w:w="100"/>
              <w:bottom w:type="dxa" w:w="60"/>
              <w:right w:type="dxa" w:w="100"/>
            </w:tcMar>
          </w:tcPr>
          <w:p>
            <w:r>
              <w:rPr>
                <w:b w:val="false"/>
                <w:bCs w:val="false"/>
              </w:rPr>
              <w:t xml:space="preserve">Classe aggiuntiva e proprietà passanti, per estendere il componente come gli altri del design system.</w:t>
            </w:r>
          </w:p>
        </w:tc>
      </w:tr>
    </w:tbl>
    <w:p>
      <w:pPr>
        <w:pStyle w:val="Heading2"/>
        <w:spacing w:after="120" w:before="240"/>
      </w:pPr>
      <w:r>
        <w:rPr>
          <w:b/>
          <w:bCs/>
        </w:rPr>
        <w:t xml:space="preserve">5. Scelta tecnica: &lt;img&gt; invece di next/image</w:t>
      </w:r>
    </w:p>
    <w:p>
      <w:pPr>
        <w:spacing w:after="120"/>
      </w:pPr>
      <w:r>
        <w:t xml:space="preserve">Per le copertine si è scelto un elemento &lt;img&gt; standard invece del componente next/image. Le copertine provengono da domini esterni (Steam): next/image richiederebbe di dichiarare quei domini in next.config.js e renderebbe più macchinosa la gestione del fallback sull’errore. Un &lt;img&gt; normale non richiede alcuna configurazione, offre pieno controllo sugli eventi onLoad e onError (indispensabili per la logica dei tre stati) e, con loading="lazy", ottiene comunque il caricamento pigro. Il passaggio a next/image resta possibile in futuro, per motivi di performance, senza modificare le pagine che usano il componente.</w:t>
      </w:r>
    </w:p>
    <w:p>
      <w:pPr>
        <w:pStyle w:val="Heading2"/>
        <w:spacing w:after="120" w:before="240"/>
      </w:pPr>
      <w:r>
        <w:rPr>
          <w:b/>
          <w:bCs/>
        </w:rPr>
        <w:t xml:space="preserve">6. Accessibilità</w:t>
      </w:r>
    </w:p>
    <w:p>
      <w:pPr>
        <w:pStyle w:val="ListParagraph"/>
        <w:numPr>
          <w:ilvl w:val="0"/>
          <w:numId w:val="1"/>
        </w:numPr>
        <w:spacing w:after="100"/>
      </w:pPr>
      <w:r>
        <w:rPr>
          <w:b/>
          <w:bCs/>
        </w:rPr>
        <w:t xml:space="preserve">Testo alternativo. </w:t>
      </w:r>
      <w:r>
        <w:t xml:space="preserve">l’immagine espone sempre l’attributo alt con il nome del gioco.</w:t>
      </w:r>
    </w:p>
    <w:p>
      <w:pPr>
        <w:pStyle w:val="ListParagraph"/>
        <w:numPr>
          <w:ilvl w:val="0"/>
          <w:numId w:val="1"/>
        </w:numPr>
        <w:spacing w:after="100"/>
      </w:pPr>
      <w:r>
        <w:rPr>
          <w:b/>
          <w:bCs/>
        </w:rPr>
        <w:t xml:space="preserve">Elementi decorativi. </w:t>
      </w:r>
      <w:r>
        <w:t xml:space="preserve">lo skeleton di caricamento e l’icona del fallback sono marcati come decorativi (aria-hidden), poiché non aggiungono informazione utile alla lettura.</w:t>
      </w:r>
    </w:p>
    <w:p>
      <w:pPr>
        <w:pStyle w:val="ListParagraph"/>
        <w:numPr>
          <w:ilvl w:val="0"/>
          <w:numId w:val="1"/>
        </w:numPr>
        <w:spacing w:after="100"/>
      </w:pPr>
      <w:r>
        <w:rPr>
          <w:b/>
          <w:bCs/>
        </w:rPr>
        <w:t xml:space="preserve">Fallback leggibile. </w:t>
      </w:r>
      <w:r>
        <w:t xml:space="preserve">in assenza di immagine il titolo del gioco resta comunque presente come testo, così l’informazione non va persa.</w:t>
      </w:r>
    </w:p>
    <w:p>
      <w:pPr>
        <w:pStyle w:val="Heading2"/>
        <w:spacing w:after="120" w:before="240"/>
      </w:pPr>
      <w:r>
        <w:rPr>
          <w:b/>
          <w:bCs/>
        </w:rPr>
        <w:t xml:space="preserve">7. Note e scelte di design</w:t>
      </w:r>
    </w:p>
    <w:tbl>
      <w:tblPr>
        <w:tblW w:type="dxa" w:w="9400"/>
        <w:tblBorders>
          <w:top w:val="single" w:color="CCCCCC" w:sz="4"/>
          <w:left w:val="single" w:color="CCCCCC" w:sz="4"/>
          <w:bottom w:val="single" w:color="CCCCCC" w:sz="4"/>
          <w:right w:val="single" w:color="CCCCCC" w:sz="4"/>
          <w:insideH w:val="single" w:color="DDDDDD" w:sz="4"/>
          <w:insideV w:val="single" w:color="DDDDDD" w:sz="4"/>
        </w:tblBorders>
      </w:tblPr>
      <w:tblGrid>
        <w:gridCol w:w="3000"/>
        <w:gridCol w:w="6400"/>
      </w:tblGrid>
      <w:tr>
        <w:trPr>
          <w:tblHeader/>
        </w:trPr>
        <w:tc>
          <w:tcPr>
            <w:tcW w:type="dxa" w:w="3000"/>
            <w:shd w:fill="EDEBFB" w:color="auto" w:val="clear"/>
            <w:tcMar>
              <w:top w:type="dxa" w:w="60"/>
              <w:left w:type="dxa" w:w="100"/>
              <w:bottom w:type="dxa" w:w="60"/>
              <w:right w:type="dxa" w:w="100"/>
            </w:tcMar>
          </w:tcPr>
          <w:p>
            <w:r>
              <w:rPr>
                <w:b/>
                <w:bCs/>
              </w:rPr>
              <w:t xml:space="preserve">Punto</w:t>
            </w:r>
          </w:p>
        </w:tc>
        <w:tc>
          <w:tcPr>
            <w:tcW w:type="dxa" w:w="6400"/>
            <w:shd w:fill="EDEBFB" w:color="auto" w:val="clear"/>
            <w:tcMar>
              <w:top w:type="dxa" w:w="60"/>
              <w:left w:type="dxa" w:w="100"/>
              <w:bottom w:type="dxa" w:w="60"/>
              <w:right w:type="dxa" w:w="100"/>
            </w:tcMar>
          </w:tcPr>
          <w:p>
            <w:r>
              <w:rPr>
                <w:b/>
                <w:bCs/>
              </w:rPr>
              <w:t xml:space="preserve">Scelta</w:t>
            </w:r>
          </w:p>
        </w:tc>
      </w:tr>
      <w:tr>
        <w:tc>
          <w:tcPr>
            <w:tcW w:type="dxa" w:w="3000"/>
            <w:tcMar>
              <w:top w:type="dxa" w:w="60"/>
              <w:left w:type="dxa" w:w="100"/>
              <w:bottom w:type="dxa" w:w="60"/>
              <w:right w:type="dxa" w:w="100"/>
            </w:tcMar>
          </w:tcPr>
          <w:p>
            <w:r>
              <w:rPr>
                <w:b w:val="false"/>
                <w:bCs w:val="false"/>
              </w:rPr>
              <w:t xml:space="preserve">Componente dedicato</w:t>
            </w:r>
          </w:p>
        </w:tc>
        <w:tc>
          <w:tcPr>
            <w:tcW w:type="dxa" w:w="6400"/>
            <w:tcMar>
              <w:top w:type="dxa" w:w="60"/>
              <w:left w:type="dxa" w:w="100"/>
              <w:bottom w:type="dxa" w:w="60"/>
              <w:right w:type="dxa" w:w="100"/>
            </w:tcMar>
          </w:tcPr>
          <w:p>
            <w:r>
              <w:rPr>
                <w:b w:val="false"/>
                <w:bCs w:val="false"/>
              </w:rPr>
              <w:t xml:space="preserve">logica e stile isolati in GameImage, riutilizzabile in catalogo e libreria.</w:t>
            </w:r>
          </w:p>
        </w:tc>
      </w:tr>
      <w:tr>
        <w:tc>
          <w:tcPr>
            <w:tcW w:type="dxa" w:w="3000"/>
            <w:tcMar>
              <w:top w:type="dxa" w:w="60"/>
              <w:left w:type="dxa" w:w="100"/>
              <w:bottom w:type="dxa" w:w="60"/>
              <w:right w:type="dxa" w:w="100"/>
            </w:tcMar>
          </w:tcPr>
          <w:p>
            <w:r>
              <w:rPr>
                <w:b w:val="false"/>
                <w:bCs w:val="false"/>
              </w:rPr>
              <w:t xml:space="preserve">Riquadro a dimensione fissa</w:t>
            </w:r>
          </w:p>
        </w:tc>
        <w:tc>
          <w:tcPr>
            <w:tcW w:type="dxa" w:w="6400"/>
            <w:tcMar>
              <w:top w:type="dxa" w:w="60"/>
              <w:left w:type="dxa" w:w="100"/>
              <w:bottom w:type="dxa" w:w="60"/>
              <w:right w:type="dxa" w:w="100"/>
            </w:tcMar>
          </w:tcPr>
          <w:p>
            <w:r>
              <w:rPr>
                <w:b w:val="false"/>
                <w:bCs w:val="false"/>
              </w:rPr>
              <w:t xml:space="preserve">lo spazio è riservato dall’aspect-ratio: il layout non salta al caricamento.</w:t>
            </w:r>
          </w:p>
        </w:tc>
      </w:tr>
      <w:tr>
        <w:tc>
          <w:tcPr>
            <w:tcW w:type="dxa" w:w="3000"/>
            <w:tcMar>
              <w:top w:type="dxa" w:w="60"/>
              <w:left w:type="dxa" w:w="100"/>
              <w:bottom w:type="dxa" w:w="60"/>
              <w:right w:type="dxa" w:w="100"/>
            </w:tcMar>
          </w:tcPr>
          <w:p>
            <w:r>
              <w:rPr>
                <w:b w:val="false"/>
                <w:bCs w:val="false"/>
              </w:rPr>
              <w:t xml:space="preserve">Skeleton di caricamento</w:t>
            </w:r>
          </w:p>
        </w:tc>
        <w:tc>
          <w:tcPr>
            <w:tcW w:type="dxa" w:w="6400"/>
            <w:tcMar>
              <w:top w:type="dxa" w:w="60"/>
              <w:left w:type="dxa" w:w="100"/>
              <w:bottom w:type="dxa" w:w="60"/>
              <w:right w:type="dxa" w:w="100"/>
            </w:tcMar>
          </w:tcPr>
          <w:p>
            <w:r>
              <w:rPr>
                <w:b w:val="false"/>
                <w:bCs w:val="false"/>
              </w:rPr>
              <w:t xml:space="preserve">animazione di sola opacità, leggera e priva di distrazioni.</w:t>
            </w:r>
          </w:p>
        </w:tc>
      </w:tr>
      <w:tr>
        <w:tc>
          <w:tcPr>
            <w:tcW w:type="dxa" w:w="3000"/>
            <w:tcMar>
              <w:top w:type="dxa" w:w="60"/>
              <w:left w:type="dxa" w:w="100"/>
              <w:bottom w:type="dxa" w:w="60"/>
              <w:right w:type="dxa" w:w="100"/>
            </w:tcMar>
          </w:tcPr>
          <w:p>
            <w:r>
              <w:rPr>
                <w:b w:val="false"/>
                <w:bCs w:val="false"/>
              </w:rPr>
              <w:t xml:space="preserve">Fallback coerente</w:t>
            </w:r>
          </w:p>
        </w:tc>
        <w:tc>
          <w:tcPr>
            <w:tcW w:type="dxa" w:w="6400"/>
            <w:tcMar>
              <w:top w:type="dxa" w:w="60"/>
              <w:left w:type="dxa" w:w="100"/>
              <w:bottom w:type="dxa" w:w="60"/>
              <w:right w:type="dxa" w:w="100"/>
            </w:tcMar>
          </w:tcPr>
          <w:p>
            <w:r>
              <w:rPr>
                <w:b w:val="false"/>
                <w:bCs w:val="false"/>
              </w:rPr>
              <w:t xml:space="preserve">icona controller nel colore violet del brand e titolo del gioco al posto dell’immagine rotta.</w:t>
            </w:r>
          </w:p>
        </w:tc>
      </w:tr>
      <w:tr>
        <w:tc>
          <w:tcPr>
            <w:tcW w:type="dxa" w:w="3000"/>
            <w:tcMar>
              <w:top w:type="dxa" w:w="60"/>
              <w:left w:type="dxa" w:w="100"/>
              <w:bottom w:type="dxa" w:w="60"/>
              <w:right w:type="dxa" w:w="100"/>
            </w:tcMar>
          </w:tcPr>
          <w:p>
            <w:r>
              <w:rPr>
                <w:b w:val="false"/>
                <w:bCs w:val="false"/>
              </w:rPr>
              <w:t xml:space="preserve">&lt;img&gt; normale</w:t>
            </w:r>
          </w:p>
        </w:tc>
        <w:tc>
          <w:tcPr>
            <w:tcW w:type="dxa" w:w="6400"/>
            <w:tcMar>
              <w:top w:type="dxa" w:w="60"/>
              <w:left w:type="dxa" w:w="100"/>
              <w:bottom w:type="dxa" w:w="60"/>
              <w:right w:type="dxa" w:w="100"/>
            </w:tcMar>
          </w:tcPr>
          <w:p>
            <w:r>
              <w:rPr>
                <w:b w:val="false"/>
                <w:bCs w:val="false"/>
              </w:rPr>
              <w:t xml:space="preserve">nessuna configurazione dei domini esterni; controllo diretto su onLoad/onError.</w:t>
            </w:r>
          </w:p>
        </w:tc>
      </w:tr>
    </w:tbl>
    <w:p>
      <w:pPr>
        <w:pStyle w:val="Heading2"/>
        <w:spacing w:after="120" w:before="240"/>
      </w:pPr>
      <w:r>
        <w:rPr>
          <w:b/>
          <w:bCs/>
        </w:rPr>
        <w:t xml:space="preserve">8. Prossimi passi</w:t>
      </w:r>
    </w:p>
    <w:p>
      <w:pPr>
        <w:spacing w:after="120"/>
      </w:pPr>
      <w:r>
        <w:t xml:space="preserve">GameImage sarà montato nel catalogo del Negozio (task T8) e nella Libreria (task T9). I link delle copertine (header_image) arriveranno dal backend tramite il client centralizzato in src/api; nel frattempo le pagine potranno partire con alcuni giochi di esempio, senza modifiche al componente quando l’API sarà disponibile.</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pBdr>
      <w:tabs>
        <w:tab w:val="right" w:pos="9026"/>
      </w:tabs>
    </w:pPr>
    <w:r>
      <w:rPr>
        <w:color w:val="888888"/>
        <w:sz w:val="16"/>
        <w:szCs w:val="16"/>
      </w:rPr>
      <w:t xml:space="preserve">Arcadium · ACE5 — M5-T7 · Componente GameImage (anteprima e fallback)</w:t>
    </w:r>
    <w:r>
      <w:rPr>
        <w:color w:val="888888"/>
        <w:sz w:val="16"/>
        <w:szCs w:val="16"/>
      </w:rPr>
      <w:t xml:space="preserve">	pag.</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2026-07-05T19:49:38.017Z</dcterms:created>
  <dcterms:modified xsi:type="dcterms:W3CDTF">2026-07-05T19:49:38.017Z</dcterms:modified>
</cp:coreProperties>
</file>

<file path=docProps/custom.xml><?xml version="1.0" encoding="utf-8"?>
<Properties xmlns="http://schemas.openxmlformats.org/officeDocument/2006/custom-properties" xmlns:vt="http://schemas.openxmlformats.org/officeDocument/2006/docPropsVTypes"/>
</file>