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595959"/>
          <w:sz w:val="21"/>
        </w:rPr>
        <w:t>Progetto Arcadium</w:t>
      </w:r>
      <w:r>
        <w:rPr>
          <w:rFonts w:ascii="Calibri" w:hAnsi="Calibri"/>
          <w:b/>
          <w:i w:val="0"/>
          <w:color w:val="595959"/>
          <w:sz w:val="21"/>
        </w:rPr>
        <w:t xml:space="preserve">   •   Milestone 4 — Backend Spring Boot</w:t>
      </w:r>
    </w:p>
    <w:p>
      <w:pPr>
        <w:spacing w:after="40" w:before="120"/>
      </w:pPr>
      <w:r>
        <w:rPr>
          <w:rFonts w:ascii="Calibri" w:hAnsi="Calibri"/>
          <w:b/>
          <w:i w:val="0"/>
          <w:color w:val="5A2CA0"/>
          <w:sz w:val="32"/>
        </w:rPr>
        <w:t>M4-T15 — Endpoint integrazioni: link Discord/Twitch</w:t>
      </w:r>
    </w:p>
    <w:p>
      <w:pPr>
        <w:spacing w:after="160" w:before="0"/>
      </w:pPr>
      <w:r>
        <w:rPr>
          <w:rFonts w:ascii="Calibri" w:hAnsi="Calibri"/>
          <w:b w:val="0"/>
          <w:i/>
          <w:color w:val="595959"/>
          <w:sz w:val="21"/>
        </w:rPr>
        <w:t>Lettura e aggiornamento dei link social dell’utente — Team ACE5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Permettere all’utente di collegare i propri profili social: salvare e leggere i link Discord e Twitch. Sono i campi discord_url e twitch_url di app_user, previsti dal modello utente (M1-T5) e aggiunti dalla migrazione M2-T7. Lo Steam connect e’ un’altra cosa e arriva dopo (M4-T16).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 xml:space="preserve">L’esito atteso sono due endpoint protetti — </w:t>
      </w:r>
      <w:r>
        <w:rPr>
          <w:rFonts w:ascii="Calibri" w:hAnsi="Calibri"/>
          <w:b/>
          <w:i w:val="0"/>
          <w:color w:val="1A1A1A"/>
          <w:sz w:val="21"/>
        </w:rPr>
        <w:t>GET /api/integrations</w:t>
      </w:r>
      <w:r>
        <w:rPr>
          <w:rFonts w:ascii="Calibri" w:hAnsi="Calibri"/>
          <w:b w:val="0"/>
          <w:i w:val="0"/>
          <w:color w:val="1A1A1A"/>
          <w:sz w:val="21"/>
        </w:rPr>
        <w:t xml:space="preserve"> e </w:t>
      </w:r>
      <w:r>
        <w:rPr>
          <w:rFonts w:ascii="Calibri" w:hAnsi="Calibri"/>
          <w:b/>
          <w:i w:val="0"/>
          <w:color w:val="1A1A1A"/>
          <w:sz w:val="21"/>
        </w:rPr>
        <w:t>PUT /api/integrations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che leggono e sostituiscono i link social del solo utente autenticato, con validazione dei valori. Alimentano i pulsanti social del frontend (M5-T6).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introduce un controller, un service e due DTO; aggiunge due chiavi messaggio. Nessuna dipendenza nuova, nessuna modifica a SecurityConfig (gli endpoint ricadono in anyRequest().authenticated()).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Nuovi: </w:t>
      </w:r>
      <w:r>
        <w:rPr>
          <w:rFonts w:ascii="Calibri" w:hAnsi="Calibri"/>
          <w:b w:val="0"/>
          <w:i w:val="0"/>
          <w:color w:val="1A1A1A"/>
          <w:sz w:val="21"/>
        </w:rPr>
        <w:t>controller/IntegrationController, service/IntegrationService, dto/IntegrationLinksRequest e dto/IntegrationLinksResponse.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i due bundle messages*.properties (link Discord/Twitch non validi).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Riuso: </w:t>
      </w:r>
      <w:r>
        <w:rPr>
          <w:rFonts w:ascii="Calibri" w:hAnsi="Calibri"/>
          <w:b w:val="0"/>
          <w:i w:val="0"/>
          <w:color w:val="1A1A1A"/>
          <w:sz w:val="21"/>
        </w:rPr>
        <w:t>l’entita’ AppUser e i suoi campi (M4-T2 su schema M2-T7); AppUserRepository.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lo Steam connect e la sync (M4-T16, campo steam_id), i pulsanti social del frontend (M5-T6) e la preferred_language (gestita altrove).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3.  Contratto degli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9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Metodo</w:t>
            </w:r>
          </w:p>
        </w:tc>
        <w:tc>
          <w:tcPr>
            <w:tcW w:type="dxa" w:w="23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Path</w:t>
            </w:r>
          </w:p>
        </w:tc>
        <w:tc>
          <w:tcPr>
            <w:tcW w:type="dxa" w:w="30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Corpo</w:t>
            </w:r>
          </w:p>
        </w:tc>
        <w:tc>
          <w:tcPr>
            <w:tcW w:type="dxa" w:w="348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/api/integrations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{ discordUrl, twitchUrl } attuali (null se non impostati)</w:t>
            </w:r>
          </w:p>
        </w:tc>
      </w:tr>
      <w:tr>
        <w:tc>
          <w:tcPr>
            <w:tcW w:type="dxa" w:w="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PUT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/api/integrations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{ discordUrl, twitchUrl }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i link aggiornati; 400 se un link non e’ valido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4.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Scoped all’utente dal token. </w:t>
      </w:r>
      <w:r>
        <w:rPr>
          <w:rFonts w:ascii="Calibri" w:hAnsi="Calibri"/>
          <w:b w:val="0"/>
          <w:i w:val="0"/>
          <w:color w:val="1A1A1A"/>
          <w:sz w:val="21"/>
        </w:rPr>
        <w:t>Come backlog e wishlist, l’utente non e’ un parametro: si ricava da @AuthenticationPrincipal. Ognuno vede e modifica solo i propri link.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PUT = sostituzione. </w:t>
      </w:r>
      <w:r>
        <w:rPr>
          <w:rFonts w:ascii="Calibri" w:hAnsi="Calibri"/>
          <w:b w:val="0"/>
          <w:i w:val="0"/>
          <w:color w:val="1A1A1A"/>
          <w:sz w:val="21"/>
        </w:rPr>
        <w:t>Il corpo e’ lo stato desiderato completo: un link vuoto o assente azzera quel valore; un valore presente lo imposta. Semantica prevedibile per il form del frontend.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Validazione di dominio, non solo di forma. </w:t>
      </w:r>
      <w:r>
        <w:rPr>
          <w:rFonts w:ascii="Calibri" w:hAnsi="Calibri"/>
          <w:b w:val="0"/>
          <w:i w:val="0"/>
          <w:color w:val="1A1A1A"/>
          <w:sz w:val="21"/>
        </w:rPr>
        <w:t>Un link non vuoto dev’essere un URL http(s) e appartenere al dominio giusto — discord.com/discord.gg per Discord, twitch.tv per Twitch (www accettato) — altrimenti 400 localizzato. Cosi’ non si salvano non-URL o link fuorvianti. La validazione sta nel service, coerente con lo status del backlog (M4-T8).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Aggiornamento per dirty checking. </w:t>
      </w:r>
      <w:r>
        <w:rPr>
          <w:rFonts w:ascii="Calibri" w:hAnsi="Calibri"/>
          <w:b w:val="0"/>
          <w:i w:val="0"/>
          <w:color w:val="1A1A1A"/>
          <w:sz w:val="21"/>
        </w:rPr>
        <w:t>L’entita’ caricata nella transazione viene modificata e l’UPDATE parte al commit, senza save esplicito — lo stile JPA del progetto.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Errori uniformi (M4-T12). </w:t>
      </w:r>
      <w:r>
        <w:rPr>
          <w:rFonts w:ascii="Calibri" w:hAnsi="Calibri"/>
          <w:b w:val="0"/>
          <w:i w:val="0"/>
          <w:color w:val="1A1A1A"/>
          <w:sz w:val="21"/>
        </w:rPr>
        <w:t>I 400 di validazione escono nella forma ApiError comune a tutta l’API.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5.  Componenti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31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Classe / risorsa</w:t>
            </w:r>
          </w:p>
        </w:tc>
        <w:tc>
          <w:tcPr>
            <w:tcW w:type="dxa" w:w="66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Responsabilità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IntegrationController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Espone GET e PUT /api/integrations; ricava l’utente dal token.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IntegrationService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Legge e sostituisce i link; normalizza e valida gli URL (dominio Discord/Twitch).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IntegrationLinksRequest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Corpo del PUT: i due link desiderati (vuoto = azzera).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IntegrationLinksResponse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 link attuali (null se non impostati), per il frontend.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messages*.properties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Aggiornati: error.integration.discord.invalid, error.integration.twitch.invalid.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6.  Esito della verifica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Verifica in due parti: test unitari del service (senza database) e verifica empirica con un utente autenticato.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2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Controllo</w:t>
            </w:r>
          </w:p>
        </w:tc>
        <w:tc>
          <w:tcPr>
            <w:tcW w:type="dxa" w:w="55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Test unitari IntegrationServiceTest (Mockito)</w:t>
            </w:r>
          </w:p>
        </w:tc>
        <w:tc>
          <w:tcPr>
            <w:tcW w:type="dxa" w:w="55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Coprono: lettura dei link correnti; aggiornamento con URL validi (www e discord.gg inclusi); valore vuoto che azzera; dominio errato e URL malformato → 400 localizzato.</w:t>
            </w:r>
          </w:p>
        </w:tc>
      </w:tr>
      <w:tr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 /api/integrations con token</w:t>
            </w:r>
          </w:p>
        </w:tc>
        <w:tc>
          <w:tcPr>
            <w:tcW w:type="dxa" w:w="55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{ discordUrl, twitchUrl } (null se non impostati)</w:t>
            </w:r>
          </w:p>
        </w:tc>
      </w:tr>
      <w:tr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PUT con link validi</w:t>
            </w:r>
          </w:p>
        </w:tc>
        <w:tc>
          <w:tcPr>
            <w:tcW w:type="dxa" w:w="55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i link salvati e restituiti</w:t>
            </w:r>
          </w:p>
        </w:tc>
      </w:tr>
      <w:tr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PUT con link di dominio errato</w:t>
            </w:r>
          </w:p>
        </w:tc>
        <w:tc>
          <w:tcPr>
            <w:tcW w:type="dxa" w:w="55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400 — ApiError con messaggio localizzato</w:t>
            </w:r>
          </w:p>
        </w:tc>
      </w:tr>
      <w:tr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PUT con stringa vuota</w:t>
            </w:r>
          </w:p>
        </w:tc>
        <w:tc>
          <w:tcPr>
            <w:tcW w:type="dxa" w:w="55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il link viene azzerato (null)</w:t>
            </w:r>
          </w:p>
        </w:tc>
      </w:tr>
      <w:tr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Accesso senza token</w:t>
            </w:r>
          </w:p>
        </w:tc>
        <w:tc>
          <w:tcPr>
            <w:tcW w:type="dxa" w:w="55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401 — endpoint protetto (M4-T3)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7.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rientrano: lo Steam connect e la sincronizzazione di libreria e tempo di gioco (M4-T16), e i pulsanti social del frontend (M5-T6), che consumeranno questi endpoint. Il passo successivo del backend e’ proprio M4-T16 (integrazione Steam), l’ultima integrazione esterna della milestone.</w:t>
      </w:r>
    </w:p>
    <w:p>
      <w:pPr>
        <w:spacing w:after="0" w:before="200"/>
      </w:pPr>
      <w:r>
        <w:rPr>
          <w:rFonts w:ascii="Calibri" w:hAnsi="Calibri"/>
          <w:b w:val="0"/>
          <w:i/>
          <w:color w:val="595959"/>
          <w:sz w:val="19"/>
        </w:rPr>
        <w:t>Arcadium · ACE5 — M4-T15 · Endpoint integrazioni: link Discord/Twitch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