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7C3AED"/>
          <w:spacing w:val="20"/>
          <w:sz w:val="20"/>
          <w:szCs w:val="20"/>
        </w:rPr>
        <w:t xml:space="preserve">PROGETTO ARCADIUM — ACE5</w:t>
      </w:r>
    </w:p>
    <w:p>
      <w:pPr>
        <w:pStyle w:val="Heading1"/>
        <w:pBdr>
          <w:bottom w:val="single" w:color="7C3AED" w:sz="12" w:space="6"/>
        </w:pBdr>
        <w:spacing w:after="120"/>
      </w:pPr>
      <w:r>
        <w:t xml:space="preserve">Progettazione del diagramma ER</w:t>
      </w:r>
    </w:p>
    <w:p>
      <w:pPr>
        <w:spacing w:after="240"/>
      </w:pPr>
      <w:r>
        <w:rPr>
          <w:i/>
          <w:iCs/>
          <w:color w:val="6B7280"/>
          <w:sz w:val="22"/>
          <w:szCs w:val="22"/>
        </w:rPr>
        <w:t xml:space="preserve">Milestone M1 — Analisi Dati &amp; Progettazione DB · Task T4</w:t>
      </w:r>
    </w:p>
    <w:p>
      <w:pPr>
        <w:pStyle w:val="Heading2"/>
      </w:pPr>
      <w:r>
        <w:t xml:space="preserve">1. Obiettivo</w:t>
      </w:r>
    </w:p>
    <w:p>
      <w:pPr>
        <w:spacing w:after="120"/>
        <w:jc w:val="both"/>
      </w:pPr>
      <w:r>
        <w:t xml:space="preserve">Questo task realizza il diagramma Entità-Relazioni (ER) del catalogo: il modello concettuale che descrive le entità del dominio, le loro associazioni e i vincoli di integrità. È il deliverable centrale della progettazione di M1 e la base da cui, nella Milestone M2, si derivano le tabelle e le istruzioni DDL. Il modello formalizzato nel task T3 viene qui espresso in forma di diagramma.</w:t>
      </w:r>
    </w:p>
    <w:p>
      <w:pPr>
        <w:pStyle w:val="Heading2"/>
      </w:pPr>
      <w:r>
        <w:t xml:space="preserve">2. Strumento e notazione</w:t>
      </w:r>
    </w:p>
    <w:p>
      <w:pPr>
        <w:spacing w:after="120"/>
        <w:jc w:val="both"/>
      </w:pPr>
      <w:r>
        <w:t xml:space="preserve">Il diagramma è stato realizzato con </w:t>
      </w:r>
      <w:r>
        <w:rPr>
          <w:b/>
          <w:bCs/>
        </w:rPr>
        <w:t xml:space="preserve">designER</w:t>
      </w:r>
      <w:r>
        <w:t xml:space="preserve">, lo strumento di modellazione Entità-Relazione sviluppato dal </w:t>
      </w:r>
      <w:r>
        <w:rPr>
          <w:b/>
          <w:bCs/>
        </w:rPr>
        <w:t xml:space="preserve">Prof. Fiori</w:t>
      </w:r>
      <w:r>
        <w:t xml:space="preserve"> e utilizzato durante le lezioni in aula. designER adotta la notazione E-R con cardinalità </w:t>
      </w:r>
      <w:r>
        <w:rPr>
          <w:i/>
          <w:iCs/>
        </w:rPr>
        <w:t xml:space="preserve">min-max</w:t>
      </w:r>
      <w:r>
        <w:t xml:space="preserve">.</w:t>
      </w:r>
    </w:p>
    <w:p>
      <w:pPr>
        <w:spacing w:after="120"/>
        <w:jc w:val="both"/>
      </w:pPr>
      <w:r>
        <w:t xml:space="preserve">Un diagramma ER descrive il dominio attraverso tre costrutti fondamentali: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Entità</w:t>
      </w:r>
      <w:r>
        <w:t xml:space="preserve"> (rettangoli): gli oggetti del dominio dotati di esistenza propria — ad esempio il gioco o il genere.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Associazioni</w:t>
      </w:r>
      <w:r>
        <w:t xml:space="preserve"> (rombi): i legami logici fra entità — ad esempio «un gioco appartiene a un genere».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Attributi</w:t>
      </w:r>
      <w:r>
        <w:t xml:space="preserve"> (ellissi): le proprietà delle entità; l’attributo identificatore (chiave) è sottolineato.</w:t>
      </w:r>
    </w:p>
    <w:p>
      <w:pPr>
        <w:spacing w:after="120"/>
        <w:jc w:val="both"/>
      </w:pPr>
      <w:r>
        <w:t xml:space="preserve">Ogni partecipazione di un’entità a un’associazione è quantificata da una coppia di cardinalità </w:t>
      </w:r>
      <w:r>
        <w:rPr>
          <w:i/>
          <w:iCs/>
        </w:rPr>
        <w:t xml:space="preserve">(min, max)</w:t>
      </w:r>
      <w:r>
        <w:t xml:space="preserve">: il minimo indica se la partecipazione è opzionale (0) o obbligatoria (1), il massimo se è singola (1) o multipla (N). Il modello usa inoltre due costrutti specifici: l’</w:t>
      </w:r>
      <w:r>
        <w:rPr>
          <w:b/>
          <w:bCs/>
        </w:rPr>
        <w:t xml:space="preserve">entità debole</w:t>
      </w:r>
      <w:r>
        <w:t xml:space="preserve"> (rettangolo a doppio bordo), priva di un identificatore proprio e dipendente da un’altra entità tramite una </w:t>
      </w:r>
      <w:r>
        <w:rPr>
          <w:b/>
          <w:bCs/>
        </w:rPr>
        <w:t xml:space="preserve">relazione identificante</w:t>
      </w:r>
      <w:r>
        <w:t xml:space="preserve"> (rombo a doppio bordo); la sua chiave parziale è sottolineata con tratteggio.</w:t>
      </w:r>
    </w:p>
    <w:p>
      <w:pPr>
        <w:pStyle w:val="Heading2"/>
      </w:pPr>
      <w:r>
        <w:t xml:space="preserve">3. Perimetro del modello</w:t>
      </w:r>
    </w:p>
    <w:p>
      <w:pPr>
        <w:spacing w:after="120"/>
        <w:jc w:val="both"/>
      </w:pPr>
      <w:r>
        <w:t xml:space="preserve">Il diagramma copre la parte </w:t>
      </w:r>
      <w:r>
        <w:rPr>
          <w:b/>
          <w:bCs/>
        </w:rPr>
        <w:t xml:space="preserve">statica del catalogo</w:t>
      </w:r>
      <w:r>
        <w:t xml:space="preserve">, derivata dal file </w:t>
      </w:r>
      <w:r>
        <w:rPr>
          <w:i/>
          <w:iCs/>
        </w:rPr>
        <w:t xml:space="preserve">steam_games.json</w:t>
      </w:r>
      <w:r>
        <w:t xml:space="preserve">. La parte </w:t>
      </w:r>
      <w:r>
        <w:rPr>
          <w:b/>
          <w:bCs/>
        </w:rPr>
        <w:t xml:space="preserve">dinamica</w:t>
      </w:r>
      <w:r>
        <w:t xml:space="preserve"> — utenti, wishlist e backlog con i relativi stati — nasce dalla commessa e dai dati creati a runtime ed è modellata nel task T5; gli achievement interni e le notifiche nel task T7. Queste entità si agganceranno al catalogo tramite la chiave </w:t>
      </w:r>
      <w:r>
        <w:rPr>
          <w:i/>
          <w:iCs/>
        </w:rPr>
        <w:t xml:space="preserve">app_id</w:t>
      </w:r>
      <w:r>
        <w:t xml:space="preserve">.</w:t>
      </w:r>
    </w:p>
    <w:p>
      <w:pPr>
        <w:pStyle w:val="Heading2"/>
      </w:pPr>
      <w:r>
        <w:t xml:space="preserve">4. Diagramma concettuale</w:t>
      </w:r>
    </w:p>
    <w:p>
      <w:pPr>
        <w:spacing w:after="120"/>
        <w:jc w:val="both"/>
      </w:pPr>
      <w:r>
        <w:t xml:space="preserve">La figura nella pagina seguente mostra il modello concettuale completo: l’entità centrale GAMES con i suoi trenta attributi, le sei entità di classificazione (lookup) e l’entità debole SCREENSHOT, collegate da otto associazioni con le rispettive cardinalità.</w:t>
      </w:r>
    </w:p>
    <w:p>
      <w:pPr>
        <w:sectPr>
          <w:footerReference w:type="default" r:id="rId7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40" w:before="40"/>
        <w:jc w:val="center"/>
      </w:pPr>
      <w:r>
        <w:drawing>
          <wp:inline distT="0" distB="0" distL="0" distR="0">
            <wp:extent cx="8572500" cy="4752975"/>
            <wp:effectExtent t="0" r="0" b="0" l="0"/>
            <wp:docPr id="1" name="ER" descr="Arcadium" title="Diagramma 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i/>
          <w:iCs/>
          <w:color w:val="6B7280"/>
          <w:sz w:val="18"/>
          <w:szCs w:val="18"/>
        </w:rPr>
        <w:t xml:space="preserve">Figura 1 — Schema concettuale E-R del catalogo, realizzato con designER (strumento del Prof. Fiori). Parte statica derivata dal dataset Steam.</w:t>
      </w:r>
    </w:p>
    <w:p>
      <w:pPr>
        <w:sectPr>
          <w:footerReference w:type="default" r:id="rId8"/>
          <w:pgSz w:w="16838" w:h="11906" w:orient="landscape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</w:pPr>
      <w:r>
        <w:t xml:space="preserve">5. Entità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GAMES</w:t>
      </w:r>
      <w:r>
        <w:t xml:space="preserve"> — entità principale, il singolo gioco, identificata da </w:t>
      </w:r>
      <w:r>
        <w:rPr>
          <w:i/>
          <w:iCs/>
        </w:rPr>
        <w:t xml:space="preserve">app_id</w:t>
      </w:r>
      <w:r>
        <w:t xml:space="preserve">. Raccoglie tutti gli attributi a valore singolo: anagrafica, prezzo e sconto, piattaforme (windows/mac/linux), valutazioni, statistiche e i quattro tempi di gioco medi.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language, developer, publisher, category, genre, tag</w:t>
      </w:r>
      <w:r>
        <w:t xml:space="preserve"> — sei entità di classificazione (lookup). Ciascuna rappresenta un valore che si ripete su molti giochi, identificata da una chiave artificiale </w:t>
      </w:r>
      <w:r>
        <w:rPr>
          <w:i/>
          <w:iCs/>
        </w:rPr>
        <w:t xml:space="preserve">id</w:t>
      </w:r>
      <w:r>
        <w:t xml:space="preserve"> con </w:t>
      </w:r>
      <w:r>
        <w:rPr>
          <w:i/>
          <w:iCs/>
        </w:rPr>
        <w:t xml:space="preserve">name</w:t>
      </w:r>
      <w:r>
        <w:t xml:space="preserve"> univoco.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SCREENSHOT</w:t>
      </w:r>
      <w:r>
        <w:t xml:space="preserve"> — entità debole: non esiste senza il gioco a cui appartiene. È identificata dal gioco (tramite la relazione identificante POSSIEDE) più la propria chiave parziale </w:t>
      </w:r>
      <w:r>
        <w:rPr>
          <w:i/>
          <w:iCs/>
        </w:rPr>
        <w:t xml:space="preserve">url</w:t>
      </w:r>
      <w:r>
        <w:t xml:space="preserve">.</w:t>
      </w:r>
    </w:p>
    <w:p>
      <w:pPr>
        <w:pStyle w:val="Heading2"/>
      </w:pPr>
      <w:r>
        <w:t xml:space="preserve">6. Associazioni e cardinalità</w:t>
      </w:r>
    </w:p>
    <w:tbl>
      <w:tblPr>
        <w:tblW w:type="dxa" w:w="87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750"/>
        <w:gridCol w:w="2376"/>
        <w:gridCol w:w="1700"/>
      </w:tblGrid>
      <w:tr>
        <w:trPr>
          <w:tblHeader/>
        </w:trPr>
        <w:tc>
          <w:tcPr>
            <w:tcW w:type="dxa" w:w="2900"/>
            <w:tcBorders>
              <w:top w:val="single" w:color="D9CFF2" w:sz="1"/>
              <w:left w:val="single" w:color="D9CFF2" w:sz="1"/>
              <w:bottom w:val="single" w:color="D9CFF2" w:sz="1"/>
              <w:right w:val="single" w:color="D9CFF2" w:sz="1"/>
            </w:tcBorders>
            <w:shd w:fill="7C3A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Associazione</w:t>
            </w:r>
          </w:p>
        </w:tc>
        <w:tc>
          <w:tcPr>
            <w:tcW w:type="dxa" w:w="1750"/>
            <w:tcBorders>
              <w:top w:val="single" w:color="D9CFF2" w:sz="1"/>
              <w:left w:val="single" w:color="D9CFF2" w:sz="1"/>
              <w:bottom w:val="single" w:color="D9CFF2" w:sz="1"/>
              <w:right w:val="single" w:color="D9CFF2" w:sz="1"/>
            </w:tcBorders>
            <w:shd w:fill="7C3A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lato GAMES</w:t>
            </w:r>
          </w:p>
        </w:tc>
        <w:tc>
          <w:tcPr>
            <w:tcW w:type="dxa" w:w="2376"/>
            <w:tcBorders>
              <w:top w:val="single" w:color="D9CFF2" w:sz="1"/>
              <w:left w:val="single" w:color="D9CFF2" w:sz="1"/>
              <w:bottom w:val="single" w:color="D9CFF2" w:sz="1"/>
              <w:right w:val="single" w:color="D9CFF2" w:sz="1"/>
            </w:tcBorders>
            <w:shd w:fill="7C3A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Altra entità</w:t>
            </w:r>
          </w:p>
        </w:tc>
        <w:tc>
          <w:tcPr>
            <w:tcW w:type="dxa" w:w="1700"/>
            <w:tcBorders>
              <w:top w:val="single" w:color="D9CFF2" w:sz="1"/>
              <w:left w:val="single" w:color="D9CFF2" w:sz="1"/>
              <w:bottom w:val="single" w:color="D9CFF2" w:sz="1"/>
              <w:right w:val="single" w:color="D9CFF2" w:sz="1"/>
            </w:tcBorders>
            <w:shd w:fill="7C3A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lato entità</w:t>
            </w:r>
          </w:p>
        </w:tc>
      </w:tr>
      <w:tr>
        <w:tc>
          <w:tcPr>
            <w:tcW w:type="dxa" w:w="2900"/>
            <w:tcBorders>
              <w:top w:val="single" w:color="D9CFF2" w:sz="1"/>
              <w:left w:val="single" w:color="D9CFF2" w:sz="1"/>
              <w:bottom w:val="single" w:color="D9CFF2" w:sz="1"/>
              <w:right w:val="single" w:color="D9CFF2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SUPPORTA</w:t>
            </w:r>
          </w:p>
        </w:tc>
        <w:tc>
          <w:tcPr>
            <w:tcW w:type="dxa" w:w="1750"/>
            <w:tcBorders>
              <w:top w:val="single" w:color="D9CFF2" w:sz="1"/>
              <w:left w:val="single" w:color="D9CFF2" w:sz="1"/>
              <w:bottom w:val="single" w:color="D9CFF2" w:sz="1"/>
              <w:right w:val="single" w:color="D9CFF2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(0,N)</w:t>
            </w:r>
          </w:p>
        </w:tc>
        <w:tc>
          <w:tcPr>
            <w:tcW w:type="dxa" w:w="2376"/>
            <w:tcBorders>
              <w:top w:val="single" w:color="D9CFF2" w:sz="1"/>
              <w:left w:val="single" w:color="D9CFF2" w:sz="1"/>
              <w:bottom w:val="single" w:color="D9CFF2" w:sz="1"/>
              <w:right w:val="single" w:color="D9CFF2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i/>
                <w:iCs/>
                <w:sz w:val="19"/>
                <w:szCs w:val="19"/>
              </w:rPr>
              <w:t xml:space="preserve">language</w:t>
            </w:r>
          </w:p>
        </w:tc>
        <w:tc>
          <w:tcPr>
            <w:tcW w:type="dxa" w:w="1700"/>
            <w:tcBorders>
              <w:top w:val="single" w:color="D9CFF2" w:sz="1"/>
              <w:left w:val="single" w:color="D9CFF2" w:sz="1"/>
              <w:bottom w:val="single" w:color="D9CFF2" w:sz="1"/>
              <w:right w:val="single" w:color="D9CFF2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(1,N)</w:t>
            </w:r>
          </w:p>
        </w:tc>
      </w:tr>
      <w:tr>
        <w:tc>
          <w:tcPr>
            <w:tcW w:type="dxa" w:w="2900"/>
            <w:tcBorders>
              <w:top w:val="single" w:color="D9CFF2" w:sz="1"/>
              <w:left w:val="single" w:color="D9CFF2" w:sz="1"/>
              <w:bottom w:val="single" w:color="D9CFF2" w:sz="1"/>
              <w:right w:val="single" w:color="D9CFF2" w:sz="1"/>
            </w:tcBorders>
            <w:shd w:fill="F7F4F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HA_AUDIO_IN</w:t>
            </w:r>
          </w:p>
        </w:tc>
        <w:tc>
          <w:tcPr>
            <w:tcW w:type="dxa" w:w="1750"/>
            <w:tcBorders>
              <w:top w:val="single" w:color="D9CFF2" w:sz="1"/>
              <w:left w:val="single" w:color="D9CFF2" w:sz="1"/>
              <w:bottom w:val="single" w:color="D9CFF2" w:sz="1"/>
              <w:right w:val="single" w:color="D9CFF2" w:sz="1"/>
            </w:tcBorders>
            <w:shd w:fill="F7F4F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(0,N)</w:t>
            </w:r>
          </w:p>
        </w:tc>
        <w:tc>
          <w:tcPr>
            <w:tcW w:type="dxa" w:w="2376"/>
            <w:tcBorders>
              <w:top w:val="single" w:color="D9CFF2" w:sz="1"/>
              <w:left w:val="single" w:color="D9CFF2" w:sz="1"/>
              <w:bottom w:val="single" w:color="D9CFF2" w:sz="1"/>
              <w:right w:val="single" w:color="D9CFF2" w:sz="1"/>
            </w:tcBorders>
            <w:shd w:fill="F7F4F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i/>
                <w:iCs/>
                <w:sz w:val="19"/>
                <w:szCs w:val="19"/>
              </w:rPr>
              <w:t xml:space="preserve">language</w:t>
            </w:r>
          </w:p>
        </w:tc>
        <w:tc>
          <w:tcPr>
            <w:tcW w:type="dxa" w:w="1700"/>
            <w:tcBorders>
              <w:top w:val="single" w:color="D9CFF2" w:sz="1"/>
              <w:left w:val="single" w:color="D9CFF2" w:sz="1"/>
              <w:bottom w:val="single" w:color="D9CFF2" w:sz="1"/>
              <w:right w:val="single" w:color="D9CFF2" w:sz="1"/>
            </w:tcBorders>
            <w:shd w:fill="F7F4F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(0,N)</w:t>
            </w:r>
          </w:p>
        </w:tc>
      </w:tr>
      <w:tr>
        <w:tc>
          <w:tcPr>
            <w:tcW w:type="dxa" w:w="2900"/>
            <w:tcBorders>
              <w:top w:val="single" w:color="D9CFF2" w:sz="1"/>
              <w:left w:val="single" w:color="D9CFF2" w:sz="1"/>
              <w:bottom w:val="single" w:color="D9CFF2" w:sz="1"/>
              <w:right w:val="single" w:color="D9CFF2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SVILUPPATO_DA</w:t>
            </w:r>
          </w:p>
        </w:tc>
        <w:tc>
          <w:tcPr>
            <w:tcW w:type="dxa" w:w="1750"/>
            <w:tcBorders>
              <w:top w:val="single" w:color="D9CFF2" w:sz="1"/>
              <w:left w:val="single" w:color="D9CFF2" w:sz="1"/>
              <w:bottom w:val="single" w:color="D9CFF2" w:sz="1"/>
              <w:right w:val="single" w:color="D9CFF2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(0,N)</w:t>
            </w:r>
          </w:p>
        </w:tc>
        <w:tc>
          <w:tcPr>
            <w:tcW w:type="dxa" w:w="2376"/>
            <w:tcBorders>
              <w:top w:val="single" w:color="D9CFF2" w:sz="1"/>
              <w:left w:val="single" w:color="D9CFF2" w:sz="1"/>
              <w:bottom w:val="single" w:color="D9CFF2" w:sz="1"/>
              <w:right w:val="single" w:color="D9CFF2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i/>
                <w:iCs/>
                <w:sz w:val="19"/>
                <w:szCs w:val="19"/>
              </w:rPr>
              <w:t xml:space="preserve">developer</w:t>
            </w:r>
          </w:p>
        </w:tc>
        <w:tc>
          <w:tcPr>
            <w:tcW w:type="dxa" w:w="1700"/>
            <w:tcBorders>
              <w:top w:val="single" w:color="D9CFF2" w:sz="1"/>
              <w:left w:val="single" w:color="D9CFF2" w:sz="1"/>
              <w:bottom w:val="single" w:color="D9CFF2" w:sz="1"/>
              <w:right w:val="single" w:color="D9CFF2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(1,N)</w:t>
            </w:r>
          </w:p>
        </w:tc>
      </w:tr>
      <w:tr>
        <w:tc>
          <w:tcPr>
            <w:tcW w:type="dxa" w:w="2900"/>
            <w:tcBorders>
              <w:top w:val="single" w:color="D9CFF2" w:sz="1"/>
              <w:left w:val="single" w:color="D9CFF2" w:sz="1"/>
              <w:bottom w:val="single" w:color="D9CFF2" w:sz="1"/>
              <w:right w:val="single" w:color="D9CFF2" w:sz="1"/>
            </w:tcBorders>
            <w:shd w:fill="F7F4F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PUBBLICATO_DA</w:t>
            </w:r>
          </w:p>
        </w:tc>
        <w:tc>
          <w:tcPr>
            <w:tcW w:type="dxa" w:w="1750"/>
            <w:tcBorders>
              <w:top w:val="single" w:color="D9CFF2" w:sz="1"/>
              <w:left w:val="single" w:color="D9CFF2" w:sz="1"/>
              <w:bottom w:val="single" w:color="D9CFF2" w:sz="1"/>
              <w:right w:val="single" w:color="D9CFF2" w:sz="1"/>
            </w:tcBorders>
            <w:shd w:fill="F7F4F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(0,N)</w:t>
            </w:r>
          </w:p>
        </w:tc>
        <w:tc>
          <w:tcPr>
            <w:tcW w:type="dxa" w:w="2376"/>
            <w:tcBorders>
              <w:top w:val="single" w:color="D9CFF2" w:sz="1"/>
              <w:left w:val="single" w:color="D9CFF2" w:sz="1"/>
              <w:bottom w:val="single" w:color="D9CFF2" w:sz="1"/>
              <w:right w:val="single" w:color="D9CFF2" w:sz="1"/>
            </w:tcBorders>
            <w:shd w:fill="F7F4F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i/>
                <w:iCs/>
                <w:sz w:val="19"/>
                <w:szCs w:val="19"/>
              </w:rPr>
              <w:t xml:space="preserve">publisher</w:t>
            </w:r>
          </w:p>
        </w:tc>
        <w:tc>
          <w:tcPr>
            <w:tcW w:type="dxa" w:w="1700"/>
            <w:tcBorders>
              <w:top w:val="single" w:color="D9CFF2" w:sz="1"/>
              <w:left w:val="single" w:color="D9CFF2" w:sz="1"/>
              <w:bottom w:val="single" w:color="D9CFF2" w:sz="1"/>
              <w:right w:val="single" w:color="D9CFF2" w:sz="1"/>
            </w:tcBorders>
            <w:shd w:fill="F7F4F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(1,N)</w:t>
            </w:r>
          </w:p>
        </w:tc>
      </w:tr>
      <w:tr>
        <w:tc>
          <w:tcPr>
            <w:tcW w:type="dxa" w:w="2900"/>
            <w:tcBorders>
              <w:top w:val="single" w:color="D9CFF2" w:sz="1"/>
              <w:left w:val="single" w:color="D9CFF2" w:sz="1"/>
              <w:bottom w:val="single" w:color="D9CFF2" w:sz="1"/>
              <w:right w:val="single" w:color="D9CFF2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HA</w:t>
            </w:r>
          </w:p>
        </w:tc>
        <w:tc>
          <w:tcPr>
            <w:tcW w:type="dxa" w:w="1750"/>
            <w:tcBorders>
              <w:top w:val="single" w:color="D9CFF2" w:sz="1"/>
              <w:left w:val="single" w:color="D9CFF2" w:sz="1"/>
              <w:bottom w:val="single" w:color="D9CFF2" w:sz="1"/>
              <w:right w:val="single" w:color="D9CFF2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(0,N)</w:t>
            </w:r>
          </w:p>
        </w:tc>
        <w:tc>
          <w:tcPr>
            <w:tcW w:type="dxa" w:w="2376"/>
            <w:tcBorders>
              <w:top w:val="single" w:color="D9CFF2" w:sz="1"/>
              <w:left w:val="single" w:color="D9CFF2" w:sz="1"/>
              <w:bottom w:val="single" w:color="D9CFF2" w:sz="1"/>
              <w:right w:val="single" w:color="D9CFF2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i/>
                <w:iCs/>
                <w:sz w:val="19"/>
                <w:szCs w:val="19"/>
              </w:rPr>
              <w:t xml:space="preserve">category</w:t>
            </w:r>
          </w:p>
        </w:tc>
        <w:tc>
          <w:tcPr>
            <w:tcW w:type="dxa" w:w="1700"/>
            <w:tcBorders>
              <w:top w:val="single" w:color="D9CFF2" w:sz="1"/>
              <w:left w:val="single" w:color="D9CFF2" w:sz="1"/>
              <w:bottom w:val="single" w:color="D9CFF2" w:sz="1"/>
              <w:right w:val="single" w:color="D9CFF2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(1,N)</w:t>
            </w:r>
          </w:p>
        </w:tc>
      </w:tr>
      <w:tr>
        <w:tc>
          <w:tcPr>
            <w:tcW w:type="dxa" w:w="2900"/>
            <w:tcBorders>
              <w:top w:val="single" w:color="D9CFF2" w:sz="1"/>
              <w:left w:val="single" w:color="D9CFF2" w:sz="1"/>
              <w:bottom w:val="single" w:color="D9CFF2" w:sz="1"/>
              <w:right w:val="single" w:color="D9CFF2" w:sz="1"/>
            </w:tcBorders>
            <w:shd w:fill="F7F4F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APPARTIENE_A</w:t>
            </w:r>
          </w:p>
        </w:tc>
        <w:tc>
          <w:tcPr>
            <w:tcW w:type="dxa" w:w="1750"/>
            <w:tcBorders>
              <w:top w:val="single" w:color="D9CFF2" w:sz="1"/>
              <w:left w:val="single" w:color="D9CFF2" w:sz="1"/>
              <w:bottom w:val="single" w:color="D9CFF2" w:sz="1"/>
              <w:right w:val="single" w:color="D9CFF2" w:sz="1"/>
            </w:tcBorders>
            <w:shd w:fill="F7F4F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(0,N)</w:t>
            </w:r>
          </w:p>
        </w:tc>
        <w:tc>
          <w:tcPr>
            <w:tcW w:type="dxa" w:w="2376"/>
            <w:tcBorders>
              <w:top w:val="single" w:color="D9CFF2" w:sz="1"/>
              <w:left w:val="single" w:color="D9CFF2" w:sz="1"/>
              <w:bottom w:val="single" w:color="D9CFF2" w:sz="1"/>
              <w:right w:val="single" w:color="D9CFF2" w:sz="1"/>
            </w:tcBorders>
            <w:shd w:fill="F7F4F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i/>
                <w:iCs/>
                <w:sz w:val="19"/>
                <w:szCs w:val="19"/>
              </w:rPr>
              <w:t xml:space="preserve">genre</w:t>
            </w:r>
          </w:p>
        </w:tc>
        <w:tc>
          <w:tcPr>
            <w:tcW w:type="dxa" w:w="1700"/>
            <w:tcBorders>
              <w:top w:val="single" w:color="D9CFF2" w:sz="1"/>
              <w:left w:val="single" w:color="D9CFF2" w:sz="1"/>
              <w:bottom w:val="single" w:color="D9CFF2" w:sz="1"/>
              <w:right w:val="single" w:color="D9CFF2" w:sz="1"/>
            </w:tcBorders>
            <w:shd w:fill="F7F4F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(1,N)</w:t>
            </w:r>
          </w:p>
        </w:tc>
      </w:tr>
      <w:tr>
        <w:tc>
          <w:tcPr>
            <w:tcW w:type="dxa" w:w="2900"/>
            <w:tcBorders>
              <w:top w:val="single" w:color="D9CFF2" w:sz="1"/>
              <w:left w:val="single" w:color="D9CFF2" w:sz="1"/>
              <w:bottom w:val="single" w:color="D9CFF2" w:sz="1"/>
              <w:right w:val="single" w:color="D9CFF2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ETICHETTATO_CON</w:t>
            </w:r>
          </w:p>
        </w:tc>
        <w:tc>
          <w:tcPr>
            <w:tcW w:type="dxa" w:w="1750"/>
            <w:tcBorders>
              <w:top w:val="single" w:color="D9CFF2" w:sz="1"/>
              <w:left w:val="single" w:color="D9CFF2" w:sz="1"/>
              <w:bottom w:val="single" w:color="D9CFF2" w:sz="1"/>
              <w:right w:val="single" w:color="D9CFF2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(0,N)</w:t>
            </w:r>
          </w:p>
        </w:tc>
        <w:tc>
          <w:tcPr>
            <w:tcW w:type="dxa" w:w="2376"/>
            <w:tcBorders>
              <w:top w:val="single" w:color="D9CFF2" w:sz="1"/>
              <w:left w:val="single" w:color="D9CFF2" w:sz="1"/>
              <w:bottom w:val="single" w:color="D9CFF2" w:sz="1"/>
              <w:right w:val="single" w:color="D9CFF2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i/>
                <w:iCs/>
                <w:sz w:val="19"/>
                <w:szCs w:val="19"/>
              </w:rPr>
              <w:t xml:space="preserve">tag</w:t>
            </w:r>
          </w:p>
        </w:tc>
        <w:tc>
          <w:tcPr>
            <w:tcW w:type="dxa" w:w="1700"/>
            <w:tcBorders>
              <w:top w:val="single" w:color="D9CFF2" w:sz="1"/>
              <w:left w:val="single" w:color="D9CFF2" w:sz="1"/>
              <w:bottom w:val="single" w:color="D9CFF2" w:sz="1"/>
              <w:right w:val="single" w:color="D9CFF2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(1,N)</w:t>
            </w:r>
          </w:p>
        </w:tc>
      </w:tr>
      <w:tr>
        <w:tc>
          <w:tcPr>
            <w:tcW w:type="dxa" w:w="2900"/>
            <w:tcBorders>
              <w:top w:val="single" w:color="D9CFF2" w:sz="1"/>
              <w:left w:val="single" w:color="D9CFF2" w:sz="1"/>
              <w:bottom w:val="single" w:color="D9CFF2" w:sz="1"/>
              <w:right w:val="single" w:color="D9CFF2" w:sz="1"/>
            </w:tcBorders>
            <w:shd w:fill="F7F4F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POSSIEDE</w:t>
            </w:r>
          </w:p>
        </w:tc>
        <w:tc>
          <w:tcPr>
            <w:tcW w:type="dxa" w:w="1750"/>
            <w:tcBorders>
              <w:top w:val="single" w:color="D9CFF2" w:sz="1"/>
              <w:left w:val="single" w:color="D9CFF2" w:sz="1"/>
              <w:bottom w:val="single" w:color="D9CFF2" w:sz="1"/>
              <w:right w:val="single" w:color="D9CFF2" w:sz="1"/>
            </w:tcBorders>
            <w:shd w:fill="F7F4F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(0,N)</w:t>
            </w:r>
          </w:p>
        </w:tc>
        <w:tc>
          <w:tcPr>
            <w:tcW w:type="dxa" w:w="2376"/>
            <w:tcBorders>
              <w:top w:val="single" w:color="D9CFF2" w:sz="1"/>
              <w:left w:val="single" w:color="D9CFF2" w:sz="1"/>
              <w:bottom w:val="single" w:color="D9CFF2" w:sz="1"/>
              <w:right w:val="single" w:color="D9CFF2" w:sz="1"/>
            </w:tcBorders>
            <w:shd w:fill="F7F4F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i/>
                <w:iCs/>
                <w:sz w:val="19"/>
                <w:szCs w:val="19"/>
              </w:rPr>
              <w:t xml:space="preserve">screenshot</w:t>
            </w:r>
          </w:p>
        </w:tc>
        <w:tc>
          <w:tcPr>
            <w:tcW w:type="dxa" w:w="1700"/>
            <w:tcBorders>
              <w:top w:val="single" w:color="D9CFF2" w:sz="1"/>
              <w:left w:val="single" w:color="D9CFF2" w:sz="1"/>
              <w:bottom w:val="single" w:color="D9CFF2" w:sz="1"/>
              <w:right w:val="single" w:color="D9CFF2" w:sz="1"/>
            </w:tcBorders>
            <w:shd w:fill="F7F4F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(1,1)</w:t>
            </w:r>
          </w:p>
        </w:tc>
      </w:tr>
    </w:tbl>
    <w:p>
      <w:pPr>
        <w:spacing w:after="120"/>
        <w:jc w:val="both"/>
      </w:pPr>
      <w:r>
        <w:t xml:space="preserve">Lato GAMES è sempre </w:t>
      </w:r>
      <w:r>
        <w:rPr>
          <w:i/>
          <w:iCs/>
        </w:rPr>
        <w:t xml:space="preserve">(0,N)</w:t>
      </w:r>
      <w:r>
        <w:t xml:space="preserve"> perché molti giochi hanno questi campi vuoti. Lato lookup è </w:t>
      </w:r>
      <w:r>
        <w:rPr>
          <w:i/>
          <w:iCs/>
        </w:rPr>
        <w:t xml:space="preserve">(1,N)</w:t>
      </w:r>
      <w:r>
        <w:t xml:space="preserve"> perché un valore esiste solo se almeno un gioco lo usa; fa eccezione l’audio, dove </w:t>
      </w:r>
      <w:r>
        <w:rPr>
          <w:i/>
          <w:iCs/>
        </w:rPr>
        <w:t xml:space="preserve">language</w:t>
      </w:r>
      <w:r>
        <w:t xml:space="preserve"> è </w:t>
      </w:r>
      <w:r>
        <w:rPr>
          <w:i/>
          <w:iCs/>
        </w:rPr>
        <w:t xml:space="preserve">(0,N)</w:t>
      </w:r>
      <w:r>
        <w:t xml:space="preserve"> — le lingue con audio completo sono un sottoinsieme di quelle supportate. Lo screenshot è </w:t>
      </w:r>
      <w:r>
        <w:rPr>
          <w:i/>
          <w:iCs/>
        </w:rPr>
        <w:t xml:space="preserve">(1,1)</w:t>
      </w:r>
      <w:r>
        <w:t xml:space="preserve"> perché appartiene a un solo gioco.</w:t>
      </w:r>
    </w:p>
    <w:p>
      <w:pPr>
        <w:pStyle w:val="Heading2"/>
      </w:pPr>
      <w:r>
        <w:t xml:space="preserve">7. Vincoli di integrità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Chiavi primarie: </w:t>
      </w:r>
      <w:r>
        <w:t xml:space="preserve">app_id per games; id surrogato per ogni lookup; chiave composta dei due FK per ogni tabella ponte; (app_id, url) per game_screenshot (entità debole).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Unicità: </w:t>
      </w:r>
      <w:r>
        <w:t xml:space="preserve">name UNIQUE in ciascuna lookup; url UNIQUE in game_screenshot.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Obbligatorietà: </w:t>
      </w:r>
      <w:r>
        <w:t xml:space="preserve">NOT NULL su games.name, sui name delle lookup e su tutte le chiavi esterne.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Integrità referenziale: </w:t>
      </w:r>
      <w:r>
        <w:t xml:space="preserve">FK di ogni ponte verso games e verso la rispettiva lookup; game_screenshot verso games. ON DELETE CASCADE: eliminando un gioco si rimuovono i suoi collegamenti e i suoi screenshot.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Domini su games: </w:t>
      </w:r>
      <w:r>
        <w:t xml:space="preserve">discount fra 0 e 100, price ≥ 0, owners_max ≥ owners_min, required_age ≥ 0.</w:t>
      </w:r>
    </w:p>
    <w:p>
      <w:pPr>
        <w:pStyle w:val="Heading2"/>
      </w:pPr>
      <w:r>
        <w:t xml:space="preserve">8. Dal concettuale allo schema logico</w:t>
      </w:r>
    </w:p>
    <w:p>
      <w:pPr>
        <w:spacing w:after="120"/>
        <w:jc w:val="both"/>
      </w:pPr>
      <w:r>
        <w:t xml:space="preserve">La traduzione del modello concettuale in schema logico segue regole standard: ogni entità forte diventa una tabella; ogni associazione molti-a-molti diventa una tabella ponte con chiave composta dalle due chiavi esterne; l’entità debole game_screenshot diventa una tabella con chiave (app_id, url); per le lookup si adotta una chiave surrogata id con name UNIQUE. Lo schema risultante — quindici tabelle — e la sua implementazione in DDL PostgreSQL sono realizzati nella Milestone M2.</w:t>
      </w:r>
    </w:p>
    <w:p>
      <w:pPr>
        <w:pStyle w:val="Heading2"/>
      </w:pPr>
      <w:r>
        <w:t xml:space="preserve">9. Convenzioni di naming</w:t>
      </w:r>
    </w:p>
    <w:p>
      <w:pPr>
        <w:spacing w:after="120"/>
        <w:jc w:val="both"/>
      </w:pPr>
      <w:r>
        <w:t xml:space="preserve">Nomenclatura da adottare nelle parti successive (DDL in M2):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Tabella centrale: </w:t>
      </w:r>
      <w:r>
        <w:t xml:space="preserve">games (al plurale).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Tabella ponte dell’audio: </w:t>
      </w:r>
      <w:r>
        <w:t xml:space="preserve">game_audio_language.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Lookup: </w:t>
      </w:r>
      <w:r>
        <w:t xml:space="preserve">language, developer, publisher, category, genre, tag.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Tabelle ponte: </w:t>
      </w:r>
      <w:r>
        <w:t xml:space="preserve">game_language, game_audio_language, game_developer, game_publisher, game_category, game_genre, game_tag.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Entità debole: </w:t>
      </w:r>
      <w:r>
        <w:t xml:space="preserve">game_screenshot.</w:t>
      </w:r>
    </w:p>
    <w:p>
      <w:pPr>
        <w:pStyle w:val="Heading2"/>
      </w:pPr>
      <w:r>
        <w:t xml:space="preserve">10. Prossimo passo</w:t>
      </w:r>
    </w:p>
    <w:p>
      <w:pPr>
        <w:spacing w:after="120"/>
        <w:jc w:val="both"/>
      </w:pPr>
      <w:r>
        <w:t xml:space="preserve">M1 prosegue con il task T5 (modello dati di utenti, wishlist e backlog con stati) e T7 (achievement e notifiche), che estendono il diagramma con le entità dinamiche collegate a </w:t>
      </w:r>
      <w:r>
        <w:rPr>
          <w:i/>
          <w:iCs/>
        </w:rPr>
        <w:t xml:space="preserve">games</w:t>
      </w:r>
      <w:r>
        <w:t xml:space="preserve"> tramite app_id. La creazione effettiva delle tabelle (DDL PostgreSQL) avviene nella Milestone M2.</w:t>
      </w:r>
    </w:p>
    <w:sectPr>
      <w:foot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Arcadium ACE5 · M1-T4 · Diagramma ER · pag.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Arcadium ACE5 · M1-T4 · Diagramma ER · pag.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Arcadium ACE5 · M1-T4 · Diagramma ER · pag.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Arial" w:cs="Arial" w:eastAsia="Arial" w:hAnsi="Arial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7C3AE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image" Target="media/697f84e8797478c588c870210552f279a6d1f8c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2026-06-29T20:49:59.723Z</dcterms:created>
  <dcterms:modified xsi:type="dcterms:W3CDTF">2026-06-29T20:49:59.724Z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