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Infosys Limited — Detailed Management Report (Q3 FY26)</w:t>
      </w:r>
    </w:p>
    <w:p>
      <w:r>
        <w:t>Quarter ended: December 31, 2025</w:t>
      </w:r>
    </w:p>
    <w:p>
      <w:r>
        <w:t>Report generated on: 2026-02-28 12:21 UTC</w:t>
      </w:r>
    </w:p>
    <w:p>
      <w:pPr>
        <w:pStyle w:val="Heading2"/>
      </w:pPr>
      <w:r>
        <w:t>1. Executive Summary</w:t>
      </w:r>
    </w:p>
    <w:p>
      <w:r>
        <w:t>The company delivered strong year-over-year growth driven by digital transformation programs, cloud migration services, and large deal wins across North America and Europe.</w:t>
      </w:r>
    </w:p>
    <w:p>
      <w:pPr>
        <w:pStyle w:val="Heading2"/>
      </w:pPr>
      <w:r>
        <w:t>2. Financial Highlights</w:t>
      </w:r>
    </w:p>
    <w:p>
      <w:r>
        <w:t>• Revenue: ₹45,479 crore (YoY growth 8.9%)</w:t>
      </w:r>
    </w:p>
    <w:p>
      <w:r>
        <w:t>• Net Profit: ₹6,654 crore</w:t>
      </w:r>
    </w:p>
    <w:p>
      <w:r>
        <w:t>• Operating Margin: 18.4%</w:t>
      </w:r>
    </w:p>
    <w:p>
      <w:r>
        <w:t>• Large Deal Wins: $4.8 billion</w:t>
      </w:r>
    </w:p>
    <w:p>
      <w:pPr>
        <w:pStyle w:val="Heading2"/>
      </w:pPr>
      <w:r>
        <w:t>3. Business Segment Commentary</w:t>
      </w:r>
    </w:p>
    <w:p>
      <w:r>
        <w:t>Financial Services remained the largest contributor. Retail and Manufacturing saw strong recovery in discretionary IT spending. Energy &amp; Utilities showed moderate but stable growth.</w:t>
      </w:r>
    </w:p>
    <w:p>
      <w:pPr>
        <w:pStyle w:val="Heading2"/>
      </w:pPr>
      <w:r>
        <w:t>4. Risk Factors</w:t>
      </w:r>
    </w:p>
    <w:p>
      <w:r>
        <w:t>• Global macroeconomic uncertainty</w:t>
      </w:r>
    </w:p>
    <w:p>
      <w:r>
        <w:t>• Currency volatility (USD/INR fluctuations)</w:t>
      </w:r>
    </w:p>
    <w:p>
      <w:r>
        <w:t>• Regulatory and compliance changes</w:t>
      </w:r>
    </w:p>
    <w:p>
      <w:r>
        <w:t>• Talent acquisition and retention challenges</w:t>
      </w:r>
    </w:p>
    <w:p>
      <w:pPr>
        <w:pStyle w:val="Heading2"/>
      </w:pPr>
      <w:r>
        <w:t>5. ESG &amp; Sustainability</w:t>
      </w:r>
    </w:p>
    <w:p>
      <w:r>
        <w:t>The company continues to invest in renewable energy, carbon neutrality programs, and diversity &amp; inclusion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