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Students — Database Design</w:t>
      </w:r>
    </w:p>
    <w:p>
      <w:pPr/>
      <w:r>
        <w:t xml:space="preserve">Fourth module in the build sequence, the first that closes the loop back into Admissions (</w:t>
      </w:r>
      <w:r>
        <w:rPr>
          <w:rStyle w:val="CodeChar"/>
        </w:rPr>
        <w:t xml:space="preserve">Admissions.StudentId</w:t>
      </w:r>
      <w:r>
        <w:t xml:space="preserve">, deferred since that module's own design doc, is un-deferred here).</w:t>
      </w:r>
    </w:p>
    <w:p>
      <w:pPr>
        <w:pStyle w:val="Heading2"/>
      </w:pPr>
      <w:r>
        <w:t xml:space="preserve">Purpose &amp; Scope</w:t>
      </w:r>
    </w:p>
    <w:p>
      <w:pPr/>
      <w:r>
        <w:t xml:space="preserve">The prototype's Students module (</w:t>
      </w:r>
      <w:r>
        <w:rPr>
          <w:rStyle w:val="CodeChar"/>
        </w:rPr>
        <w:t xml:space="preserve">students.js</w:t>
      </w:r>
      <w:r>
        <w:t xml:space="preserve">) is entirely standalone — verified directly, it has no reference to Admissions anywhere, and its "Add Student" form hardcodes </w:t>
      </w:r>
      <w:r>
        <w:rPr>
          <w:rStyle w:val="CodeChar"/>
        </w:rPr>
        <w:t xml:space="preserve">'Fresh Admission'</w:t>
      </w:r>
      <w:r>
        <w:t xml:space="preserve"> as a default rather than referencing a real admission record. That's a consequence of the prototype having no real backend, not evidence for how the production system should work.</w:t>
      </w:r>
    </w:p>
    <w:p>
      <w:pPr/>
      <w:r>
        <w:rPr>
          <w:b/>
        </w:rPr>
        <w:t xml:space="preserve">Decision: Option C.</w:t>
      </w:r>
      <w:r>
        <w:t xml:space="preserve"> A Student can be created two ways — (1) converting an </w:t>
      </w:r>
      <w:r>
        <w:rPr>
          <w:rStyle w:val="CodeChar"/>
        </w:rPr>
        <w:t xml:space="preserve">Enrolled</w:t>
      </w:r>
      <w:r>
        <w:t xml:space="preserve"> admission into a real student record (the primary path, and what finally uses the </w:t>
      </w:r>
      <w:r>
        <w:rPr>
          <w:rStyle w:val="CodeChar"/>
        </w:rPr>
        <w:t xml:space="preserve">Admissions.StudentId</w:t>
      </w:r>
      <w:r>
        <w:t xml:space="preserve"> FK that was deferred in the Admissions design doc), or (2) a standalone "Add Student" form for cases with no formal admission on file (mid-year transfers, data migration). Both are first-class, not one a fallback for the other.</w:t>
      </w:r>
    </w:p>
    <w:p>
      <w:pPr/>
      <w:r>
        <w:t xml:space="preserve">Per Decision #1, this entity holds only intrinsic student profile data. </w:t>
      </w:r>
      <w:r>
        <w:rPr>
          <w:rStyle w:val="CodeChar"/>
        </w:rPr>
        <w:t xml:space="preserve">feeSummary</w:t>
      </w:r>
      <w:r>
        <w:t xml:space="preserve">/</w:t>
      </w:r>
      <w:r>
        <w:rPr>
          <w:rStyle w:val="CodeChar"/>
        </w:rPr>
        <w:t xml:space="preserve">attendance</w:t>
      </w:r>
      <w:r>
        <w:t xml:space="preserve">/</w:t>
      </w:r>
      <w:r>
        <w:rPr>
          <w:rStyle w:val="CodeChar"/>
        </w:rPr>
        <w:t xml:space="preserve">exams</w:t>
      </w:r>
      <w:r>
        <w:t xml:space="preserve"> from the prototype are explicitly NOT embedded here — owned by </w:t>
      </w:r>
      <w:r>
        <w:rPr>
          <w:rStyle w:val="CodeChar"/>
        </w:rPr>
        <w:t xml:space="preserve">FeePayments</w:t>
      </w:r>
      <w:r>
        <w:t xml:space="preserve">/</w:t>
      </w:r>
      <w:r>
        <w:rPr>
          <w:rStyle w:val="CodeChar"/>
        </w:rPr>
        <w:t xml:space="preserve">AttendanceRecords</w:t>
      </w:r>
      <w:r>
        <w:t xml:space="preserve">/</w:t>
      </w:r>
      <w:r>
        <w:rPr>
          <w:rStyle w:val="CodeChar"/>
        </w:rPr>
        <w:t xml:space="preserve">ExamMarks</w:t>
      </w:r>
      <w:r>
        <w:t xml:space="preserve">, none of which exist yet; computed via query once they do. </w:t>
      </w:r>
      <w:r>
        <w:rPr>
          <w:rStyle w:val="CodeChar"/>
        </w:rPr>
        <w:t xml:space="preserve">father</w:t>
      </w:r>
      <w:r>
        <w:t xml:space="preserve">/</w:t>
      </w:r>
      <w:r>
        <w:rPr>
          <w:rStyle w:val="CodeChar"/>
        </w:rPr>
        <w:t xml:space="preserve">mother</w:t>
      </w:r>
      <w:r>
        <w:t xml:space="preserve">/</w:t>
      </w:r>
      <w:r>
        <w:rPr>
          <w:rStyle w:val="CodeChar"/>
        </w:rPr>
        <w:t xml:space="preserve">address</w:t>
      </w:r>
      <w:r>
        <w:t xml:space="preserve"> are also excluded — that's </w:t>
      </w:r>
      <w:r>
        <w:rPr>
          <w:rStyle w:val="CodeChar"/>
        </w:rPr>
        <w:t xml:space="preserve">Parents</w:t>
      </w:r>
      <w:r>
        <w:t xml:space="preserve">/</w:t>
      </w:r>
      <w:r>
        <w:rPr>
          <w:rStyle w:val="CodeChar"/>
        </w:rPr>
        <w:t xml:space="preserve">StudentGuardians</w:t>
      </w:r>
      <w:r>
        <w:t xml:space="preserve"> territory, not built yet either.</w:t>
      </w:r>
    </w:p>
    <w:p>
      <w:pPr>
        <w:pStyle w:val="Heading2"/>
      </w:pPr>
      <w:r>
        <w:t xml:space="preserve">Entity List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Entity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FKs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Students</w:t>
            </w:r>
          </w:p>
        </w:tc>
        <w:tc>
          <w:tcPr>
            <w:tcW w:w="2340" w:type="dxa"/>
          </w:tcPr>
          <w:p>
            <w:pPr/>
            <w:r>
              <w:t xml:space="preserve">Intrinsic student profile only</w:t>
            </w:r>
          </w:p>
        </w:tc>
        <w:tc>
          <w:tcPr>
            <w:tcW w:w="2340" w:type="dxa"/>
          </w:tcPr>
          <w:p>
            <w:pPr/>
            <w:r>
              <w:t xml:space="preserve">Id</w:t>
            </w:r>
          </w:p>
        </w:tc>
        <w:tc>
          <w:tcPr>
            <w:tcW w:w="2340" w:type="dxa"/>
          </w:tcPr>
          <w:p>
            <w:pPr/>
            <w:r>
              <w:t xml:space="preserve">AdmissionId→Admissions (nullable), UserId→Users (nullable), ClassSectionId→ClassSections</w:t>
            </w:r>
          </w:p>
        </w:tc>
      </w:tr>
    </w:tbl>
    <w:p>
      <w:pPr/>
      <w:r>
        <w:rPr>
          <w:rStyle w:val="CodeChar"/>
        </w:rPr>
        <w:t xml:space="preserve">Admissions</w:t>
      </w:r>
      <w:r>
        <w:t xml:space="preserve"> gets one addition here: </w:t>
      </w:r>
      <w:r>
        <w:rPr>
          <w:rStyle w:val="CodeChar"/>
        </w:rPr>
        <w:t xml:space="preserve">StudentId</w:t>
      </w:r>
      <w:r>
        <w:t xml:space="preserve"> (nullable FK→Students), un-deferring the field left out of that module's own design. The </w:t>
      </w:r>
      <w:r>
        <w:rPr>
          <w:rStyle w:val="CodeChar"/>
        </w:rPr>
        <w:t xml:space="preserve">Students↔Admissions</w:t>
      </w:r>
      <w:r>
        <w:t xml:space="preserve"> relationship is one-to-one (an admission converts into at most one student; a student came from at most one admission).</w:t>
      </w:r>
    </w:p>
    <w:p>
      <w:pPr>
        <w:pStyle w:val="Heading2"/>
      </w:pPr>
      <w:r>
        <w:t xml:space="preserve">Schema</w:t>
      </w:r>
    </w:p>
    <w:p>
      <w:pPr>
        <w:pStyle w:val="Heading3"/>
      </w:pPr>
      <w:r>
        <w:t xml:space="preserve">Students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Null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AdmissionId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  <w:r>
              <w:t xml:space="preserve">FK→Admissions</w:t>
            </w:r>
          </w:p>
        </w:tc>
        <w:tc>
          <w:tcPr>
            <w:tcW w:w="1872" w:type="dxa"/>
          </w:tcPr>
          <w:p>
            <w:pPr/>
            <w:r>
              <w:t xml:space="preserve">Null for standalone-added students (Option C path 2)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UserId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  <w:r>
              <w:t xml:space="preserve">FK→Users</w:t>
            </w:r>
          </w:p>
        </w:tc>
        <w:tc>
          <w:tcPr>
            <w:tcW w:w="1872" w:type="dxa"/>
          </w:tcPr>
          <w:p>
            <w:pPr/>
            <w:r>
              <w:t xml:space="preserve">Null until portal login is provisioned — Decision #9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AdmNo</w:t>
            </w:r>
          </w:p>
        </w:tc>
        <w:tc>
          <w:tcPr>
            <w:tcW w:w="1872" w:type="dxa"/>
          </w:tcPr>
          <w:p>
            <w:pPr/>
            <w:r>
              <w:t xml:space="preserve">nvarchar(30)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Unique</w:t>
            </w:r>
          </w:p>
        </w:tc>
        <w:tc>
          <w:tcPr>
            <w:tcW w:w="1872" w:type="dxa"/>
          </w:tcPr>
          <w:p>
            <w:pPr/>
            <w:r>
              <w:t xml:space="preserve">Copied from </w:t>
            </w:r>
            <w:r>
              <w:rPr>
                <w:rStyle w:val="CodeChar"/>
              </w:rPr>
              <w:t xml:space="preserve">Admission.AdmissionNumber</w:t>
            </w:r>
            <w:r>
              <w:t xml:space="preserve"> on conversion, or generated for standalone add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RollNumber</w:t>
            </w:r>
          </w:p>
        </w:tc>
        <w:tc>
          <w:tcPr>
            <w:tcW w:w="1872" w:type="dxa"/>
          </w:tcPr>
          <w:p>
            <w:pPr/>
            <w:r>
              <w:t xml:space="preserve">nvarchar(20)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Unique </w:t>
            </w:r>
            <w:r>
              <w:rPr>
                <w:i/>
              </w:rPr>
              <w:t xml:space="preserve">within</w:t>
            </w:r>
            <w:r>
              <w:t xml:space="preserve"> a class, not globally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ClassSectionId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  <w:r>
              <w:t xml:space="preserve">FK→ClassSections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AdmissionDate</w:t>
            </w:r>
          </w:p>
        </w:tc>
        <w:tc>
          <w:tcPr>
            <w:tcW w:w="1872" w:type="dxa"/>
          </w:tcPr>
          <w:p>
            <w:pPr/>
            <w:r>
              <w:t xml:space="preserve">date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Status</w:t>
            </w:r>
          </w:p>
        </w:tc>
        <w:tc>
          <w:tcPr>
            <w:tcW w:w="1872" w:type="dxa"/>
          </w:tcPr>
          <w:p>
            <w:pPr/>
            <w:r>
              <w:t xml:space="preserve">nvarchar(20)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Active / Inactive / Left — proposed default, not fully verified (only </w:t>
            </w:r>
            <w:r>
              <w:rPr>
                <w:rStyle w:val="CodeChar"/>
              </w:rPr>
              <w:t xml:space="preserve">Active</w:t>
            </w:r>
            <w:r>
              <w:t xml:space="preserve"> appears in prototype data)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FirstName / MiddleName / LastName</w:t>
            </w:r>
          </w:p>
        </w:tc>
        <w:tc>
          <w:tcPr>
            <w:tcW w:w="1872" w:type="dxa"/>
          </w:tcPr>
          <w:p>
            <w:pPr/>
            <w:r>
              <w:t xml:space="preserve">nvarchar(50)</w:t>
            </w:r>
          </w:p>
        </w:tc>
        <w:tc>
          <w:tcPr>
            <w:tcW w:w="1872" w:type="dxa"/>
          </w:tcPr>
          <w:p>
            <w:pPr/>
            <w:r>
              <w:t xml:space="preserve">N/Y/N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Gender</w:t>
            </w:r>
          </w:p>
        </w:tc>
        <w:tc>
          <w:tcPr>
            <w:tcW w:w="1872" w:type="dxa"/>
          </w:tcPr>
          <w:p>
            <w:pPr/>
            <w:r>
              <w:t xml:space="preserve">nvarchar(10)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DateOfBirth</w:t>
            </w:r>
          </w:p>
        </w:tc>
        <w:tc>
          <w:tcPr>
            <w:tcW w:w="1872" w:type="dxa"/>
          </w:tcPr>
          <w:p>
            <w:pPr/>
            <w:r>
              <w:t xml:space="preserve">date</w:t>
            </w:r>
          </w:p>
        </w:tc>
        <w:tc>
          <w:tcPr>
            <w:tcW w:w="1872" w:type="dxa"/>
          </w:tcPr>
          <w:p>
            <w:pPr/>
            <w:r>
              <w:t xml:space="preserve">N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BloodGroup</w:t>
            </w:r>
          </w:p>
        </w:tc>
        <w:tc>
          <w:tcPr>
            <w:tcW w:w="1872" w:type="dxa"/>
          </w:tcPr>
          <w:p>
            <w:pPr/>
            <w:r>
              <w:t xml:space="preserve">nvarchar(10)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Nationality</w:t>
            </w:r>
          </w:p>
        </w:tc>
        <w:tc>
          <w:tcPr>
            <w:tcW w:w="1872" w:type="dxa"/>
          </w:tcPr>
          <w:p>
            <w:pPr/>
            <w:r>
              <w:t xml:space="preserve">nvarchar(50)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CurriculumTrack</w:t>
            </w:r>
          </w:p>
        </w:tc>
        <w:tc>
          <w:tcPr>
            <w:tcW w:w="1872" w:type="dxa"/>
          </w:tcPr>
          <w:p>
            <w:pPr/>
            <w:r>
              <w:t xml:space="preserve">nvarchar(50)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EnglishProficiency</w:t>
            </w:r>
          </w:p>
        </w:tc>
        <w:tc>
          <w:tcPr>
            <w:tcW w:w="1872" w:type="dxa"/>
          </w:tcPr>
          <w:p>
            <w:pPr/>
            <w:r>
              <w:t xml:space="preserve">nvarchar(30)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EalCode</w:t>
            </w:r>
          </w:p>
        </w:tc>
        <w:tc>
          <w:tcPr>
            <w:tcW w:w="1872" w:type="dxa"/>
          </w:tcPr>
          <w:p>
            <w:pPr/>
            <w:r>
              <w:t xml:space="preserve">nvarchar(30)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House</w:t>
            </w:r>
          </w:p>
        </w:tc>
        <w:tc>
          <w:tcPr>
            <w:tcW w:w="1872" w:type="dxa"/>
          </w:tcPr>
          <w:p>
            <w:pPr/>
            <w:r>
              <w:t xml:space="preserve">nvarchar(30)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Allergies</w:t>
            </w:r>
          </w:p>
        </w:tc>
        <w:tc>
          <w:tcPr>
            <w:tcW w:w="1872" w:type="dxa"/>
          </w:tcPr>
          <w:p>
            <w:pPr/>
            <w:r>
              <w:t xml:space="preserve">nvarchar(300)</w:t>
            </w:r>
          </w:p>
        </w:tc>
        <w:tc>
          <w:tcPr>
            <w:tcW w:w="1872" w:type="dxa"/>
          </w:tcPr>
          <w:p>
            <w:pPr/>
            <w:r>
              <w:t xml:space="preserve">Y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CreatedAt / UpdatedAt / CreatedBy / UpdatedBy / IsDeleted / DeletedAt / DeletedBy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t xml:space="preserve">Full audit + soft delete</w:t>
            </w:r>
          </w:p>
        </w:tc>
      </w:tr>
    </w:tbl>
    <w:p>
      <w:pPr>
        <w:pStyle w:val="Heading2"/>
      </w:pPr>
      <w:r>
        <w:t xml:space="preserve">Index Strategy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Index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Table.Columns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Unique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Students.AdmNo</w:t>
            </w:r>
          </w:p>
        </w:tc>
        <w:tc>
          <w:tcPr>
            <w:tcW w:w="3120" w:type="dxa"/>
          </w:tcPr>
          <w:p>
            <w:pPr/>
            <w:r>
              <w:t xml:space="preserve">Business key lookup, prevents duplicates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Unique (composite)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Students(ClassSectionId, RollNumber)</w:t>
            </w:r>
          </w:p>
        </w:tc>
        <w:tc>
          <w:tcPr>
            <w:tcW w:w="3120" w:type="dxa"/>
          </w:tcPr>
          <w:p>
            <w:pPr/>
            <w:r>
              <w:t xml:space="preserve">Roll numbers are only unique within a class, not school-wide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FK indexes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AdmissionId</w:t>
            </w:r>
            <w:r>
              <w:t xml:space="preserve">, </w:t>
            </w:r>
            <w:r>
              <w:rPr>
                <w:rStyle w:val="CodeChar"/>
              </w:rPr>
              <w:t xml:space="preserve">ClassSectionId</w:t>
            </w:r>
            <w:r>
              <w:t xml:space="preserve">, </w:t>
            </w:r>
            <w:r>
              <w:rPr>
                <w:rStyle w:val="CodeChar"/>
              </w:rPr>
              <w:t xml:space="preserve">UserId</w:t>
            </w:r>
          </w:p>
        </w:tc>
        <w:tc>
          <w:tcPr>
            <w:tcW w:w="3120" w:type="dxa"/>
          </w:tcPr>
          <w:p>
            <w:pPr/>
            <w:r>
              <w:t xml:space="preserve">Join performance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Students — Database Design</dc:title>
  <dc:description>Claude Docs node/218f3f20-3bda@5 docx-w6</dc:description>
  <cp:revision>5</cp:revision>
</cp:coreProperties>
</file>