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 w:line="300" w:lineRule="auto"/>
        <w:jc w:val="left"/>
      </w:pPr>
      <w:r>
        <w:rPr>
          <w:rFonts w:ascii="Calibri" w:hAnsi="Calibri" w:eastAsia="Calibri"/>
          <w:b/>
          <w:i w:val="0"/>
          <w:color w:val="2E74B5"/>
          <w:sz w:val="19"/>
        </w:rPr>
        <w:t>CONTENT + EXPERIENCE SPECIFICATION</w:t>
      </w:r>
    </w:p>
    <w:p>
      <w:pPr>
        <w:spacing w:after="120"/>
      </w:pPr>
      <w:r>
        <w:rPr>
          <w:rFonts w:ascii="Calibri" w:hAnsi="Calibri" w:eastAsia="Calibri"/>
          <w:b/>
          <w:color w:val="162236"/>
          <w:sz w:val="56"/>
        </w:rPr>
        <w:t>Image3DConversion</w:t>
        <w:br/>
      </w:r>
      <w:r>
        <w:rPr>
          <w:rFonts w:ascii="Calibri" w:hAnsi="Calibri" w:eastAsia="Calibri"/>
          <w:b/>
          <w:color w:val="2E74B5"/>
          <w:sz w:val="50"/>
        </w:rPr>
        <w:t>About Page</w:t>
      </w:r>
    </w:p>
    <w:p>
      <w:pPr>
        <w:spacing w:before="0" w:after="320" w:line="300" w:lineRule="auto"/>
        <w:jc w:val="left"/>
      </w:pPr>
      <w:r>
        <w:rPr>
          <w:rFonts w:ascii="Calibri" w:hAnsi="Calibri" w:eastAsia="Calibri"/>
          <w:b w:val="0"/>
          <w:i w:val="0"/>
          <w:color w:val="5F6B7A"/>
          <w:sz w:val="26"/>
        </w:rPr>
        <w:t>Final public company copy, SEO hierarchy, founder credibility framing, design psychology, global-positioning logic, CTA routing, Case Portal boundary and publication controls.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Version: </w:t>
      </w:r>
      <w:r>
        <w:rPr>
          <w:rFonts w:ascii="Calibri" w:hAnsi="Calibri" w:eastAsia="Calibri"/>
          <w:color w:val="162236"/>
          <w:sz w:val="21"/>
        </w:rPr>
        <w:t>1.0 · 28 July 2026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Status: </w:t>
      </w:r>
      <w:r>
        <w:rPr>
          <w:rFonts w:ascii="Calibri" w:hAnsi="Calibri" w:eastAsia="Calibri"/>
          <w:color w:val="162236"/>
          <w:sz w:val="21"/>
        </w:rPr>
        <w:t>Prepared for Founder approval and design/development handoff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Public URL: </w:t>
      </w:r>
      <w:r>
        <w:rPr>
          <w:rFonts w:ascii="Calibri" w:hAnsi="Calibri" w:eastAsia="Calibri"/>
          <w:color w:val="162236"/>
          <w:sz w:val="21"/>
        </w:rPr>
        <w:t>https://www.image3dconversion.com/about/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action: </w:t>
      </w:r>
      <w:r>
        <w:rPr>
          <w:rFonts w:ascii="Calibri" w:hAnsi="Calibri" w:eastAsia="Calibri"/>
          <w:color w:val="162236"/>
          <w:sz w:val="21"/>
        </w:rPr>
        <w:t>Work With Us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PAGE DECISION  </w:t>
      </w:r>
      <w:r>
        <w:rPr>
          <w:rFonts w:ascii="Calibri" w:hAnsi="Calibri" w:eastAsia="Calibri"/>
          <w:b w:val="0"/>
          <w:color w:val="162236"/>
          <w:sz w:val="22"/>
        </w:rPr>
        <w:t>The About page should make Image3DConversion feel like a serious digital implantology workflow company, not a generic dental-design vendor. It should explain the company's experience, founder-led direction and future global workflow role without overstating clinical responsibility or unsupported numerical claims.</w:t>
      </w:r>
    </w:p>
    <w:p>
      <w:pPr>
        <w:pStyle w:val="Heading2"/>
        <w:keepNext w:val="1"/>
        <w:keepLines w:val="1"/>
      </w:pPr>
      <w:r>
        <w:t>The job of this page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Build trust for dentists, global practices, labs, DSOs, implant companies and education partners.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Explain Image3DConversion as workflow infrastructure for guided implantology, prosthetic planning and digital case execution support.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Use founder credibility without making the page only about the founder.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Connect the company story to the smile-first, prosthetic-driven strategy approved in the master content system.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Create clear routes to Work With Us, Case Portal, Global Practice Workflows and Partnership pages.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Avoid unsupported case-count, outcome, safety, regulatory, compliance or clinical-superiority claims.</w:t>
      </w:r>
    </w:p>
    <w:p>
      <w:r>
        <w:br w:type="page"/>
      </w:r>
    </w:p>
    <w:p>
      <w:pPr>
        <w:pStyle w:val="Heading1"/>
        <w:keepNext w:val="1"/>
        <w:keepLines w:val="1"/>
      </w:pPr>
      <w:r>
        <w:t>1. SEO and page identity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500"/>
        <w:gridCol w:w="650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Approved value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Route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/about/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Indexing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index, follow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SEO title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About Image3DConversion | Digital Implant Workflow Company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Meta description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Learn about Image3DConversion, a digital implant workflow company supporting guided implant planning, surgical guide design, prosthetic coordination and global practice collaboration.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H1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Built for the digital workflow behind predictable implant dentistry.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Primary keyword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digital implant workflow company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Supporting keywords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Image3DConversion; guided implant planning company; surgical guide design support; digital dentistry workflow partner; prosthetic driven implant planning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Primary CTA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Work With Us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Secondary CTA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Open the Case Portal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SEO PRINCIPLE  </w:t>
      </w:r>
      <w:r>
        <w:rPr>
          <w:rFonts w:ascii="Calibri" w:hAnsi="Calibri" w:eastAsia="Calibri"/>
          <w:b w:val="0"/>
          <w:color w:val="162236"/>
          <w:sz w:val="22"/>
        </w:rPr>
        <w:t>This page should rank for branded and company-research intent. It should support trust after visitors arrive from workflow pages, while keeping commercial conversion routes clear.</w:t>
      </w:r>
    </w:p>
    <w:p>
      <w:pPr>
        <w:pStyle w:val="Heading1"/>
        <w:pageBreakBefore w:val="1"/>
        <w:keepNext w:val="1"/>
        <w:keepLines w:val="1"/>
      </w:pPr>
      <w:r>
        <w:t>2. Final page copy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HERO EYEBROW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ABOUT IMAGE3DCONVERSION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H1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Built for the digital workflow behind predictable implant dentistry.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HERO BODY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Image3DConversion supports dental practices and professional partners with digital implant planning, surgical guide design, prosthetic workflow coordination and production-ready case outputs. The company exists to make complex implant workflows clearer, more structured and easier to execute from diagnosis to final approval.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PROFESSIONAL NOTE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Image3DConversion supports digital planning and workflow preparation. Diagnosis, treatment indication, patient consent, surgical execution and final clinical approval remain with the treating clinician or responsible professional team.</w:t>
      </w:r>
    </w:p>
    <w:p>
      <w:pPr>
        <w:spacing w:before="0" w:after="100" w:line="300" w:lineRule="auto"/>
        <w:ind w:left="158" w:right="86"/>
        <w:shd w:fill="E8EEF5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CTA: </w:t>
      </w:r>
      <w:r>
        <w:rPr>
          <w:rFonts w:ascii="Calibri" w:hAnsi="Calibri" w:eastAsia="Calibri"/>
          <w:color w:val="162236"/>
          <w:sz w:val="21"/>
        </w:rPr>
        <w:t>Work With Us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1F4D78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Secondary CTA: </w:t>
      </w:r>
      <w:r>
        <w:rPr>
          <w:rFonts w:ascii="Calibri" w:hAnsi="Calibri" w:eastAsia="Calibri"/>
          <w:color w:val="162236"/>
          <w:sz w:val="21"/>
        </w:rPr>
        <w:t>Open the Case Portal</w:t>
      </w:r>
    </w:p>
    <w:p>
      <w:pPr>
        <w:pStyle w:val="Heading2"/>
        <w:keepNext w:val="1"/>
        <w:keepLines w:val="1"/>
      </w:pPr>
      <w:r>
        <w:t>Section 1 — Why Image3DConversion exists</w:t>
      </w:r>
    </w:p>
    <w:p>
      <w:pPr>
        <w:spacing w:before="0" w:after="100" w:line="300" w:lineRule="auto"/>
        <w:jc w:val="left"/>
      </w:pPr>
      <w:r>
        <w:rPr>
          <w:rFonts w:ascii="Calibri" w:hAnsi="Calibri" w:eastAsia="Calibri"/>
          <w:b/>
          <w:i w:val="0"/>
          <w:color w:val="1F4D78"/>
          <w:sz w:val="30"/>
        </w:rPr>
        <w:t>Digital implant dentistry needs more than files.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A CBCT scan, intraoral scan, wax-up, surgical guide or printed model becomes valuable only when it is connected to the patient's expected smile, the prosthetic plan, the biological situation and the surgical route.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Image3DConversion was built around that connection. The company helps practices move from scattered records and isolated design tasks into a more coordinated guided implant workflow.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The visitor should feel that I3DC understands workflow complexity, not only software output.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Blue-white 3D timeline: patient smile reference, prosthetic arch, CBCT volume, implant plan, guide and final file output arranged as one connected system.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Keep the opening tight: one hero statement, one professional note, two CTAs and a simple story block.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Do not use generic office/team stock photos as the primary visual. Use clean digital dental workflow imagery or founder/team imagery only if approved.</w:t>
      </w:r>
    </w:p>
    <w:p>
      <w:pPr>
        <w:pStyle w:val="Heading2"/>
        <w:keepNext w:val="1"/>
        <w:keepLines w:val="1"/>
      </w:pPr>
      <w:r>
        <w:t>Section 2 — Founder-led workflow thinking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Image3DConversion is founder-led by Sudeep Paul, a biomedical application expert in digital dentistry with long experience across guided implantology, surgical guide design, digital planning workflows and clinician education.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The company's direction comes from a practical belief: implant workflows become more dependable when the final prosthetic outcome is considered before the implant position, guide design and production route are locked.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That founder-led approach shapes the public website, education ecosystem, global workflow pathway and Case Portal experience.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CLAIM CONTROL  </w:t>
      </w:r>
      <w:r>
        <w:rPr>
          <w:rFonts w:ascii="Calibri" w:hAnsi="Calibri" w:eastAsia="Calibri"/>
          <w:b w:val="0"/>
          <w:color w:val="162236"/>
          <w:sz w:val="22"/>
        </w:rPr>
        <w:t>Founder experience, KOL roles, event roles, case counts or training numbers should be published only after the exact approved evidence line is confirmed. Until then, use experience-based wording instead of unsupported statistics.</w:t>
      </w:r>
    </w:p>
    <w:p>
      <w:pPr>
        <w:pStyle w:val="Heading2"/>
        <w:keepNext w:val="1"/>
        <w:keepLines w:val="1"/>
      </w:pPr>
      <w:r>
        <w:t>Section 3 — What the company supports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700"/>
        <w:gridCol w:w="630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Public explanation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Guided implant workflows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Planning and guide-design support for routine, multi-implant and restorative-led implant workflows.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Full-arch stackable workflows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Digital coordination of prosthetic reference, bone reduction, implant planning, MUA direction and guide sequence where applicable.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Advanced planning workflows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Support for complex anatomy and advanced planning routes such as zygoma and pterygoid workflows under specialist clinical leadership.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Immediate-loading support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Prosthetic and provisional workflow coordination so visible patient expectations are considered before production decisions.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Case data preparation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DICOM, STL, model scan, photo and instruction review to help practices reach a cleaner planning stage.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Design-only files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Production-ready digital outputs for practices and partners who keep production local.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Design-to-delivery workflows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Coordinated planning, design and production handoff where scope, region and case requirements allow.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Global and white-label workflows</w:t>
            </w:r>
          </w:p>
        </w:tc>
        <w:tc>
          <w:tcPr>
            <w:tcW w:type="dxa" w:w="6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Structured collaboration routes for international practices and professional partner organisations.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2"/>
        <w:keepNext w:val="1"/>
        <w:keepLines w:val="1"/>
      </w:pPr>
      <w:r>
        <w:t>Section 4 — How Image3DConversion thinks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500"/>
        <w:gridCol w:w="650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Principle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Meaning for the website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Smile first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The patient-facing outcome is not decoration; it anchors the planning conversation.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Prosthetic driven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Implant planning should respect restorative space, emergence, function and the final tooth position.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Workflow over product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The company should not be presented as selling only guides or files. It supports a structured pathway.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Clinician authority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The treating clinician remains responsible for diagnosis, indication, consent, approval and execution.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Case clarity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Records, revisions, approvals and deliverables should be handled through defined routes.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Global readiness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International collaboration is possible when scope, production path and responsibility are made explicit.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2"/>
        <w:keepNext w:val="1"/>
        <w:keepLines w:val="1"/>
      </w:pPr>
      <w:r>
        <w:t>Section 5 — From Indian expertise to global workflow partner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Image3DConversion's next public position is not limited to being a local digital service provider. The website should present the company as a workflow partner for practices and organisations that need disciplined digital implant planning support across regions.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For global practices, the company can support design-only collaboration, local-production handoff or coordinated design-to-delivery pathways where case scope and regional logistics are suitable.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For professional partners, Image3DConversion can support behind-the-scenes workflow capacity when the partnership model, approval path and delivery responsibilities are clearly defined.</w:t>
      </w:r>
    </w:p>
    <w:p>
      <w:pPr>
        <w:pStyle w:val="Heading2"/>
        <w:keepNext w:val="1"/>
        <w:keepLines w:val="1"/>
      </w:pPr>
      <w:r>
        <w:t>Section 6 — A connected ecosystem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public website explains the company's philosophy, workflows and routes to engage.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workflow pages help practices understand the right service path before starting.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Global Practice page explains international collaboration routes.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White-Label page supports labs, DSOs, implant companies and education ecosystems.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The Case Portal becomes the authenticated operating environment for case submission, review, approval and tracking.</w:t>
      </w:r>
    </w:p>
    <w:p>
      <w:pPr>
        <w:pStyle w:val="Heading2"/>
        <w:keepNext w:val="1"/>
        <w:keepLines w:val="1"/>
      </w:pPr>
      <w:r>
        <w:t>Section 7 — CTA block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CTA HEADLINE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Work with a team built around guided implant workflow clarity.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CTA BODY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Whether you are a dental practice, global partner, lab, implant company or training ecosystem, Image3DConversion can help you define the right digital implant workflow route before case execution begins.</w:t>
      </w:r>
    </w:p>
    <w:p>
      <w:pPr>
        <w:spacing w:before="0" w:after="100" w:line="300" w:lineRule="auto"/>
        <w:ind w:left="158" w:right="86"/>
        <w:shd w:fill="E8EEF5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CTA: </w:t>
      </w:r>
      <w:r>
        <w:rPr>
          <w:rFonts w:ascii="Calibri" w:hAnsi="Calibri" w:eastAsia="Calibri"/>
          <w:color w:val="162236"/>
          <w:sz w:val="21"/>
        </w:rPr>
        <w:t>Work With Us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1F4D78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Secondary CTA: </w:t>
      </w:r>
      <w:r>
        <w:rPr>
          <w:rFonts w:ascii="Calibri" w:hAnsi="Calibri" w:eastAsia="Calibri"/>
          <w:color w:val="162236"/>
          <w:sz w:val="21"/>
        </w:rPr>
        <w:t>Open the Case Portal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Tertiary CTA: </w:t>
      </w:r>
      <w:r>
        <w:rPr>
          <w:rFonts w:ascii="Calibri" w:hAnsi="Calibri" w:eastAsia="Calibri"/>
          <w:color w:val="162236"/>
          <w:sz w:val="21"/>
        </w:rPr>
        <w:t>Explore Global Practice Workflows</w:t>
      </w:r>
    </w:p>
    <w:p>
      <w:pPr>
        <w:pStyle w:val="Heading1"/>
        <w:keepNext w:val="1"/>
        <w:keepLines w:val="1"/>
      </w:pPr>
      <w:r>
        <w:t>3. Design and visual direction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500"/>
        <w:gridCol w:w="650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Element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Direction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Overall feel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Premium clinical infrastructure: bright, ordered, dimensional and precise.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Colour system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Image3DConversion Blue + White only. Tints and shadows must derive from approved blue values.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Hero visual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 layered 3D dental workflow system: smile reference, prosthetic arch, CBCT volume, implant plan, guide and portal-like approval path.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Founder/company visual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Use approved founder/team image only if it strengthens credibility. Otherwise prefer workflow visuals over portrait-first design.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Section rhythm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Alternate short narrative blocks with compact cards and one clear workflow map.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Avoid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Generic dental-chair stock images, decorative blue gradients without dental meaning, exaggerated global maps, unsupported awards, or heavy corporate language.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1"/>
        <w:keepNext w:val="1"/>
        <w:keepLines w:val="1"/>
      </w:pPr>
      <w:r>
        <w:t>4. Navigation and CTA routing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300"/>
        <w:gridCol w:w="3200"/>
        <w:gridCol w:w="3500"/>
      </w:tblGrid>
      <w:tr>
        <w:trPr>
          <w:tblHeader w:val="true"/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CTA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Destination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Work With Us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/contact/ or approved inquiry route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General professional inquiry without patient-identifying records.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Open the Case Portal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Existing Case Portal login route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Return users and authorised practices.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Explore Global Practice Workflows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/global-practice-workflows/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International collaboration path.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Explore Partnership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/white-label-workflow-partnership/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Labs, DSOs, implant companies and education partners.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Start a Guided Implant Case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Authenticated Case Portal after login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Case submission only inside the approved portal route.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1"/>
        <w:keepNext w:val="1"/>
        <w:keepLines w:val="1"/>
      </w:pPr>
      <w:r>
        <w:t>5. Publication controls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500"/>
        <w:gridCol w:w="650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Control area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Rule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Founder claims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Publish only verified credentials, roles and counts. If evidence is pending, use general experience wording.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Clinical authority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Never imply I3DC replaces diagnosis, consent, treatment indication, surgical execution or final clinical approval.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Global claims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Say global workflows can be supported where scope and logistics fit. Do not imply universal availability.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Security language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Use only approved portal facts. Do not add compliance labels or absolute technical assurances without source confirmation.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Case records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Public inquiry routes collect professional context only. Clinical records move through authenticated or otherwise approved professional intake.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Portal architecture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Do not redesign login, roles, tenant isolation, finance separation, statuses or authenticated screens.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Tone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Human, founder-led, confident and operational. Avoid inflated AI-style superlatives.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1"/>
        <w:keepNext w:val="1"/>
        <w:keepLines w:val="1"/>
      </w:pPr>
      <w:r>
        <w:t>6. Source alignment</w:t>
      </w:r>
    </w:p>
    <w:p>
      <w:pPr>
        <w:numPr>
          <w:ilvl w:val="0"/>
          <w:numId w:val="12"/>
        </w:numPr>
        <w:spacing w:after="80" w:line="300" w:lineRule="auto"/>
      </w:pPr>
      <w:hyperlink r:id="rId11">
        <w:r>
          <w:rPr>
            <w:rFonts w:ascii="Calibri" w:hAnsi="Calibri"/>
            <w:color w:val="2E74B5"/>
            <w:u w:val="single"/>
          </w:rPr>
          <w:t>Master Content Strategy</w:t>
        </w:r>
      </w:hyperlink>
    </w:p>
    <w:p>
      <w:pPr>
        <w:numPr>
          <w:ilvl w:val="0"/>
          <w:numId w:val="13"/>
        </w:numPr>
        <w:spacing w:after="80" w:line="300" w:lineRule="auto"/>
      </w:pPr>
      <w:hyperlink r:id="rId12">
        <w:r>
          <w:rPr>
            <w:rFonts w:ascii="Calibri" w:hAnsi="Calibri"/>
            <w:color w:val="2E74B5"/>
            <w:u w:val="single"/>
          </w:rPr>
          <w:t>Blueprint 01</w:t>
        </w:r>
      </w:hyperlink>
    </w:p>
    <w:p>
      <w:pPr>
        <w:numPr>
          <w:ilvl w:val="0"/>
          <w:numId w:val="14"/>
        </w:numPr>
        <w:spacing w:after="80" w:line="300" w:lineRule="auto"/>
      </w:pPr>
      <w:hyperlink r:id="rId13">
        <w:r>
          <w:rPr>
            <w:rFonts w:ascii="Calibri" w:hAnsi="Calibri"/>
            <w:color w:val="2E74B5"/>
            <w:u w:val="single"/>
          </w:rPr>
          <w:t>Google people-first content guidance</w:t>
        </w:r>
      </w:hyperlink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IMPLEMENTATION NOTE  </w:t>
      </w:r>
      <w:r>
        <w:rPr>
          <w:rFonts w:ascii="Calibri" w:hAnsi="Calibri" w:eastAsia="Calibri"/>
          <w:b w:val="0"/>
          <w:color w:val="162236"/>
          <w:sz w:val="22"/>
        </w:rPr>
        <w:t>This document contains publishable visitor copy and internal handoff rules. In implementation, only the final page copy should be published. Strategy notes, claim controls and developer safeguards remain internal.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5F6B7A"/>
        <w:sz w:val="17"/>
      </w:rPr>
      <w:t>IMAGE3DCONVERSION  /  ABOUT PAGE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622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36" w:hanging="259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Image3DConversion_Master_Content_Strategy_v1.0.docx" TargetMode="External"/><Relationship Id="rId12" Type="http://schemas.openxmlformats.org/officeDocument/2006/relationships/hyperlink" Target="Image3DConversion_Blueprint_01_Homepage_Global_Shell.md" TargetMode="External"/><Relationship Id="rId13" Type="http://schemas.openxmlformats.org/officeDocument/2006/relationships/hyperlink" Target="https://developers.google.com/search/docs/fundamentals/creating-helpful-cont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