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after="120"/>
      </w:pPr>
      <w:r>
        <w:rPr>
          <w:rFonts w:ascii="Calibri" w:hAnsi="Calibri" w:eastAsia="Calibri"/>
          <w:b/>
          <w:color w:val="162236"/>
          <w:sz w:val="56"/>
        </w:rPr>
        <w:t>Image3DConversion</w:t>
        <w:br/>
      </w:r>
      <w:r>
        <w:rPr>
          <w:rFonts w:ascii="Calibri" w:hAnsi="Calibri" w:eastAsia="Calibri"/>
          <w:b/>
          <w:color w:val="2E74B5"/>
          <w:sz w:val="50"/>
        </w:rPr>
        <w:t>Case Data &amp; Diagnostic Preparation</w:t>
      </w:r>
    </w:p>
    <w:p>
      <w:pPr>
        <w:spacing w:before="0" w:after="320" w:line="300" w:lineRule="auto"/>
        <w:jc w:val="left"/>
      </w:pPr>
      <w:r>
        <w:rPr>
          <w:rFonts w:ascii="Calibri" w:hAnsi="Calibri" w:eastAsia="Calibri"/>
          <w:b w:val="0"/>
          <w:i w:val="0"/>
          <w:color w:val="5F6B7A"/>
          <w:sz w:val="26"/>
        </w:rPr>
        <w:t>Final page copy, SEO hierarchy, design psychology, diagnostic-record guidance, 3D visual direction, global-practice positioning, mobile behaviour, Case Portal alignment and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28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https://www.image3dconversion.com/case-data-diagnostic-preparation/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Prepare Case Data</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PAGE DECISION  </w:t>
      </w:r>
      <w:r>
        <w:rPr>
          <w:rFonts w:ascii="Calibri" w:hAnsi="Calibri" w:eastAsia="Calibri"/>
          <w:b w:val="0"/>
          <w:color w:val="162236"/>
          <w:sz w:val="22"/>
        </w:rPr>
        <w:t>This page explains how clean diagnostic records help convert the intended smile and prosthetic objective into a reviewable digital case. It must reduce submission anxiety without turning the public website into a clinical upload surface.</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Help dentists understand which records make a case ready for planning, review and production discussion.</w:t>
      </w:r>
    </w:p>
    <w:p>
      <w:pPr>
        <w:numPr>
          <w:ilvl w:val="0"/>
          <w:numId w:val="10"/>
        </w:numPr>
        <w:spacing w:before="0" w:after="80" w:line="300" w:lineRule="auto"/>
        <w:keepLines w:val="1"/>
      </w:pPr>
      <w:r>
        <w:rPr>
          <w:rFonts w:ascii="Calibri" w:hAnsi="Calibri" w:eastAsia="Calibri"/>
          <w:color w:val="162236"/>
          <w:sz w:val="22"/>
        </w:rPr>
        <w:t>Connect patient smile and aesthetic intent to DICOM, STL, IOS, bite, photographs and clinical instructions.</w:t>
      </w:r>
    </w:p>
    <w:p>
      <w:pPr>
        <w:numPr>
          <w:ilvl w:val="0"/>
          <w:numId w:val="10"/>
        </w:numPr>
        <w:spacing w:before="0" w:after="80" w:line="300" w:lineRule="auto"/>
        <w:keepLines w:val="1"/>
      </w:pPr>
      <w:r>
        <w:rPr>
          <w:rFonts w:ascii="Calibri" w:hAnsi="Calibri" w:eastAsia="Calibri"/>
          <w:color w:val="162236"/>
          <w:sz w:val="22"/>
        </w:rPr>
        <w:t>Support routine, full-arch, immediate-loading, zygoma, pterygoid and global design-only workflows.</w:t>
      </w:r>
    </w:p>
    <w:p>
      <w:pPr>
        <w:numPr>
          <w:ilvl w:val="0"/>
          <w:numId w:val="10"/>
        </w:numPr>
        <w:spacing w:before="0" w:after="80" w:line="300" w:lineRule="auto"/>
        <w:keepLines w:val="1"/>
      </w:pPr>
      <w:r>
        <w:rPr>
          <w:rFonts w:ascii="Calibri" w:hAnsi="Calibri" w:eastAsia="Calibri"/>
          <w:color w:val="162236"/>
          <w:sz w:val="22"/>
        </w:rPr>
        <w:t>Explain that incomplete records can be identified and corrected before production work begins.</w:t>
      </w:r>
    </w:p>
    <w:p>
      <w:pPr>
        <w:numPr>
          <w:ilvl w:val="0"/>
          <w:numId w:val="10"/>
        </w:numPr>
        <w:spacing w:before="0" w:after="80" w:line="300" w:lineRule="auto"/>
        <w:keepLines w:val="1"/>
      </w:pPr>
      <w:r>
        <w:rPr>
          <w:rFonts w:ascii="Calibri" w:hAnsi="Calibri" w:eastAsia="Calibri"/>
          <w:color w:val="162236"/>
          <w:sz w:val="22"/>
        </w:rPr>
        <w:t>Protect the public/portal boundary: clinical files and patient-identifying data begin only after Case Portal authentication.</w:t>
      </w:r>
    </w:p>
    <w:p>
      <w:pPr>
        <w:numPr>
          <w:ilvl w:val="0"/>
          <w:numId w:val="10"/>
        </w:numPr>
        <w:spacing w:before="0" w:after="80" w:line="300" w:lineRule="auto"/>
        <w:keepLines w:val="1"/>
      </w:pPr>
      <w:r>
        <w:rPr>
          <w:rFonts w:ascii="Calibri" w:hAnsi="Calibri" w:eastAsia="Calibri"/>
          <w:color w:val="162236"/>
          <w:sz w:val="22"/>
        </w:rPr>
        <w:t>Position Image3DConversion as a workflow partner that makes case data usable, visible and reviewable.</w:t>
      </w:r>
    </w:p>
    <w:p>
      <w:r>
        <w:br w:type="page"/>
      </w:r>
    </w:p>
    <w:p>
      <w:pPr>
        <w:pStyle w:val="Heading1"/>
        <w:keepNext w:val="1"/>
        <w:keepLines w:val="1"/>
      </w:pPr>
      <w:r>
        <w:t>1. SEO and page identity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value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/case-data-diagnostic-preparation/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 follow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Data Preparation for Digital Implant Planning | Image3DConversion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Meta description</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Prepare DICOM, STL, intraoral scans, bite records, photographs and clinical instructions for guided implant planning, surgical guide design and case review workflows.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Clear case data makes the treatment plan easier to review.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keyword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data preparation for implant planning</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Supporting keywords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DICOM STL implant planning; surgical guide case records; CBCT STL alignment; dental case upload requirements; digital implant workflow records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Prepare Case Data</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Case Readiness</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PRINCIPLE  </w:t>
      </w:r>
      <w:r>
        <w:rPr>
          <w:rFonts w:ascii="Calibri" w:hAnsi="Calibri" w:eastAsia="Calibri"/>
          <w:b w:val="0"/>
          <w:color w:val="162236"/>
          <w:sz w:val="22"/>
        </w:rPr>
        <w:t>The page should answer a practical pre-submission question: what records does a dental practice need before a case can be reviewed, planned, designed and approved?</w:t>
      </w:r>
    </w:p>
    <w:p>
      <w:pPr>
        <w:pStyle w:val="Heading1"/>
        <w:pageBreakBefore w:val="1"/>
        <w:keepNext w:val="1"/>
        <w:keepLines w:val="1"/>
      </w:pPr>
      <w:r>
        <w:t>2. Final page copy</w:t>
      </w:r>
    </w:p>
    <w:p>
      <w:pPr>
        <w:spacing w:before="0" w:after="80"/>
        <w:keepNext w:val="1"/>
      </w:pPr>
      <w:r>
        <w:rPr>
          <w:rFonts w:ascii="Calibri" w:hAnsi="Calibri" w:eastAsia="Calibri"/>
          <w:b/>
          <w:color w:val="2E74B5"/>
          <w:sz w:val="19"/>
        </w:rPr>
        <w:t>HERO EYEBROW</w:t>
      </w:r>
    </w:p>
    <w:p>
      <w:pPr>
        <w:spacing w:before="0" w:after="100" w:line="300" w:lineRule="auto"/>
        <w:jc w:val="left"/>
        <w:keepLines w:val="1"/>
      </w:pPr>
      <w:r>
        <w:rPr>
          <w:rFonts w:ascii="Calibri" w:hAnsi="Calibri" w:eastAsia="Calibri"/>
          <w:b w:val="0"/>
          <w:i w:val="0"/>
          <w:color w:val="162236"/>
          <w:sz w:val="24"/>
        </w:rPr>
        <w:t>CASE DATA &amp; DIAGNOSTIC PREPARATION</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Clear case data makes the treatment plan easier to review.</w:t>
      </w:r>
    </w:p>
    <w:p>
      <w:pPr>
        <w:spacing w:before="0" w:after="80"/>
        <w:keepNext w:val="1"/>
      </w:pPr>
      <w:r>
        <w:rPr>
          <w:rFonts w:ascii="Calibri" w:hAnsi="Calibri" w:eastAsia="Calibri"/>
          <w:b/>
          <w:color w:val="2E74B5"/>
          <w:sz w:val="19"/>
        </w:rPr>
        <w:t>HERO BODY</w:t>
      </w:r>
    </w:p>
    <w:p>
      <w:pPr>
        <w:spacing w:before="0" w:after="100" w:line="300" w:lineRule="auto"/>
        <w:jc w:val="left"/>
        <w:keepLines w:val="1"/>
      </w:pPr>
      <w:r>
        <w:rPr>
          <w:rFonts w:ascii="Calibri" w:hAnsi="Calibri" w:eastAsia="Calibri"/>
          <w:b w:val="0"/>
          <w:i w:val="0"/>
          <w:color w:val="162236"/>
          <w:sz w:val="24"/>
        </w:rPr>
        <w:t>Every digital implant workflow begins before the guide, before the prosthesis and before production. Image3DConversion helps practices prepare DICOM, STL, intraoral scans, bite records, photographs and clinical instructions so the intended smile, prosthetic objective and implant plan can be reviewed together.</w:t>
      </w:r>
    </w:p>
    <w:p>
      <w:pPr>
        <w:spacing w:before="0" w:after="80"/>
        <w:keepNext w:val="1"/>
      </w:pPr>
      <w:r>
        <w:rPr>
          <w:rFonts w:ascii="Calibri" w:hAnsi="Calibri" w:eastAsia="Calibri"/>
          <w:b/>
          <w:color w:val="2E74B5"/>
          <w:sz w:val="19"/>
        </w:rPr>
        <w:t>PROFESSIONAL NOTE</w:t>
      </w:r>
    </w:p>
    <w:p>
      <w:pPr>
        <w:spacing w:before="0" w:after="100" w:line="300" w:lineRule="auto"/>
        <w:jc w:val="left"/>
        <w:keepLines w:val="1"/>
      </w:pPr>
      <w:r>
        <w:rPr>
          <w:rFonts w:ascii="Calibri" w:hAnsi="Calibri" w:eastAsia="Calibri"/>
          <w:b w:val="0"/>
          <w:i w:val="0"/>
          <w:color w:val="162236"/>
          <w:sz w:val="24"/>
        </w:rPr>
        <w:t>For dental professionals and authorised workflow partners. Public forms must not include patient-identifying information or clinical file uploads.</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Prepare Case Data</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Discuss Case Readiness</w:t>
      </w:r>
    </w:p>
    <w:p>
      <w:pPr>
        <w:pStyle w:val="Heading2"/>
        <w:keepNext w:val="1"/>
        <w:keepLines w:val="1"/>
      </w:pPr>
      <w:r>
        <w:t>Section 1 — The smile gives the case direction</w:t>
      </w:r>
    </w:p>
    <w:p>
      <w:pPr>
        <w:spacing w:before="0" w:after="100" w:line="300" w:lineRule="auto"/>
        <w:jc w:val="left"/>
      </w:pPr>
      <w:r>
        <w:rPr>
          <w:rFonts w:ascii="Calibri" w:hAnsi="Calibri" w:eastAsia="Calibri"/>
          <w:b/>
          <w:i w:val="0"/>
          <w:color w:val="1F4D78"/>
          <w:sz w:val="30"/>
        </w:rPr>
        <w:t>A CBCT alone does not explain the smile the practice is trying to restore.</w:t>
      </w:r>
    </w:p>
    <w:p>
      <w:pPr>
        <w:spacing w:before="0" w:after="120" w:line="300" w:lineRule="auto"/>
        <w:jc w:val="left"/>
      </w:pPr>
      <w:r>
        <w:rPr>
          <w:rFonts w:ascii="Calibri" w:hAnsi="Calibri" w:eastAsia="Calibri"/>
          <w:b w:val="0"/>
          <w:i w:val="0"/>
          <w:color w:val="162236"/>
          <w:sz w:val="23"/>
        </w:rPr>
        <w:t>Case preparation connects the patient-facing outcome with the records needed to plan it: facial reference, tooth position, restorative space, occlusion, anatomy, implant system and surgical constraints.</w:t>
      </w:r>
    </w:p>
    <w:p>
      <w:pPr>
        <w:spacing w:before="0" w:after="120" w:line="300" w:lineRule="auto"/>
        <w:jc w:val="left"/>
      </w:pPr>
      <w:r>
        <w:rPr>
          <w:rFonts w:ascii="Calibri" w:hAnsi="Calibri" w:eastAsia="Calibri"/>
          <w:b w:val="0"/>
          <w:i w:val="0"/>
          <w:color w:val="162236"/>
          <w:sz w:val="23"/>
        </w:rPr>
        <w:t>When the records are clear, the review becomes more focused. When information is missing, the practice can correct the case before design and production decisions move too far ahead.</w:t>
      </w:r>
    </w:p>
    <w:p>
      <w:pPr>
        <w:spacing w:before="0" w:after="60" w:line="300" w:lineRule="auto"/>
        <w:jc w:val="left"/>
        <w:keepNext w:val="1"/>
        <w:keepLines w:val="1"/>
      </w:pPr>
      <w:r>
        <w:rPr>
          <w:rFonts w:ascii="Calibri" w:hAnsi="Calibri" w:eastAsia="Calibri"/>
          <w:b w:val="0"/>
          <w:i/>
          <w:color w:val="5F6B7A"/>
          <w:sz w:val="19"/>
        </w:rPr>
        <w:t>Psychological job: Begin with relief, not criticism. The dentist should feel that incomplete records are manageable when the workflow makes missing information visible early.</w:t>
      </w:r>
    </w:p>
    <w:p>
      <w:pPr>
        <w:spacing w:before="0" w:after="60" w:line="300" w:lineRule="auto"/>
        <w:jc w:val="left"/>
        <w:keepNext w:val="1"/>
        <w:keepLines w:val="1"/>
      </w:pPr>
      <w:r>
        <w:rPr>
          <w:rFonts w:ascii="Calibri" w:hAnsi="Calibri" w:eastAsia="Calibri"/>
          <w:b w:val="0"/>
          <w:i w:val="0"/>
          <w:color w:val="5F6B7A"/>
          <w:sz w:val="19"/>
        </w:rPr>
        <w:t>Visual direction: Use a white and blue 3D case-board: smile reference, DICOM volume, STL arch, bite record, clinical photos and notes converging into one reviewable planning scene.</w:t>
      </w:r>
    </w:p>
    <w:p>
      <w:pPr>
        <w:spacing w:before="0" w:after="60" w:line="300" w:lineRule="auto"/>
        <w:jc w:val="left"/>
        <w:keepNext w:val="1"/>
        <w:keepLines w:val="1"/>
      </w:pPr>
      <w:r>
        <w:rPr>
          <w:rFonts w:ascii="Calibri" w:hAnsi="Calibri" w:eastAsia="Calibri"/>
          <w:b w:val="0"/>
          <w:i w:val="0"/>
          <w:color w:val="5F6B7A"/>
          <w:sz w:val="19"/>
        </w:rPr>
        <w:t>Mobile: Lead with the sentence about CBCT not explaining the smile, then show the record checklist as stacked cards.</w:t>
      </w:r>
    </w:p>
    <w:p>
      <w:pPr>
        <w:spacing w:before="0" w:after="140" w:line="300" w:lineRule="auto"/>
        <w:jc w:val="left"/>
        <w:keepLines w:val="1"/>
      </w:pPr>
      <w:r>
        <w:rPr>
          <w:rFonts w:ascii="Calibri" w:hAnsi="Calibri" w:eastAsia="Calibri"/>
          <w:b w:val="0"/>
          <w:i w:val="0"/>
          <w:color w:val="5F6B7A"/>
          <w:sz w:val="19"/>
        </w:rPr>
        <w:t>Implementation: Do not place a clinical file-submission control on the public page. Use sample file labels and workflow visuals only.</w:t>
      </w:r>
    </w:p>
    <w:p>
      <w:pPr>
        <w:pStyle w:val="Heading2"/>
        <w:keepNext w:val="1"/>
        <w:keepLines w:val="1"/>
      </w:pPr>
      <w:r>
        <w:t>Section 2 — What a prepared case usually includes</w:t>
      </w:r>
    </w:p>
    <w:p>
      <w:pPr>
        <w:spacing w:before="0" w:after="120" w:line="300" w:lineRule="auto"/>
        <w:jc w:val="left"/>
      </w:pPr>
      <w:r>
        <w:rPr>
          <w:rFonts w:ascii="Calibri" w:hAnsi="Calibri" w:eastAsia="Calibri"/>
          <w:b w:val="0"/>
          <w:i w:val="0"/>
          <w:color w:val="162236"/>
          <w:sz w:val="23"/>
        </w:rPr>
        <w:t>The exact requirements vary by workflow, but most digital implant cases become clearer when the records are submitted as a connected set.</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000"/>
        <w:gridCol w:w="6000"/>
      </w:tblGrid>
      <w:tr>
        <w:trPr>
          <w:tblHeader w:val="true"/>
          <w:cantSplit/>
        </w:trPr>
        <w:tc>
          <w:tcPr>
            <w:tcW w:type="dxa" w:w="3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Record</w:t>
            </w:r>
          </w:p>
        </w:tc>
        <w:tc>
          <w:tcPr>
            <w:tcW w:type="dxa" w:w="6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it helps clarify</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CBCT / DICOM</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Anatomy, bone volume, pathology discussion, nerve/sinus relationship and implant-planning reference.</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Intraoral scan or model scan</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Arch form, tooth position, prosthetic fit, guide support and relationship to the opposing arch.</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Bite record</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Occlusal relationship, vertical reference and functional planning context.</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photographs</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Smile line, facial reference, tissue display and communication of the aesthetic objective.</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Existing denture, wax-up or mock-up</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Prosthetic endpoint, tooth arrangement and full-arch or provisional reference when available.</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Implant system preference</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Component planning, sleeve discussion and production compatibility review.</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instructions</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Extraction plan, limitations, proposed sequence, restoration type and treating clinician preferences.</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3 — What preparation is not</w:t>
      </w:r>
    </w:p>
    <w:p>
      <w:pPr>
        <w:numPr>
          <w:ilvl w:val="0"/>
          <w:numId w:val="11"/>
        </w:numPr>
        <w:spacing w:before="0" w:after="80" w:line="300" w:lineRule="auto"/>
        <w:keepLines w:val="1"/>
      </w:pPr>
      <w:r>
        <w:rPr>
          <w:rFonts w:ascii="Calibri" w:hAnsi="Calibri" w:eastAsia="Calibri"/>
          <w:color w:val="162236"/>
          <w:sz w:val="22"/>
        </w:rPr>
        <w:t>It is not a replacement for diagnosis.</w:t>
      </w:r>
    </w:p>
    <w:p>
      <w:pPr>
        <w:numPr>
          <w:ilvl w:val="0"/>
          <w:numId w:val="11"/>
        </w:numPr>
        <w:spacing w:before="0" w:after="80" w:line="300" w:lineRule="auto"/>
        <w:keepLines w:val="1"/>
      </w:pPr>
      <w:r>
        <w:rPr>
          <w:rFonts w:ascii="Calibri" w:hAnsi="Calibri" w:eastAsia="Calibri"/>
          <w:color w:val="162236"/>
          <w:sz w:val="22"/>
        </w:rPr>
        <w:t>It is not approval for surgery.</w:t>
      </w:r>
    </w:p>
    <w:p>
      <w:pPr>
        <w:numPr>
          <w:ilvl w:val="0"/>
          <w:numId w:val="11"/>
        </w:numPr>
        <w:spacing w:before="0" w:after="80" w:line="300" w:lineRule="auto"/>
        <w:keepLines w:val="1"/>
      </w:pPr>
      <w:r>
        <w:rPr>
          <w:rFonts w:ascii="Calibri" w:hAnsi="Calibri" w:eastAsia="Calibri"/>
          <w:color w:val="162236"/>
          <w:sz w:val="22"/>
        </w:rPr>
        <w:t>It is not a guarantee that the case is suitable for guided surgery, immediate loading or a specific implant approach.</w:t>
      </w:r>
    </w:p>
    <w:p>
      <w:pPr>
        <w:numPr>
          <w:ilvl w:val="0"/>
          <w:numId w:val="11"/>
        </w:numPr>
        <w:spacing w:before="0" w:after="80" w:line="300" w:lineRule="auto"/>
        <w:keepLines w:val="1"/>
      </w:pPr>
      <w:r>
        <w:rPr>
          <w:rFonts w:ascii="Calibri" w:hAnsi="Calibri" w:eastAsia="Calibri"/>
          <w:color w:val="162236"/>
          <w:sz w:val="22"/>
        </w:rPr>
        <w:t>It is not a public pathway for patient data or clinical records.</w:t>
      </w:r>
    </w:p>
    <w:p>
      <w:pPr>
        <w:numPr>
          <w:ilvl w:val="0"/>
          <w:numId w:val="11"/>
        </w:numPr>
        <w:spacing w:before="0" w:after="80" w:line="300" w:lineRule="auto"/>
        <w:keepLines w:val="1"/>
      </w:pPr>
      <w:r>
        <w:rPr>
          <w:rFonts w:ascii="Calibri" w:hAnsi="Calibri" w:eastAsia="Calibri"/>
          <w:color w:val="162236"/>
          <w:sz w:val="22"/>
        </w:rPr>
        <w:t>It is not a promise that every submitted file is usable without revision.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CLINICAL BOUNDARY  </w:t>
      </w:r>
      <w:r>
        <w:rPr>
          <w:rFonts w:ascii="Calibri" w:hAnsi="Calibri" w:eastAsia="Calibri"/>
          <w:b w:val="0"/>
          <w:color w:val="162236"/>
          <w:sz w:val="22"/>
        </w:rPr>
        <w:t>Image3DConversion can help organise and review the digital workflow materials. The treating clinician remains responsible for diagnosis, indication, treatment planning, patient consent, surgical decisions and final approval.</w:t>
      </w:r>
    </w:p>
    <w:p>
      <w:pPr>
        <w:pStyle w:val="Heading2"/>
        <w:keepNext w:val="1"/>
        <w:keepLines w:val="1"/>
      </w:pPr>
      <w:r>
        <w:t>Section 4 — How the workflow supports the practice</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0"/>
        <w:gridCol w:w="6400"/>
      </w:tblGrid>
      <w:tr>
        <w:trPr>
          <w:tblHeader w:val="true"/>
          <w:cantSplit/>
        </w:trPr>
        <w:tc>
          <w:tcPr>
            <w:tcW w:type="dxa" w:w="2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Stage</w:t>
            </w:r>
          </w:p>
        </w:tc>
        <w:tc>
          <w:tcPr>
            <w:tcW w:type="dxa" w:w="64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support</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Record collection</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The page explains which files are normally useful before the practice enters the authenticated Case Portal.</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Initial case check</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Missing or unclear records can be identified before design expectations become fixed.</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Planning readiness</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The case can be routed toward guided implant, full-arch, immediate-loading, advanced anatomy, design-only or design-to-delivery workflows.</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Review version</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The practice can distinguish planning review material from approved production files.</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Approval</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Clinician review and approval remain visible before final file delivery or production coordination.</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5 — Global practice fit</w:t>
      </w:r>
    </w:p>
    <w:p>
      <w:pPr>
        <w:spacing w:before="0" w:after="120" w:line="300" w:lineRule="auto"/>
        <w:jc w:val="left"/>
      </w:pPr>
      <w:r>
        <w:rPr>
          <w:rFonts w:ascii="Calibri" w:hAnsi="Calibri" w:eastAsia="Calibri"/>
          <w:b w:val="0"/>
          <w:i w:val="0"/>
          <w:color w:val="162236"/>
          <w:sz w:val="23"/>
        </w:rPr>
        <w:t>For global practices, clean case data is the foundation of remote collaboration. A practice may keep surgery, patient communication and production local while using Image3DConversion to prepare review-ready planning files, guide designs or coordinated design-to-delivery workflows.</w:t>
      </w:r>
    </w:p>
    <w:p>
      <w:pPr>
        <w:numPr>
          <w:ilvl w:val="0"/>
          <w:numId w:val="12"/>
        </w:numPr>
        <w:spacing w:before="0" w:after="80" w:line="300" w:lineRule="auto"/>
        <w:keepLines w:val="1"/>
      </w:pPr>
      <w:r>
        <w:rPr>
          <w:rFonts w:ascii="Calibri" w:hAnsi="Calibri" w:eastAsia="Calibri"/>
          <w:color w:val="162236"/>
          <w:sz w:val="22"/>
        </w:rPr>
        <w:t>Explain accepted file types before the dentist starts the case.</w:t>
      </w:r>
    </w:p>
    <w:p>
      <w:pPr>
        <w:numPr>
          <w:ilvl w:val="0"/>
          <w:numId w:val="12"/>
        </w:numPr>
        <w:spacing w:before="0" w:after="80" w:line="300" w:lineRule="auto"/>
        <w:keepLines w:val="1"/>
      </w:pPr>
      <w:r>
        <w:rPr>
          <w:rFonts w:ascii="Calibri" w:hAnsi="Calibri" w:eastAsia="Calibri"/>
          <w:color w:val="162236"/>
          <w:sz w:val="22"/>
        </w:rPr>
        <w:t>Make missing-record requests clear across time zones.</w:t>
      </w:r>
    </w:p>
    <w:p>
      <w:pPr>
        <w:numPr>
          <w:ilvl w:val="0"/>
          <w:numId w:val="12"/>
        </w:numPr>
        <w:spacing w:before="0" w:after="80" w:line="300" w:lineRule="auto"/>
        <w:keepLines w:val="1"/>
      </w:pPr>
      <w:r>
        <w:rPr>
          <w:rFonts w:ascii="Calibri" w:hAnsi="Calibri" w:eastAsia="Calibri"/>
          <w:color w:val="162236"/>
          <w:sz w:val="22"/>
        </w:rPr>
        <w:t>Separate design-only files from production or delivery responsibilities.</w:t>
      </w:r>
    </w:p>
    <w:p>
      <w:pPr>
        <w:numPr>
          <w:ilvl w:val="0"/>
          <w:numId w:val="12"/>
        </w:numPr>
        <w:spacing w:before="0" w:after="80" w:line="300" w:lineRule="auto"/>
        <w:keepLines w:val="1"/>
      </w:pPr>
      <w:r>
        <w:rPr>
          <w:rFonts w:ascii="Calibri" w:hAnsi="Calibri" w:eastAsia="Calibri"/>
          <w:color w:val="162236"/>
          <w:sz w:val="22"/>
        </w:rPr>
        <w:t>Keep review versions distinct from final approved files.</w:t>
      </w:r>
    </w:p>
    <w:p>
      <w:pPr>
        <w:numPr>
          <w:ilvl w:val="0"/>
          <w:numId w:val="12"/>
        </w:numPr>
        <w:spacing w:before="0" w:after="80" w:line="300" w:lineRule="auto"/>
        <w:keepLines w:val="1"/>
      </w:pPr>
      <w:r>
        <w:rPr>
          <w:rFonts w:ascii="Calibri" w:hAnsi="Calibri" w:eastAsia="Calibri"/>
          <w:color w:val="162236"/>
          <w:sz w:val="22"/>
        </w:rPr>
        <w:t>Verify country-specific delivery, currency, data-handling and production claims before publication.</w:t>
      </w:r>
    </w:p>
    <w:p>
      <w:pPr>
        <w:pStyle w:val="Heading2"/>
        <w:keepNext w:val="1"/>
        <w:keepLines w:val="1"/>
      </w:pPr>
      <w:r>
        <w:t>Section 6 — CTA block</w:t>
      </w:r>
    </w:p>
    <w:p>
      <w:pPr>
        <w:spacing w:before="0" w:after="80"/>
        <w:keepNext w:val="1"/>
      </w:pPr>
      <w:r>
        <w:rPr>
          <w:rFonts w:ascii="Calibri" w:hAnsi="Calibri" w:eastAsia="Calibri"/>
          <w:b/>
          <w:color w:val="2E74B5"/>
          <w:sz w:val="19"/>
        </w:rPr>
        <w:t>CTA HEADLINE</w:t>
      </w:r>
    </w:p>
    <w:p>
      <w:pPr>
        <w:spacing w:before="0" w:after="100" w:line="300" w:lineRule="auto"/>
        <w:jc w:val="left"/>
        <w:keepLines w:val="1"/>
      </w:pPr>
      <w:r>
        <w:rPr>
          <w:rFonts w:ascii="Calibri" w:hAnsi="Calibri" w:eastAsia="Calibri"/>
          <w:b w:val="0"/>
          <w:i w:val="0"/>
          <w:color w:val="162236"/>
          <w:sz w:val="24"/>
        </w:rPr>
        <w:t>Preparing records for a guided implant case?</w:t>
      </w:r>
    </w:p>
    <w:p>
      <w:pPr>
        <w:spacing w:before="0" w:after="80"/>
        <w:keepNext w:val="1"/>
      </w:pPr>
      <w:r>
        <w:rPr>
          <w:rFonts w:ascii="Calibri" w:hAnsi="Calibri" w:eastAsia="Calibri"/>
          <w:b/>
          <w:color w:val="2E74B5"/>
          <w:sz w:val="19"/>
        </w:rPr>
        <w:t>CTA BODY</w:t>
      </w:r>
    </w:p>
    <w:p>
      <w:pPr>
        <w:spacing w:before="0" w:after="100" w:line="300" w:lineRule="auto"/>
        <w:jc w:val="left"/>
        <w:keepLines w:val="1"/>
      </w:pPr>
      <w:r>
        <w:rPr>
          <w:rFonts w:ascii="Calibri" w:hAnsi="Calibri" w:eastAsia="Calibri"/>
          <w:b w:val="0"/>
          <w:i w:val="0"/>
          <w:color w:val="162236"/>
          <w:sz w:val="24"/>
        </w:rPr>
        <w:t>Start with the intended smile and submit the case records through the authenticated portal when you are ready.</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Prepare Case Data</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Discuss Case Readiness</w:t>
      </w:r>
    </w:p>
    <w:p>
      <w:pPr>
        <w:pStyle w:val="Heading1"/>
        <w:keepNext w:val="1"/>
        <w:keepLines w:val="1"/>
      </w:pPr>
      <w:r>
        <w:t>3. Design psychology and visual layout</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300"/>
        <w:gridCol w:w="380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Section</w:t>
            </w:r>
          </w:p>
        </w:tc>
        <w:tc>
          <w:tcPr>
            <w:tcW w:type="dxa" w:w="3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Psychological job</w:t>
            </w:r>
          </w:p>
        </w:tc>
        <w:tc>
          <w:tcPr>
            <w:tcW w:type="dxa" w:w="3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Visual direction</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Reassure dentists that the case begins with a readable record set, not a guess.</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White/blue 3D diagnostic desk: smile reference, DICOM volume, STL arch, bite and notes aligning into one case view.</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Smile gives direction</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Connect data preparation to patient outcome rather than administration.</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Smile/prosthetic reference above anatomy and scan layers.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Prepared case includes</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Make requirements concrete and non-intimidating.</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Checklist cards with file-type icons derived only from blue linework.</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preparation is not</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Prevent overclaiming and protect clinical authority.</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Calm note band, no warning colours except functional portal statuses.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Workflow support</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Show movement from files to review to approval.</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Horizontal timeline on desktop; stacked review states on mobile.</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 fit</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Make remote work credible through operations.</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File exchange and review-state visual; avoid flag collage or vague world map hero.</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CTA</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Move ready practices into the portal and uncertain practices into a non-identifying discussion.</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Blue CTA on white page with clear boundary note.</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3D EFFECT GUIDANCE  </w:t>
      </w:r>
      <w:r>
        <w:rPr>
          <w:rFonts w:ascii="Calibri" w:hAnsi="Calibri" w:eastAsia="Calibri"/>
          <w:b w:val="0"/>
          <w:color w:val="162236"/>
          <w:sz w:val="22"/>
        </w:rPr>
        <w:t>The best visual direction is a layered digital case: patient smile reference in front, prosthetic arch, STL surface, CBCT volume and implant-planning grid behind it. It should feel like clinical data becoming understandable, not a generic cloud-upload page.</w:t>
      </w:r>
    </w:p>
    <w:p>
      <w:pPr>
        <w:pStyle w:val="Heading1"/>
        <w:keepNext w:val="1"/>
        <w:keepLines w:val="1"/>
      </w:pPr>
      <w:r>
        <w:t>4. Mobile and interaction behaviour</w:t>
      </w:r>
    </w:p>
    <w:p>
      <w:pPr>
        <w:numPr>
          <w:ilvl w:val="0"/>
          <w:numId w:val="13"/>
        </w:numPr>
        <w:spacing w:before="0" w:after="80" w:line="300" w:lineRule="auto"/>
        <w:keepLines w:val="1"/>
      </w:pPr>
      <w:r>
        <w:rPr>
          <w:rFonts w:ascii="Calibri" w:hAnsi="Calibri" w:eastAsia="Calibri"/>
          <w:color w:val="162236"/>
          <w:sz w:val="22"/>
        </w:rPr>
        <w:t>Hero copy appears before the diagnostic-stack visual on mobile.</w:t>
      </w:r>
    </w:p>
    <w:p>
      <w:pPr>
        <w:numPr>
          <w:ilvl w:val="0"/>
          <w:numId w:val="13"/>
        </w:numPr>
        <w:spacing w:before="0" w:after="80" w:line="300" w:lineRule="auto"/>
        <w:keepLines w:val="1"/>
      </w:pPr>
      <w:r>
        <w:rPr>
          <w:rFonts w:ascii="Calibri" w:hAnsi="Calibri" w:eastAsia="Calibri"/>
          <w:color w:val="162236"/>
          <w:sz w:val="22"/>
        </w:rPr>
        <w:t>Record requirements collapse into scan-friendly cards; labels must remain crawlable HTML text.</w:t>
      </w:r>
    </w:p>
    <w:p>
      <w:pPr>
        <w:numPr>
          <w:ilvl w:val="0"/>
          <w:numId w:val="13"/>
        </w:numPr>
        <w:spacing w:before="0" w:after="80" w:line="300" w:lineRule="auto"/>
        <w:keepLines w:val="1"/>
      </w:pPr>
      <w:r>
        <w:rPr>
          <w:rFonts w:ascii="Calibri" w:hAnsi="Calibri" w:eastAsia="Calibri"/>
          <w:color w:val="162236"/>
          <w:sz w:val="22"/>
        </w:rPr>
        <w:t>Use accordions only for workflow-specific requirements, not for hiding the main record list.</w:t>
      </w:r>
    </w:p>
    <w:p>
      <w:pPr>
        <w:numPr>
          <w:ilvl w:val="0"/>
          <w:numId w:val="13"/>
        </w:numPr>
        <w:spacing w:before="0" w:after="80" w:line="300" w:lineRule="auto"/>
        <w:keepLines w:val="1"/>
      </w:pPr>
      <w:r>
        <w:rPr>
          <w:rFonts w:ascii="Calibri" w:hAnsi="Calibri" w:eastAsia="Calibri"/>
          <w:color w:val="162236"/>
          <w:sz w:val="22"/>
        </w:rPr>
        <w:t>Primary CTA remains visible after the requirements section and again at the final CTA block.</w:t>
      </w:r>
    </w:p>
    <w:p>
      <w:pPr>
        <w:numPr>
          <w:ilvl w:val="0"/>
          <w:numId w:val="13"/>
        </w:numPr>
        <w:spacing w:before="0" w:after="80" w:line="300" w:lineRule="auto"/>
        <w:keepLines w:val="1"/>
      </w:pPr>
      <w:r>
        <w:rPr>
          <w:rFonts w:ascii="Calibri" w:hAnsi="Calibri" w:eastAsia="Calibri"/>
          <w:color w:val="162236"/>
          <w:sz w:val="22"/>
        </w:rPr>
        <w:t>Global-practice notes should link to the dedicated Global Practice Workflows page.</w:t>
      </w:r>
    </w:p>
    <w:p>
      <w:pPr>
        <w:numPr>
          <w:ilvl w:val="0"/>
          <w:numId w:val="13"/>
        </w:numPr>
        <w:spacing w:before="0" w:after="80" w:line="300" w:lineRule="auto"/>
        <w:keepLines w:val="1"/>
      </w:pPr>
      <w:r>
        <w:rPr>
          <w:rFonts w:ascii="Calibri" w:hAnsi="Calibri" w:eastAsia="Calibri"/>
          <w:color w:val="162236"/>
          <w:sz w:val="22"/>
        </w:rPr>
        <w:t>Any public discussion form must reject clinical file upload and patient-identifying details.</w:t>
      </w:r>
    </w:p>
    <w:p>
      <w:pPr>
        <w:pStyle w:val="Heading1"/>
        <w:keepNext w:val="1"/>
        <w:keepLines w:val="1"/>
      </w:pPr>
      <w:r>
        <w:t>5. CTA routing and portal boundary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2800"/>
        <w:gridCol w:w="3900"/>
      </w:tblGrid>
      <w:tr>
        <w:trPr>
          <w:tblHeader w:val="true"/>
          <w:cantSplit/>
        </w:trPr>
        <w:tc>
          <w:tcPr>
            <w:tcW w:type="dxa" w:w="2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action</w:t>
            </w:r>
          </w:p>
        </w:tc>
        <w:tc>
          <w:tcPr>
            <w:tcW w:type="dxa" w:w="2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3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 Case Data</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Case Portal</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Authenticate first, then open the case-start flow or requirements checklist if available.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Case Readiness</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Professional discussion form</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Collect professional identity, country, workflow type and non-identifying summary only.</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View Guided Implant Workflow</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 Implant Workflow page</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when the practice is ready to understand the planning route after record preparation.</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Open the Case Portal</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 login</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Return established users to their case list or intended submission flow after authentication.</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6. Publication controls</w:t>
      </w:r>
    </w:p>
    <w:p>
      <w:pPr>
        <w:numPr>
          <w:ilvl w:val="0"/>
          <w:numId w:val="14"/>
        </w:numPr>
        <w:spacing w:before="0" w:after="80" w:line="300" w:lineRule="auto"/>
        <w:keepLines w:val="1"/>
      </w:pPr>
      <w:r>
        <w:rPr>
          <w:rFonts w:ascii="Calibri" w:hAnsi="Calibri" w:eastAsia="Calibri"/>
          <w:color w:val="162236"/>
          <w:sz w:val="22"/>
        </w:rPr>
        <w:t>Do not publish a clinical file-submission field on this route.</w:t>
      </w:r>
    </w:p>
    <w:p>
      <w:pPr>
        <w:numPr>
          <w:ilvl w:val="0"/>
          <w:numId w:val="14"/>
        </w:numPr>
        <w:spacing w:before="0" w:after="80" w:line="300" w:lineRule="auto"/>
        <w:keepLines w:val="1"/>
      </w:pPr>
      <w:r>
        <w:rPr>
          <w:rFonts w:ascii="Calibri" w:hAnsi="Calibri" w:eastAsia="Calibri"/>
          <w:color w:val="162236"/>
          <w:sz w:val="22"/>
        </w:rPr>
        <w:t>Do not say records are automatically validated unless the portal actually performs that validation.</w:t>
      </w:r>
    </w:p>
    <w:p>
      <w:pPr>
        <w:numPr>
          <w:ilvl w:val="0"/>
          <w:numId w:val="14"/>
        </w:numPr>
        <w:spacing w:before="0" w:after="80" w:line="300" w:lineRule="auto"/>
        <w:keepLines w:val="1"/>
      </w:pPr>
      <w:r>
        <w:rPr>
          <w:rFonts w:ascii="Calibri" w:hAnsi="Calibri" w:eastAsia="Calibri"/>
          <w:color w:val="162236"/>
          <w:sz w:val="22"/>
        </w:rPr>
        <w:t>Do not imply all file types, implant systems or production routes are accepted without verification.</w:t>
      </w:r>
    </w:p>
    <w:p>
      <w:pPr>
        <w:numPr>
          <w:ilvl w:val="0"/>
          <w:numId w:val="14"/>
        </w:numPr>
        <w:spacing w:before="0" w:after="80" w:line="300" w:lineRule="auto"/>
        <w:keepLines w:val="1"/>
      </w:pPr>
      <w:r>
        <w:rPr>
          <w:rFonts w:ascii="Calibri" w:hAnsi="Calibri" w:eastAsia="Calibri"/>
          <w:color w:val="162236"/>
          <w:sz w:val="22"/>
        </w:rPr>
        <w:t>Do not use patient screenshots, DICOM, STL, photographs or names without permission and de-identification.</w:t>
      </w:r>
    </w:p>
    <w:p>
      <w:pPr>
        <w:numPr>
          <w:ilvl w:val="0"/>
          <w:numId w:val="14"/>
        </w:numPr>
        <w:spacing w:before="0" w:after="80" w:line="300" w:lineRule="auto"/>
        <w:keepLines w:val="1"/>
      </w:pPr>
      <w:r>
        <w:rPr>
          <w:rFonts w:ascii="Calibri" w:hAnsi="Calibri" w:eastAsia="Calibri"/>
          <w:color w:val="162236"/>
          <w:sz w:val="22"/>
        </w:rPr>
        <w:t>Do not publish unsupported security, privacy, regulatory or regional availability claims.</w:t>
      </w:r>
    </w:p>
    <w:p>
      <w:pPr>
        <w:numPr>
          <w:ilvl w:val="0"/>
          <w:numId w:val="14"/>
        </w:numPr>
        <w:spacing w:before="0" w:after="80" w:line="300" w:lineRule="auto"/>
        <w:keepLines w:val="1"/>
      </w:pPr>
      <w:r>
        <w:rPr>
          <w:rFonts w:ascii="Calibri" w:hAnsi="Calibri" w:eastAsia="Calibri"/>
          <w:color w:val="162236"/>
          <w:sz w:val="22"/>
        </w:rPr>
        <w:t>Do not imply Image3DConversion provides diagnosis or final clinical treatment planning authority.</w:t>
      </w:r>
    </w:p>
    <w:p>
      <w:pPr>
        <w:numPr>
          <w:ilvl w:val="0"/>
          <w:numId w:val="14"/>
        </w:numPr>
        <w:spacing w:before="0" w:after="80" w:line="300" w:lineRule="auto"/>
        <w:keepLines w:val="1"/>
      </w:pPr>
      <w:r>
        <w:rPr>
          <w:rFonts w:ascii="Calibri" w:hAnsi="Calibri" w:eastAsia="Calibri"/>
          <w:color w:val="162236"/>
          <w:sz w:val="22"/>
        </w:rPr>
        <w:t>Verify portal terminology before naming exact statuses or automated checks.</w:t>
      </w:r>
    </w:p>
    <w:p>
      <w:pPr>
        <w:numPr>
          <w:ilvl w:val="0"/>
          <w:numId w:val="15"/>
        </w:numPr>
        <w:spacing w:after="80" w:line="300" w:lineRule="auto"/>
      </w:pPr>
      <w:hyperlink r:id="rId11">
        <w:r>
          <w:rPr>
            <w:rFonts w:ascii="Calibri" w:hAnsi="Calibri"/>
            <w:color w:val="2E74B5"/>
            <w:u w:val="single"/>
          </w:rPr>
          <w:t>Google Search Central — creating helpful, reliable, people-first content</w:t>
        </w:r>
      </w:hyperlink>
      <w:r>
        <w:rPr>
          <w:rFonts w:ascii="Calibri" w:hAnsi="Calibri" w:eastAsia="Calibri"/>
          <w:color w:val="162236"/>
          <w:sz w:val="21"/>
        </w:rPr>
        <w:t xml:space="preserve"> — Use to keep the requirements page helpful and professional instead of keyword-stuffed.</w:t>
      </w:r>
    </w:p>
    <w:p>
      <w:pPr>
        <w:numPr>
          <w:ilvl w:val="0"/>
          <w:numId w:val="16"/>
        </w:numPr>
        <w:spacing w:after="80" w:line="300" w:lineRule="auto"/>
      </w:pPr>
      <w:hyperlink r:id="rId12">
        <w:r>
          <w:rPr>
            <w:rFonts w:ascii="Calibri" w:hAnsi="Calibri"/>
            <w:color w:val="2E74B5"/>
            <w:u w:val="single"/>
          </w:rPr>
          <w:t>Google Search Central — SEO Starter Guide</w:t>
        </w:r>
      </w:hyperlink>
      <w:r>
        <w:rPr>
          <w:rFonts w:ascii="Calibri" w:hAnsi="Calibri" w:eastAsia="Calibri"/>
          <w:color w:val="162236"/>
          <w:sz w:val="21"/>
        </w:rPr>
        <w:t xml:space="preserve"> — Use for titles, descriptions, headings, crawlable text and internal links.</w:t>
      </w:r>
    </w:p>
    <w:p>
      <w:pPr>
        <w:numPr>
          <w:ilvl w:val="0"/>
          <w:numId w:val="17"/>
        </w:numPr>
        <w:spacing w:after="80" w:line="300" w:lineRule="auto"/>
      </w:pPr>
      <w:hyperlink r:id="rId13">
        <w:r>
          <w:rPr>
            <w:rFonts w:ascii="Calibri" w:hAnsi="Calibri"/>
            <w:color w:val="2E74B5"/>
            <w:u w:val="single"/>
          </w:rPr>
          <w:t>ITI consensus database — computer-guided implant surgery</w:t>
        </w:r>
      </w:hyperlink>
      <w:r>
        <w:rPr>
          <w:rFonts w:ascii="Calibri" w:hAnsi="Calibri" w:eastAsia="Calibri"/>
          <w:color w:val="162236"/>
          <w:sz w:val="21"/>
        </w:rPr>
        <w:t xml:space="preserve"> — Use as a clinical-boundary reminder: guided workflows support planning and placement but do not replace clinical judgement and verification.</w:t>
      </w:r>
    </w:p>
    <w:p>
      <w:pPr>
        <w:pStyle w:val="Heading1"/>
        <w:keepNext w:val="1"/>
        <w:keepLines w:val="1"/>
      </w:pPr>
      <w:r>
        <w:t>7. Developer handoff summary</w:t>
      </w:r>
    </w:p>
    <w:p>
      <w:pPr>
        <w:numPr>
          <w:ilvl w:val="0"/>
          <w:numId w:val="18"/>
        </w:numPr>
        <w:spacing w:before="0" w:after="80" w:line="300" w:lineRule="auto"/>
        <w:keepLines w:val="1"/>
      </w:pPr>
      <w:r>
        <w:rPr>
          <w:rFonts w:ascii="Calibri" w:hAnsi="Calibri" w:eastAsia="Calibri"/>
          <w:color w:val="162236"/>
          <w:sz w:val="22"/>
        </w:rPr>
        <w:t>Implement as a public workflow-support page using the same global shell created in Blueprint 01.</w:t>
      </w:r>
    </w:p>
    <w:p>
      <w:pPr>
        <w:numPr>
          <w:ilvl w:val="0"/>
          <w:numId w:val="18"/>
        </w:numPr>
        <w:spacing w:before="0" w:after="80" w:line="300" w:lineRule="auto"/>
        <w:keepLines w:val="1"/>
      </w:pPr>
      <w:r>
        <w:rPr>
          <w:rFonts w:ascii="Calibri" w:hAnsi="Calibri" w:eastAsia="Calibri"/>
          <w:color w:val="162236"/>
          <w:sz w:val="22"/>
        </w:rPr>
        <w:t>Use the locked Blue + White system; any depth, gradient or glass effect must derive from Image3DConversion Blue.</w:t>
      </w:r>
    </w:p>
    <w:p>
      <w:pPr>
        <w:numPr>
          <w:ilvl w:val="0"/>
          <w:numId w:val="18"/>
        </w:numPr>
        <w:spacing w:before="0" w:after="80" w:line="300" w:lineRule="auto"/>
        <w:keepLines w:val="1"/>
      </w:pPr>
      <w:r>
        <w:rPr>
          <w:rFonts w:ascii="Calibri" w:hAnsi="Calibri" w:eastAsia="Calibri"/>
          <w:color w:val="162236"/>
          <w:sz w:val="22"/>
        </w:rPr>
        <w:t>Model record requirements as reusable content blocks for other workflow pages.</w:t>
      </w:r>
    </w:p>
    <w:p>
      <w:pPr>
        <w:numPr>
          <w:ilvl w:val="0"/>
          <w:numId w:val="18"/>
        </w:numPr>
        <w:spacing w:before="0" w:after="80" w:line="300" w:lineRule="auto"/>
        <w:keepLines w:val="1"/>
      </w:pPr>
      <w:r>
        <w:rPr>
          <w:rFonts w:ascii="Calibri" w:hAnsi="Calibri" w:eastAsia="Calibri"/>
          <w:color w:val="162236"/>
          <w:sz w:val="22"/>
        </w:rPr>
        <w:t>Keep all copy as editable HTML text, not image text.</w:t>
      </w:r>
    </w:p>
    <w:p>
      <w:pPr>
        <w:numPr>
          <w:ilvl w:val="0"/>
          <w:numId w:val="18"/>
        </w:numPr>
        <w:spacing w:before="0" w:after="80" w:line="300" w:lineRule="auto"/>
        <w:keepLines w:val="1"/>
      </w:pPr>
      <w:r>
        <w:rPr>
          <w:rFonts w:ascii="Calibri" w:hAnsi="Calibri" w:eastAsia="Calibri"/>
          <w:color w:val="162236"/>
          <w:sz w:val="22"/>
        </w:rPr>
        <w:t>Add internal links to Guided Implant Workflow, Full-Arch Stackable Workflow, Immediate-Loading Prosthetic Workflow, Design-Only Workflow and Global Practice Workflows.</w:t>
      </w:r>
    </w:p>
    <w:p>
      <w:pPr>
        <w:numPr>
          <w:ilvl w:val="0"/>
          <w:numId w:val="18"/>
        </w:numPr>
        <w:spacing w:before="0" w:after="80" w:line="300" w:lineRule="auto"/>
        <w:keepLines w:val="1"/>
      </w:pPr>
      <w:r>
        <w:rPr>
          <w:rFonts w:ascii="Calibri" w:hAnsi="Calibri" w:eastAsia="Calibri"/>
          <w:color w:val="162236"/>
          <w:sz w:val="22"/>
        </w:rPr>
        <w:t>Respect the public/portal boundary: no clinical upload surface on this route.</w:t>
      </w:r>
    </w:p>
    <w:p>
      <w:pPr>
        <w:numPr>
          <w:ilvl w:val="0"/>
          <w:numId w:val="18"/>
        </w:numPr>
        <w:spacing w:before="0" w:after="80" w:line="300" w:lineRule="auto"/>
        <w:keepLines w:val="1"/>
      </w:pPr>
      <w:r>
        <w:rPr>
          <w:rFonts w:ascii="Calibri" w:hAnsi="Calibri" w:eastAsia="Calibri"/>
          <w:color w:val="162236"/>
          <w:sz w:val="22"/>
        </w:rPr>
        <w:t>Provide desktop and mobile screenshots before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CASE DATA &amp; DIAGNOSTIC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developers.google.com/search/docs/fundamentals/seo-starter-guide" TargetMode="External"/><Relationship Id="rId13" Type="http://schemas.openxmlformats.org/officeDocument/2006/relationships/hyperlink" Target="https://academy.iti.org/academy/consensus-database/consensus-statement/-/consensus/computer-guided-implant-surgery/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