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after="120"/>
      </w:pPr>
      <w:r>
        <w:rPr>
          <w:rFonts w:ascii="Calibri" w:hAnsi="Calibri" w:eastAsia="Calibri"/>
          <w:b/>
          <w:color w:val="162236"/>
          <w:sz w:val="56"/>
        </w:rPr>
        <w:t>Image3DConversion</w:t>
        <w:br/>
      </w:r>
      <w:r>
        <w:rPr>
          <w:rFonts w:ascii="Calibri" w:hAnsi="Calibri" w:eastAsia="Calibri"/>
          <w:b/>
          <w:color w:val="2E74B5"/>
          <w:sz w:val="50"/>
        </w:rPr>
        <w:t>Case Portal Page</w:t>
      </w:r>
    </w:p>
    <w:p>
      <w:pPr>
        <w:spacing w:before="0" w:after="320" w:line="300" w:lineRule="auto"/>
        <w:jc w:val="left"/>
      </w:pPr>
      <w:r>
        <w:rPr>
          <w:rFonts w:ascii="Calibri" w:hAnsi="Calibri" w:eastAsia="Calibri"/>
          <w:b w:val="0"/>
          <w:i w:val="0"/>
          <w:color w:val="5F6B7A"/>
          <w:sz w:val="26"/>
        </w:rPr>
        <w:t>Final public gateway copy, SEO hierarchy, design psychology, portal action language, authenticated-screen boundary, mobile behaviour and publication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1.0 · 28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https://www.image3dconversion.com/case-portal/</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Open the Case Portal</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PAGE DECISION  </w:t>
      </w:r>
      <w:r>
        <w:rPr>
          <w:rFonts w:ascii="Calibri" w:hAnsi="Calibri" w:eastAsia="Calibri"/>
          <w:b w:val="0"/>
          <w:color w:val="162236"/>
          <w:sz w:val="22"/>
        </w:rPr>
        <w:t>This is a public gateway page for practices and authorised partners. It explains what the Image3DConversion Case Portal is for and routes users into the authenticated portal without changing the approved login, role, tenant, finance or case workflow architecture.</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Make the Case Portal feel like the organised operating environment behind guided implant workflows.</w:t>
      </w:r>
    </w:p>
    <w:p>
      <w:pPr>
        <w:numPr>
          <w:ilvl w:val="0"/>
          <w:numId w:val="10"/>
        </w:numPr>
        <w:spacing w:before="0" w:after="80" w:line="300" w:lineRule="auto"/>
        <w:keepLines w:val="1"/>
      </w:pPr>
      <w:r>
        <w:rPr>
          <w:rFonts w:ascii="Calibri" w:hAnsi="Calibri" w:eastAsia="Calibri"/>
          <w:color w:val="162236"/>
          <w:sz w:val="22"/>
        </w:rPr>
        <w:t>Explain the main actions: start, review, approve, track and access agreed deliverables.</w:t>
      </w:r>
    </w:p>
    <w:p>
      <w:pPr>
        <w:numPr>
          <w:ilvl w:val="0"/>
          <w:numId w:val="10"/>
        </w:numPr>
        <w:spacing w:before="0" w:after="80" w:line="300" w:lineRule="auto"/>
        <w:keepLines w:val="1"/>
      </w:pPr>
      <w:r>
        <w:rPr>
          <w:rFonts w:ascii="Calibri" w:hAnsi="Calibri" w:eastAsia="Calibri"/>
          <w:color w:val="162236"/>
          <w:sz w:val="22"/>
        </w:rPr>
        <w:t>Clarify that clinical records are submitted only after authentication inside the portal.</w:t>
      </w:r>
    </w:p>
    <w:p>
      <w:pPr>
        <w:numPr>
          <w:ilvl w:val="0"/>
          <w:numId w:val="10"/>
        </w:numPr>
        <w:spacing w:before="0" w:after="80" w:line="300" w:lineRule="auto"/>
        <w:keepLines w:val="1"/>
      </w:pPr>
      <w:r>
        <w:rPr>
          <w:rFonts w:ascii="Calibri" w:hAnsi="Calibri" w:eastAsia="Calibri"/>
          <w:color w:val="162236"/>
          <w:sz w:val="22"/>
        </w:rPr>
        <w:t>Support new practices, returning practices, global partners and operations teams with clear route choices.</w:t>
      </w:r>
    </w:p>
    <w:p>
      <w:pPr>
        <w:numPr>
          <w:ilvl w:val="0"/>
          <w:numId w:val="10"/>
        </w:numPr>
        <w:spacing w:before="0" w:after="80" w:line="300" w:lineRule="auto"/>
        <w:keepLines w:val="1"/>
      </w:pPr>
      <w:r>
        <w:rPr>
          <w:rFonts w:ascii="Calibri" w:hAnsi="Calibri" w:eastAsia="Calibri"/>
          <w:color w:val="162236"/>
          <w:sz w:val="22"/>
        </w:rPr>
        <w:t>Preserve existing portal roles, tenant isolation, clinical-operations access and finance separation.</w:t>
      </w:r>
    </w:p>
    <w:p>
      <w:pPr>
        <w:numPr>
          <w:ilvl w:val="0"/>
          <w:numId w:val="10"/>
        </w:numPr>
        <w:spacing w:before="0" w:after="80" w:line="300" w:lineRule="auto"/>
        <w:keepLines w:val="1"/>
      </w:pPr>
      <w:r>
        <w:rPr>
          <w:rFonts w:ascii="Calibri" w:hAnsi="Calibri" w:eastAsia="Calibri"/>
          <w:color w:val="162236"/>
          <w:sz w:val="22"/>
        </w:rPr>
        <w:t>Avoid unsupported compliance, privacy, speed, safety, outcome-assurance or production-capacity claims.</w:t>
      </w:r>
    </w:p>
    <w:p>
      <w:r>
        <w:br w:type="page"/>
      </w:r>
    </w:p>
    <w:p>
      <w:pPr>
        <w:pStyle w:val="Heading1"/>
        <w:keepNext w:val="1"/>
        <w:keepLines w:val="1"/>
      </w:pPr>
      <w:r>
        <w:t>1. SEO and page identity</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value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/case-portal/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Public gateway index, follow. Authenticated portal screens remain outside public indexing.</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Case Portal | Login &amp; Start a Case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Meta description</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Access the Image3DConversion Case Portal to start, review, approve and track your digital implant workflow.</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review and track your guided implant cases in one place.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keyword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Case Portal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Supporting keywords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dental implant case portal; surgical guide case submission; digital implant planning portal; guided implant case tracking</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the Case Portal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New Practice? Discuss Case Setup</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PRINCIPLE  </w:t>
      </w:r>
      <w:r>
        <w:rPr>
          <w:rFonts w:ascii="Calibri" w:hAnsi="Calibri" w:eastAsia="Calibri"/>
          <w:b w:val="0"/>
          <w:color w:val="162236"/>
          <w:sz w:val="22"/>
        </w:rPr>
        <w:t>The page should rank for branded portal and guided-case submission intent, but it must remain a gateway. It should not expose authenticated workflow content, patient data, case references or internal operational details.</w:t>
      </w:r>
    </w:p>
    <w:p>
      <w:pPr>
        <w:pStyle w:val="Heading1"/>
        <w:pageBreakBefore w:val="1"/>
        <w:keepNext w:val="1"/>
        <w:keepLines w:val="1"/>
      </w:pPr>
      <w:r>
        <w:t>2. Final page copy</w:t>
      </w:r>
    </w:p>
    <w:p>
      <w:pPr>
        <w:spacing w:before="0" w:after="80"/>
        <w:keepNext w:val="1"/>
      </w:pPr>
      <w:r>
        <w:rPr>
          <w:rFonts w:ascii="Calibri" w:hAnsi="Calibri" w:eastAsia="Calibri"/>
          <w:b/>
          <w:color w:val="2E74B5"/>
          <w:sz w:val="19"/>
        </w:rPr>
        <w:t>HERO EYEBROW</w:t>
      </w:r>
    </w:p>
    <w:p>
      <w:pPr>
        <w:spacing w:before="0" w:after="100" w:line="300" w:lineRule="auto"/>
        <w:jc w:val="left"/>
        <w:keepLines w:val="1"/>
      </w:pPr>
      <w:r>
        <w:rPr>
          <w:rFonts w:ascii="Calibri" w:hAnsi="Calibri" w:eastAsia="Calibri"/>
          <w:b w:val="0"/>
          <w:i w:val="0"/>
          <w:color w:val="162236"/>
          <w:sz w:val="24"/>
        </w:rPr>
        <w:t>IMAGE3DCONVERSION CASE PORTAL</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Start, review and track your guided implant cases in one place.</w:t>
      </w:r>
    </w:p>
    <w:p>
      <w:pPr>
        <w:spacing w:before="0" w:after="80"/>
        <w:keepNext w:val="1"/>
      </w:pPr>
      <w:r>
        <w:rPr>
          <w:rFonts w:ascii="Calibri" w:hAnsi="Calibri" w:eastAsia="Calibri"/>
          <w:b/>
          <w:color w:val="2E74B5"/>
          <w:sz w:val="19"/>
        </w:rPr>
        <w:t>HERO BODY</w:t>
      </w:r>
    </w:p>
    <w:p>
      <w:pPr>
        <w:spacing w:before="0" w:after="100" w:line="300" w:lineRule="auto"/>
        <w:jc w:val="left"/>
        <w:keepLines w:val="1"/>
      </w:pPr>
      <w:r>
        <w:rPr>
          <w:rFonts w:ascii="Calibri" w:hAnsi="Calibri" w:eastAsia="Calibri"/>
          <w:b w:val="0"/>
          <w:i w:val="0"/>
          <w:color w:val="162236"/>
          <w:sz w:val="24"/>
        </w:rPr>
        <w:t>The Image3DConversion Case Portal gives dental practices and authorised workflow partners a structured place to submit case requirements, follow case progress, review planning outputs, request changes, approve the agreed route and access final deliverables.</w:t>
      </w:r>
    </w:p>
    <w:p>
      <w:pPr>
        <w:spacing w:before="0" w:after="80"/>
        <w:keepNext w:val="1"/>
      </w:pPr>
      <w:r>
        <w:rPr>
          <w:rFonts w:ascii="Calibri" w:hAnsi="Calibri" w:eastAsia="Calibri"/>
          <w:b/>
          <w:color w:val="2E74B5"/>
          <w:sz w:val="19"/>
        </w:rPr>
        <w:t>PROFESSIONAL NOTE</w:t>
      </w:r>
    </w:p>
    <w:p>
      <w:pPr>
        <w:spacing w:before="0" w:after="100" w:line="300" w:lineRule="auto"/>
        <w:jc w:val="left"/>
        <w:keepLines w:val="1"/>
      </w:pPr>
      <w:r>
        <w:rPr>
          <w:rFonts w:ascii="Calibri" w:hAnsi="Calibri" w:eastAsia="Calibri"/>
          <w:b w:val="0"/>
          <w:i w:val="0"/>
          <w:color w:val="162236"/>
          <w:sz w:val="24"/>
        </w:rPr>
        <w:t>Clinical diagnosis, treatment indication, patient consent, surgical execution and final approval remain with the treating clinician or responsible professional team.</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Open the Case Portal</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New Practice? Discuss Case Setup</w:t>
      </w:r>
    </w:p>
    <w:p>
      <w:pPr>
        <w:pStyle w:val="Heading2"/>
        <w:keepNext w:val="1"/>
        <w:keepLines w:val="1"/>
      </w:pPr>
      <w:r>
        <w:t>Section 1 — The portal is where the workflow becomes visible</w:t>
      </w:r>
    </w:p>
    <w:p>
      <w:pPr>
        <w:spacing w:before="0" w:after="100" w:line="300" w:lineRule="auto"/>
        <w:jc w:val="left"/>
      </w:pPr>
      <w:r>
        <w:rPr>
          <w:rFonts w:ascii="Calibri" w:hAnsi="Calibri" w:eastAsia="Calibri"/>
          <w:b/>
          <w:i w:val="0"/>
          <w:color w:val="1F4D78"/>
          <w:sz w:val="30"/>
        </w:rPr>
        <w:t>A guided implant case should not disappear after records are sent.</w:t>
      </w:r>
    </w:p>
    <w:p>
      <w:pPr>
        <w:spacing w:before="0" w:after="120" w:line="300" w:lineRule="auto"/>
        <w:jc w:val="left"/>
      </w:pPr>
      <w:r>
        <w:rPr>
          <w:rFonts w:ascii="Calibri" w:hAnsi="Calibri" w:eastAsia="Calibri"/>
          <w:b w:val="0"/>
          <w:i w:val="0"/>
          <w:color w:val="162236"/>
          <w:sz w:val="23"/>
        </w:rPr>
        <w:t>The portal gives each practice a clearer view of where a case stands, what has been submitted, what is being checked, what needs review and what action is required before production or file delivery can move forward.</w:t>
      </w:r>
    </w:p>
    <w:p>
      <w:pPr>
        <w:spacing w:before="0" w:after="120" w:line="300" w:lineRule="auto"/>
        <w:jc w:val="left"/>
      </w:pPr>
      <w:r>
        <w:rPr>
          <w:rFonts w:ascii="Calibri" w:hAnsi="Calibri" w:eastAsia="Calibri"/>
          <w:b w:val="0"/>
          <w:i w:val="0"/>
          <w:color w:val="162236"/>
          <w:sz w:val="23"/>
        </w:rPr>
        <w:t>It supports routine implant workflows, full-arch cases, immediate-loading planning, advanced-case coordination, design-only files and design-to-delivery workflows through one professional case environment.</w:t>
      </w:r>
    </w:p>
    <w:p>
      <w:pPr>
        <w:spacing w:before="0" w:after="60" w:line="300" w:lineRule="auto"/>
        <w:jc w:val="left"/>
        <w:keepNext w:val="1"/>
        <w:keepLines w:val="1"/>
      </w:pPr>
      <w:r>
        <w:rPr>
          <w:rFonts w:ascii="Calibri" w:hAnsi="Calibri" w:eastAsia="Calibri"/>
          <w:b w:val="0"/>
          <w:i/>
          <w:color w:val="5F6B7A"/>
          <w:sz w:val="19"/>
        </w:rPr>
        <w:t>Psychological job: Reduce uncertainty. The visitor should feel that I3DC is organised, accountable and easier to work with than informal file exchange.</w:t>
      </w:r>
    </w:p>
    <w:p>
      <w:pPr>
        <w:spacing w:before="0" w:after="60" w:line="300" w:lineRule="auto"/>
        <w:jc w:val="left"/>
        <w:keepNext w:val="1"/>
        <w:keepLines w:val="1"/>
      </w:pPr>
      <w:r>
        <w:rPr>
          <w:rFonts w:ascii="Calibri" w:hAnsi="Calibri" w:eastAsia="Calibri"/>
          <w:b w:val="0"/>
          <w:i w:val="0"/>
          <w:color w:val="5F6B7A"/>
          <w:sz w:val="19"/>
        </w:rPr>
        <w:t>Visual direction: Blue-white 3D portal dashboard scene: case cards, status steps and a translucent implant/prosthetic planning model floating behind the interface.</w:t>
      </w:r>
    </w:p>
    <w:p>
      <w:pPr>
        <w:spacing w:before="0" w:after="60" w:line="300" w:lineRule="auto"/>
        <w:jc w:val="left"/>
        <w:keepNext w:val="1"/>
        <w:keepLines w:val="1"/>
      </w:pPr>
      <w:r>
        <w:rPr>
          <w:rFonts w:ascii="Calibri" w:hAnsi="Calibri" w:eastAsia="Calibri"/>
          <w:b w:val="0"/>
          <w:i w:val="0"/>
          <w:color w:val="5F6B7A"/>
          <w:sz w:val="19"/>
        </w:rPr>
        <w:t>Mobile: Lead with login/start actions, then show portal benefits as compact cards.</w:t>
      </w:r>
    </w:p>
    <w:p>
      <w:pPr>
        <w:spacing w:before="0" w:after="140" w:line="300" w:lineRule="auto"/>
        <w:jc w:val="left"/>
        <w:keepLines w:val="1"/>
      </w:pPr>
      <w:r>
        <w:rPr>
          <w:rFonts w:ascii="Calibri" w:hAnsi="Calibri" w:eastAsia="Calibri"/>
          <w:b w:val="0"/>
          <w:i w:val="0"/>
          <w:color w:val="5F6B7A"/>
          <w:sz w:val="19"/>
        </w:rPr>
        <w:t>Implementation: Use approved de-identified screenshots only. If screenshots are not cleared, use abstracted UI panels with no patient or case identifiers.</w:t>
      </w:r>
    </w:p>
    <w:p>
      <w:pPr>
        <w:pStyle w:val="Heading2"/>
        <w:keepNext w:val="1"/>
        <w:keepLines w:val="1"/>
      </w:pPr>
      <w:r>
        <w:t>Section 2 — What you can do inside the portal</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50"/>
        <w:gridCol w:w="6350"/>
      </w:tblGrid>
      <w:tr>
        <w:trPr>
          <w:tblHeader w:val="true"/>
          <w:cantSplit/>
        </w:trPr>
        <w:tc>
          <w:tcPr>
            <w:tcW w:type="dxa" w:w="26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Portal action</w:t>
            </w:r>
          </w:p>
        </w:tc>
        <w:tc>
          <w:tcPr>
            <w:tcW w:type="dxa" w:w="63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Visitor-facing meaning</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a Case</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Create a new guided implant, full-arch, advanced, immediate-loading or design workflow request.</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Upload required records</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Submit DICOM, STL, clinical images and instructions only inside the authenticated workspace.</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Track a Case</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See the current case stage and whether any practice action is required.</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Plan</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the proposed plan, notes or design output prepared for professional review.</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Request Changes</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Send structured revision feedback before approval.</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 for Production</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 the required approval before production, delivery or final file release moves ahead.</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View Quotation</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the agreed scope and commercial confirmation where applicable.</w:t>
            </w:r>
          </w:p>
        </w:tc>
      </w:tr>
      <w:tr>
        <w:trPr>
          <w:cantSplit/>
        </w:trPr>
        <w:tc>
          <w:tcPr>
            <w:tcW w:type="dxa" w:w="26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Access Final Files</w:t>
            </w:r>
          </w:p>
        </w:tc>
        <w:tc>
          <w:tcPr>
            <w:tcW w:type="dxa" w:w="63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Download agreed files or view dispatch/completion information after release.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3 — The case journey in plain language</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0"/>
        <w:gridCol w:w="4000"/>
        <w:gridCol w:w="3050"/>
      </w:tblGrid>
      <w:tr>
        <w:trPr>
          <w:tblHeader w:val="true"/>
          <w:cantSplit/>
        </w:trPr>
        <w:tc>
          <w:tcPr>
            <w:tcW w:type="dxa" w:w="19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Stage</w:t>
            </w:r>
          </w:p>
        </w:tc>
        <w:tc>
          <w:tcPr>
            <w:tcW w:type="dxa" w:w="40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it means</w:t>
            </w:r>
          </w:p>
        </w:tc>
        <w:tc>
          <w:tcPr>
            <w:tcW w:type="dxa" w:w="30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the practice does</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Draft</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case has been started but not submitted.</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Complete the details and required records.</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Submitted</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case has entered the queue.</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Wait for validation or questions.</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Data Check</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Files and instructions are being checked.</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Respond if anything is missing or unclear.</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In Planning</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digital plan or design is being prepared.</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No action unless a question appears.</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Plan Ready</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proposed plan is ready for review.</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Review carefully and respond.</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Changes Requested</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Revision feedback is being assessed.</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Wait for the revised plan or clarification.</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Approval Required</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The next step needs recorded approval.</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Approve or request changes.</w:t>
            </w:r>
          </w:p>
        </w:tc>
      </w:tr>
      <w:tr>
        <w:trPr>
          <w:cantSplit/>
        </w:trPr>
        <w:tc>
          <w:tcPr>
            <w:tcW w:type="dxa" w:w="19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In Production / Files Ready</w:t>
            </w:r>
          </w:p>
        </w:tc>
        <w:tc>
          <w:tcPr>
            <w:tcW w:type="dxa" w:w="400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Approved deliverables are being produced, dispatched or released.</w:t>
            </w:r>
          </w:p>
        </w:tc>
        <w:tc>
          <w:tcPr>
            <w:tcW w:type="dxa" w:w="3050"/>
            <w:vAlign w:val="center"/>
            <w:tcMar>
              <w:top w:w="100" w:type="dxa"/>
              <w:start w:w="120" w:type="dxa"/>
              <w:bottom w:w="100" w:type="dxa"/>
              <w:end w:w="120" w:type="dxa"/>
            </w:tcMar>
          </w:tcPr>
          <w:p>
            <w:pPr>
              <w:spacing w:before="0" w:after="0" w:line="276" w:lineRule="auto"/>
            </w:pPr>
            <w:r>
              <w:rPr>
                <w:rFonts w:ascii="Calibri" w:hAnsi="Calibri" w:eastAsia="Calibri"/>
                <w:color w:val="162236"/>
                <w:sz w:val="16"/>
              </w:rPr>
              <w:t>Track delivery or download files.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4 — New practice or returning practice?</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2700"/>
        <w:gridCol w:w="4100"/>
      </w:tblGrid>
      <w:tr>
        <w:trPr>
          <w:tblHeader w:val="true"/>
          <w:cantSplit/>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type</w:t>
            </w:r>
          </w:p>
        </w:tc>
        <w:tc>
          <w:tcPr>
            <w:tcW w:type="dxa" w:w="2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Recommended route</w:t>
            </w:r>
          </w:p>
        </w:tc>
        <w:tc>
          <w:tcPr>
            <w:tcW w:type="dxa" w:w="41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Message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Returning practice</w:t>
            </w:r>
          </w:p>
        </w:tc>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the Case Portal</w:t>
            </w:r>
          </w:p>
        </w:tc>
        <w:tc>
          <w:tcPr>
            <w:tcW w:type="dxa" w:w="4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Continue existing cases, start a new case or review required actions.</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New practice</w:t>
            </w:r>
          </w:p>
        </w:tc>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Case Setup</w:t>
            </w:r>
          </w:p>
        </w:tc>
        <w:tc>
          <w:tcPr>
            <w:tcW w:type="dxa" w:w="4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Share professional details and workflow need before clinical records are exchanged.</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Global practice</w:t>
            </w:r>
          </w:p>
        </w:tc>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 Global Practice Workflows</w:t>
            </w:r>
          </w:p>
        </w:tc>
        <w:tc>
          <w:tcPr>
            <w:tcW w:type="dxa" w:w="4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Clarify region, production route and responsibility boundaries first.</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Partner organisation</w:t>
            </w:r>
          </w:p>
        </w:tc>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Explore Partnership</w:t>
            </w:r>
          </w:p>
        </w:tc>
        <w:tc>
          <w:tcPr>
            <w:tcW w:type="dxa" w:w="4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white-label or behind-the-scenes workflow scope before case intake.</w:t>
            </w:r>
          </w:p>
        </w:tc>
      </w:tr>
      <w:tr>
        <w:trPr>
          <w:cantSplit/>
        </w:trP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Complex-case inquiry</w:t>
            </w:r>
          </w:p>
        </w:tc>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Discuss a Complex Case</w:t>
            </w:r>
          </w:p>
        </w:tc>
        <w:tc>
          <w:tcPr>
            <w:tcW w:type="dxa" w:w="41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non-identifying case context first; submit full records only through the approved route.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Section 5 — What to prepare before starting a case</w:t>
      </w:r>
    </w:p>
    <w:p>
      <w:pPr>
        <w:spacing w:before="0" w:after="120" w:line="300" w:lineRule="auto"/>
        <w:jc w:val="left"/>
      </w:pPr>
      <w:r>
        <w:rPr>
          <w:rFonts w:ascii="Calibri" w:hAnsi="Calibri" w:eastAsia="Calibri"/>
          <w:b w:val="0"/>
          <w:i w:val="0"/>
          <w:color w:val="162236"/>
          <w:sz w:val="23"/>
        </w:rPr>
        <w:t>The portal works best when the practice has the key diagnostic and workflow information ready before submission. Exact requirements may differ by case type.</w:t>
      </w:r>
    </w:p>
    <w:p>
      <w:pPr>
        <w:numPr>
          <w:ilvl w:val="0"/>
          <w:numId w:val="11"/>
        </w:numPr>
        <w:spacing w:before="0" w:after="80" w:line="300" w:lineRule="auto"/>
        <w:keepLines w:val="1"/>
      </w:pPr>
      <w:r>
        <w:rPr>
          <w:rFonts w:ascii="Calibri" w:hAnsi="Calibri" w:eastAsia="Calibri"/>
          <w:color w:val="162236"/>
          <w:sz w:val="22"/>
        </w:rPr>
        <w:t>CBCT / DICOM records</w:t>
      </w:r>
    </w:p>
    <w:p>
      <w:pPr>
        <w:numPr>
          <w:ilvl w:val="0"/>
          <w:numId w:val="11"/>
        </w:numPr>
        <w:spacing w:before="0" w:after="80" w:line="300" w:lineRule="auto"/>
        <w:keepLines w:val="1"/>
      </w:pPr>
      <w:r>
        <w:rPr>
          <w:rFonts w:ascii="Calibri" w:hAnsi="Calibri" w:eastAsia="Calibri"/>
          <w:color w:val="162236"/>
          <w:sz w:val="22"/>
        </w:rPr>
        <w:t>Intraoral scan, model scan or relevant STL files</w:t>
      </w:r>
    </w:p>
    <w:p>
      <w:pPr>
        <w:numPr>
          <w:ilvl w:val="0"/>
          <w:numId w:val="11"/>
        </w:numPr>
        <w:spacing w:before="0" w:after="80" w:line="300" w:lineRule="auto"/>
        <w:keepLines w:val="1"/>
      </w:pPr>
      <w:r>
        <w:rPr>
          <w:rFonts w:ascii="Calibri" w:hAnsi="Calibri" w:eastAsia="Calibri"/>
          <w:color w:val="162236"/>
          <w:sz w:val="22"/>
        </w:rPr>
        <w:t>Clinical photographs and smile reference where relevant</w:t>
      </w:r>
    </w:p>
    <w:p>
      <w:pPr>
        <w:numPr>
          <w:ilvl w:val="0"/>
          <w:numId w:val="11"/>
        </w:numPr>
        <w:spacing w:before="0" w:after="80" w:line="300" w:lineRule="auto"/>
        <w:keepLines w:val="1"/>
      </w:pPr>
      <w:r>
        <w:rPr>
          <w:rFonts w:ascii="Calibri" w:hAnsi="Calibri" w:eastAsia="Calibri"/>
          <w:color w:val="162236"/>
          <w:sz w:val="22"/>
        </w:rPr>
        <w:t>Bite record and prosthetic reference where available</w:t>
      </w:r>
    </w:p>
    <w:p>
      <w:pPr>
        <w:numPr>
          <w:ilvl w:val="0"/>
          <w:numId w:val="11"/>
        </w:numPr>
        <w:spacing w:before="0" w:after="80" w:line="300" w:lineRule="auto"/>
        <w:keepLines w:val="1"/>
      </w:pPr>
      <w:r>
        <w:rPr>
          <w:rFonts w:ascii="Calibri" w:hAnsi="Calibri" w:eastAsia="Calibri"/>
          <w:color w:val="162236"/>
          <w:sz w:val="22"/>
        </w:rPr>
        <w:t>Implant system, planned site information and clinical notes</w:t>
      </w:r>
    </w:p>
    <w:p>
      <w:pPr>
        <w:numPr>
          <w:ilvl w:val="0"/>
          <w:numId w:val="11"/>
        </w:numPr>
        <w:spacing w:before="0" w:after="80" w:line="300" w:lineRule="auto"/>
        <w:keepLines w:val="1"/>
      </w:pPr>
      <w:r>
        <w:rPr>
          <w:rFonts w:ascii="Calibri" w:hAnsi="Calibri" w:eastAsia="Calibri"/>
          <w:color w:val="162236"/>
          <w:sz w:val="22"/>
        </w:rPr>
        <w:t>Workflow choice: design-only, design-to-delivery, full-arch, immediate-loading or advanced planning</w:t>
      </w:r>
    </w:p>
    <w:p>
      <w:pPr>
        <w:numPr>
          <w:ilvl w:val="0"/>
          <w:numId w:val="11"/>
        </w:numPr>
        <w:spacing w:before="0" w:after="80" w:line="300" w:lineRule="auto"/>
        <w:keepLines w:val="1"/>
      </w:pPr>
      <w:r>
        <w:rPr>
          <w:rFonts w:ascii="Calibri" w:hAnsi="Calibri" w:eastAsia="Calibri"/>
          <w:color w:val="162236"/>
          <w:sz w:val="22"/>
        </w:rPr>
        <w:t>Any known limitation, time requirement or review preference</w:t>
      </w:r>
    </w:p>
    <w:p>
      <w:pPr>
        <w:pStyle w:val="Heading2"/>
        <w:keepNext w:val="1"/>
        <w:keepLines w:val="1"/>
      </w:pPr>
      <w:r>
        <w:t>Section 6 — Privacy-aware public guidance</w:t>
      </w:r>
    </w:p>
    <w:p>
      <w:pPr>
        <w:spacing w:before="0" w:after="120" w:line="300" w:lineRule="auto"/>
        <w:jc w:val="left"/>
      </w:pPr>
      <w:r>
        <w:rPr>
          <w:rFonts w:ascii="Calibri" w:hAnsi="Calibri" w:eastAsia="Calibri"/>
          <w:b w:val="0"/>
          <w:i w:val="0"/>
          <w:color w:val="162236"/>
          <w:sz w:val="23"/>
        </w:rPr>
        <w:t>Do not place patient-identifying information, DICOM files, STL files, clinical photographs or full prescriptions in a public inquiry form. Public forms should collect professional identity and a short non-identifying workflow summary only.</w:t>
      </w:r>
    </w:p>
    <w:p>
      <w:pPr>
        <w:spacing w:before="0" w:after="120" w:line="300" w:lineRule="auto"/>
        <w:jc w:val="left"/>
      </w:pPr>
      <w:r>
        <w:rPr>
          <w:rFonts w:ascii="Calibri" w:hAnsi="Calibri" w:eastAsia="Calibri"/>
          <w:b w:val="0"/>
          <w:i w:val="0"/>
          <w:color w:val="162236"/>
          <w:sz w:val="23"/>
        </w:rPr>
        <w:t>Once the correct route is confirmed, clinical records are submitted through the authenticated Case Portal or another authorised professional intake route approved by Image3DConversion.</w:t>
      </w:r>
    </w:p>
    <w:p>
      <w:pPr>
        <w:pStyle w:val="Heading2"/>
        <w:keepNext w:val="1"/>
        <w:keepLines w:val="1"/>
      </w:pPr>
      <w:r>
        <w:t>Section 7 — CTA block</w:t>
      </w:r>
    </w:p>
    <w:p>
      <w:pPr>
        <w:spacing w:before="0" w:after="80"/>
        <w:keepNext w:val="1"/>
      </w:pPr>
      <w:r>
        <w:rPr>
          <w:rFonts w:ascii="Calibri" w:hAnsi="Calibri" w:eastAsia="Calibri"/>
          <w:b/>
          <w:color w:val="2E74B5"/>
          <w:sz w:val="19"/>
        </w:rPr>
        <w:t>CTA HEADLINE</w:t>
      </w:r>
    </w:p>
    <w:p>
      <w:pPr>
        <w:spacing w:before="0" w:after="100" w:line="300" w:lineRule="auto"/>
        <w:jc w:val="left"/>
        <w:keepLines w:val="1"/>
      </w:pPr>
      <w:r>
        <w:rPr>
          <w:rFonts w:ascii="Calibri" w:hAnsi="Calibri" w:eastAsia="Calibri"/>
          <w:b w:val="0"/>
          <w:i w:val="0"/>
          <w:color w:val="162236"/>
          <w:sz w:val="24"/>
        </w:rPr>
        <w:t>Ready to move a case into a structured workflow?</w:t>
      </w:r>
    </w:p>
    <w:p>
      <w:pPr>
        <w:spacing w:before="0" w:after="80"/>
        <w:keepNext w:val="1"/>
      </w:pPr>
      <w:r>
        <w:rPr>
          <w:rFonts w:ascii="Calibri" w:hAnsi="Calibri" w:eastAsia="Calibri"/>
          <w:b/>
          <w:color w:val="2E74B5"/>
          <w:sz w:val="19"/>
        </w:rPr>
        <w:t>CTA COPY</w:t>
      </w:r>
    </w:p>
    <w:p>
      <w:pPr>
        <w:spacing w:before="0" w:after="100" w:line="300" w:lineRule="auto"/>
        <w:jc w:val="left"/>
        <w:keepLines w:val="1"/>
      </w:pPr>
      <w:r>
        <w:rPr>
          <w:rFonts w:ascii="Calibri" w:hAnsi="Calibri" w:eastAsia="Calibri"/>
          <w:b w:val="0"/>
          <w:i w:val="0"/>
          <w:color w:val="162236"/>
          <w:sz w:val="24"/>
        </w:rPr>
        <w:t>Returning practices can open the portal directly. New practices can first discuss setup, case type and workflow fit before clinical records are submitted.</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Open the Case Portal</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New Practice? Discuss Case Setup</w:t>
      </w:r>
    </w:p>
    <w:p>
      <w:pPr>
        <w:pStyle w:val="Heading1"/>
        <w:keepNext w:val="1"/>
        <w:keepLines w:val="1"/>
      </w:pPr>
      <w:r>
        <w:t>3. Design psychology and 3D visual direction</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0"/>
        <w:gridCol w:w="6400"/>
      </w:tblGrid>
      <w:tr>
        <w:trPr>
          <w:tblHeader w:val="true"/>
          <w:cantSplit/>
        </w:trPr>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Layer</w:t>
            </w:r>
          </w:p>
        </w:tc>
        <w:tc>
          <w:tcPr>
            <w:tcW w:type="dxa" w:w="6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Direction</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Emotional entry</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The dentist wants confidence that the case will be visible, organised and reviewable after submission.</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Visual story</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 clean portal interface sits in front of a 3D implant plan, prosthetic arch and guided workflow status path.</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Interaction</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CTA pair at top; action cards; status strip; route cards for new, returning, global and partner users.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Avoid</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Login-only dead page, generic SaaS dashboard, dark tech mood, file-transfer widgets on the public page, fake patient records or invented portal screenshots.</w:t>
            </w:r>
          </w:p>
        </w:tc>
      </w:tr>
      <w:tr>
        <w:trPr>
          <w:cantSplit/>
        </w:trP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CTA feel</w:t>
            </w:r>
          </w:p>
        </w:tc>
        <w:tc>
          <w:tcPr>
            <w:tcW w:type="dxa" w:w="6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Direct operational route, not a marketing brochure page.</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4. Mobile behaviour</w:t>
      </w:r>
    </w:p>
    <w:p>
      <w:pPr>
        <w:numPr>
          <w:ilvl w:val="0"/>
          <w:numId w:val="12"/>
        </w:numPr>
        <w:spacing w:before="0" w:after="80" w:line="300" w:lineRule="auto"/>
        <w:keepLines w:val="1"/>
      </w:pPr>
      <w:r>
        <w:rPr>
          <w:rFonts w:ascii="Calibri" w:hAnsi="Calibri" w:eastAsia="Calibri"/>
          <w:color w:val="162236"/>
          <w:sz w:val="22"/>
        </w:rPr>
        <w:t>Primary portal CTA must appear in the first viewport with the secondary new-practice route below it.</w:t>
      </w:r>
    </w:p>
    <w:p>
      <w:pPr>
        <w:numPr>
          <w:ilvl w:val="0"/>
          <w:numId w:val="12"/>
        </w:numPr>
        <w:spacing w:before="0" w:after="80" w:line="300" w:lineRule="auto"/>
        <w:keepLines w:val="1"/>
      </w:pPr>
      <w:r>
        <w:rPr>
          <w:rFonts w:ascii="Calibri" w:hAnsi="Calibri" w:eastAsia="Calibri"/>
          <w:color w:val="162236"/>
          <w:sz w:val="22"/>
        </w:rPr>
        <w:t>Portal actions should stack as simple cards with short labels and one-line descriptions.</w:t>
      </w:r>
    </w:p>
    <w:p>
      <w:pPr>
        <w:numPr>
          <w:ilvl w:val="0"/>
          <w:numId w:val="12"/>
        </w:numPr>
        <w:spacing w:before="0" w:after="80" w:line="300" w:lineRule="auto"/>
        <w:keepLines w:val="1"/>
      </w:pPr>
      <w:r>
        <w:rPr>
          <w:rFonts w:ascii="Calibri" w:hAnsi="Calibri" w:eastAsia="Calibri"/>
          <w:color w:val="162236"/>
          <w:sz w:val="22"/>
        </w:rPr>
        <w:t>Case journey statuses should become a vertical timeline rather than a wide table.</w:t>
      </w:r>
    </w:p>
    <w:p>
      <w:pPr>
        <w:numPr>
          <w:ilvl w:val="0"/>
          <w:numId w:val="12"/>
        </w:numPr>
        <w:spacing w:before="0" w:after="80" w:line="300" w:lineRule="auto"/>
        <w:keepLines w:val="1"/>
      </w:pPr>
      <w:r>
        <w:rPr>
          <w:rFonts w:ascii="Calibri" w:hAnsi="Calibri" w:eastAsia="Calibri"/>
          <w:color w:val="162236"/>
          <w:sz w:val="22"/>
        </w:rPr>
        <w:t>Global and partnership routes should appear after core portal actions, not before them.</w:t>
      </w:r>
    </w:p>
    <w:p>
      <w:pPr>
        <w:numPr>
          <w:ilvl w:val="0"/>
          <w:numId w:val="12"/>
        </w:numPr>
        <w:spacing w:before="0" w:after="80" w:line="300" w:lineRule="auto"/>
        <w:keepLines w:val="1"/>
      </w:pPr>
      <w:r>
        <w:rPr>
          <w:rFonts w:ascii="Calibri" w:hAnsi="Calibri" w:eastAsia="Calibri"/>
          <w:color w:val="162236"/>
          <w:sz w:val="22"/>
        </w:rPr>
        <w:t>Do not place any clinical-record upload control on the public page.</w:t>
      </w:r>
    </w:p>
    <w:p>
      <w:pPr>
        <w:pStyle w:val="Heading1"/>
        <w:keepNext w:val="1"/>
        <w:keepLines w:val="1"/>
      </w:pPr>
      <w:r>
        <w:t>5. Publication controls</w:t>
      </w:r>
    </w:p>
    <w:tbl>
      <w:tblPr>
        <w:tblW w:type="dxa" w:w="900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00"/>
        <w:gridCol w:w="6500"/>
      </w:tblGrid>
      <w:tr>
        <w:trPr>
          <w:tblHeader w:val="true"/>
          <w:cantSplit/>
        </w:trPr>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w:t>
            </w:r>
          </w:p>
        </w:tc>
        <w:tc>
          <w:tcPr>
            <w:tcW w:type="dxa" w:w="6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Brand</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Blue + White only. Status colours may appear only as functional portal-status indicators.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scope</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Public page is a gateway and explanation page. Authenticated portal architecture remains unchanged.</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Clinical records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Public page may collect professional inquiry data only. Clinical records belong in the authorised case route.</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Claims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Do not make compliance, privacy, speed, delivery, accuracy, safety or production-capacity claims without formal approval.</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Screenshots</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only approved de-identified portal screenshots or abstract UI panels with no real case identifiers.</w:t>
            </w:r>
          </w:p>
        </w:tc>
      </w:tr>
      <w:tr>
        <w:trPr>
          <w:cantSplit/>
        </w:trPr>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Indexing</w:t>
            </w:r>
          </w:p>
        </w:tc>
        <w:tc>
          <w:tcPr>
            <w:tcW w:type="dxa" w:w="6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Public gateway may be indexed. Authenticated account, upload, plan, quotation, payment and file screens remain outside public indexing.</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6. Evidence and source controls</w:t>
      </w:r>
    </w:p>
    <w:p>
      <w:pPr>
        <w:spacing w:before="0" w:after="120" w:line="300" w:lineRule="auto"/>
        <w:jc w:val="left"/>
      </w:pPr>
      <w:r>
        <w:rPr>
          <w:rFonts w:ascii="Calibri" w:hAnsi="Calibri" w:eastAsia="Calibri"/>
          <w:b w:val="0"/>
          <w:i w:val="0"/>
          <w:color w:val="162236"/>
          <w:sz w:val="22"/>
        </w:rPr>
        <w:t>This page is operational and branded, so sources should be used lightly. Evidence should support responsible guided-workflow boundaries and SEO/public-indexing controls rather than overload the visitor.</w:t>
      </w:r>
    </w:p>
    <w:p>
      <w:pPr>
        <w:numPr>
          <w:ilvl w:val="0"/>
          <w:numId w:val="13"/>
        </w:numPr>
        <w:spacing w:after="80" w:line="300" w:lineRule="auto"/>
      </w:pPr>
      <w:hyperlink r:id="rId11">
        <w:r>
          <w:rPr>
            <w:rFonts w:ascii="Calibri" w:hAnsi="Calibri"/>
            <w:color w:val="2E74B5"/>
            <w:u w:val="single"/>
          </w:rPr>
          <w:t>ITI consensus: computer-guided implant surgery supports clinical planning and execution, but does not replace professional judgement</w:t>
        </w:r>
      </w:hyperlink>
    </w:p>
    <w:p>
      <w:pPr>
        <w:numPr>
          <w:ilvl w:val="0"/>
          <w:numId w:val="14"/>
        </w:numPr>
        <w:spacing w:after="80" w:line="300" w:lineRule="auto"/>
      </w:pPr>
      <w:hyperlink r:id="rId12">
        <w:r>
          <w:rPr>
            <w:rFonts w:ascii="Calibri" w:hAnsi="Calibri"/>
            <w:color w:val="2E74B5"/>
            <w:u w:val="single"/>
          </w:rPr>
          <w:t>Google Search Central: people-first content</w:t>
        </w:r>
      </w:hyperlink>
    </w:p>
    <w:p>
      <w:pPr>
        <w:numPr>
          <w:ilvl w:val="0"/>
          <w:numId w:val="15"/>
        </w:numPr>
        <w:spacing w:after="80" w:line="300" w:lineRule="auto"/>
      </w:pPr>
      <w:hyperlink r:id="rId13">
        <w:r>
          <w:rPr>
            <w:rFonts w:ascii="Calibri" w:hAnsi="Calibri"/>
            <w:color w:val="2E74B5"/>
            <w:u w:val="single"/>
          </w:rPr>
          <w:t>Google Search Central: robots meta tag and X-Robots-Tag specifications</w:t>
        </w:r>
      </w:hyperlink>
    </w:p>
    <w:p>
      <w:pPr>
        <w:pStyle w:val="Heading1"/>
        <w:keepNext w:val="1"/>
        <w:keepLines w:val="1"/>
      </w:pPr>
      <w:r>
        <w:t>7. Developer handoff notes</w:t>
      </w:r>
    </w:p>
    <w:p>
      <w:pPr>
        <w:numPr>
          <w:ilvl w:val="0"/>
          <w:numId w:val="16"/>
        </w:numPr>
        <w:spacing w:before="0" w:after="80" w:line="300" w:lineRule="auto"/>
        <w:keepLines w:val="1"/>
      </w:pPr>
      <w:r>
        <w:rPr>
          <w:rFonts w:ascii="Calibri" w:hAnsi="Calibri" w:eastAsia="Calibri"/>
          <w:color w:val="162236"/>
          <w:sz w:val="22"/>
        </w:rPr>
        <w:t>Create route `/case-portal/` as the public gateway page after Homepage + Global Shell patterns are in place.</w:t>
      </w:r>
    </w:p>
    <w:p>
      <w:pPr>
        <w:numPr>
          <w:ilvl w:val="0"/>
          <w:numId w:val="16"/>
        </w:numPr>
        <w:spacing w:before="0" w:after="80" w:line="300" w:lineRule="auto"/>
        <w:keepLines w:val="1"/>
      </w:pPr>
      <w:r>
        <w:rPr>
          <w:rFonts w:ascii="Calibri" w:hAnsi="Calibri" w:eastAsia="Calibri"/>
          <w:color w:val="162236"/>
          <w:sz w:val="22"/>
        </w:rPr>
        <w:t>Resolve the real portal login and registration/start-case URLs from the existing system; do not invent them.</w:t>
      </w:r>
    </w:p>
    <w:p>
      <w:pPr>
        <w:numPr>
          <w:ilvl w:val="0"/>
          <w:numId w:val="16"/>
        </w:numPr>
        <w:spacing w:before="0" w:after="80" w:line="300" w:lineRule="auto"/>
        <w:keepLines w:val="1"/>
      </w:pPr>
      <w:r>
        <w:rPr>
          <w:rFonts w:ascii="Calibri" w:hAnsi="Calibri" w:eastAsia="Calibri"/>
          <w:color w:val="162236"/>
          <w:sz w:val="22"/>
        </w:rPr>
        <w:t>Use shared header, footer, CTA, card, source-link and status/timeline components from Blueprint 01.</w:t>
      </w:r>
    </w:p>
    <w:p>
      <w:pPr>
        <w:numPr>
          <w:ilvl w:val="0"/>
          <w:numId w:val="16"/>
        </w:numPr>
        <w:spacing w:before="0" w:after="80" w:line="300" w:lineRule="auto"/>
        <w:keepLines w:val="1"/>
      </w:pPr>
      <w:r>
        <w:rPr>
          <w:rFonts w:ascii="Calibri" w:hAnsi="Calibri" w:eastAsia="Calibri"/>
          <w:color w:val="162236"/>
          <w:sz w:val="22"/>
        </w:rPr>
        <w:t>Keep all authenticated portal screens out of public sitemaps and public page content.</w:t>
      </w:r>
    </w:p>
    <w:p>
      <w:pPr>
        <w:numPr>
          <w:ilvl w:val="0"/>
          <w:numId w:val="16"/>
        </w:numPr>
        <w:spacing w:before="0" w:after="80" w:line="300" w:lineRule="auto"/>
        <w:keepLines w:val="1"/>
      </w:pPr>
      <w:r>
        <w:rPr>
          <w:rFonts w:ascii="Calibri" w:hAnsi="Calibri" w:eastAsia="Calibri"/>
          <w:color w:val="162236"/>
          <w:sz w:val="22"/>
        </w:rPr>
        <w:t>Do not alter portal authentication, roles, tenant isolation, clinical-operations access, finance separation, case statuses or workflow logic through this page build.</w:t>
      </w:r>
    </w:p>
    <w:p>
      <w:pPr>
        <w:numPr>
          <w:ilvl w:val="0"/>
          <w:numId w:val="16"/>
        </w:numPr>
        <w:spacing w:before="0" w:after="80" w:line="300" w:lineRule="auto"/>
        <w:keepLines w:val="1"/>
      </w:pPr>
      <w:r>
        <w:rPr>
          <w:rFonts w:ascii="Calibri" w:hAnsi="Calibri" w:eastAsia="Calibri"/>
          <w:color w:val="162236"/>
          <w:sz w:val="22"/>
        </w:rPr>
        <w:t>Before publication, Founder and operations must verify portal action labels against the real portal UI.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CASE PORTAL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y.iti.org/academy/consensus-database/consensus-statement/-/consensus/computer-guided-implant-surgery/1213" TargetMode="External"/><Relationship Id="rId12" Type="http://schemas.openxmlformats.org/officeDocument/2006/relationships/hyperlink" Target="https://developers.google.com/search/docs/fundamentals/creating-helpful-content" TargetMode="External"/><Relationship Id="rId13" Type="http://schemas.openxmlformats.org/officeDocument/2006/relationships/hyperlink" Target="https://developers.google.com/search/docs/crawling-indexing/robots-meta-t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