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80" w:line="300" w:lineRule="auto"/>
        <w:jc w:val="left"/>
      </w:pPr>
      <w:r>
        <w:rPr>
          <w:rFonts w:ascii="Calibri" w:hAnsi="Calibri" w:eastAsia="Calibri"/>
          <w:b/>
          <w:i w:val="0"/>
          <w:color w:val="2E74B5"/>
          <w:sz w:val="19"/>
        </w:rPr>
        <w:t>CONTENT + EXPERIENCE SPECIFICATION</w:t>
      </w:r>
    </w:p>
    <w:p>
      <w:pPr>
        <w:spacing w:after="120"/>
      </w:pPr>
      <w:r>
        <w:rPr>
          <w:rFonts w:ascii="Calibri" w:hAnsi="Calibri" w:eastAsia="Calibri"/>
          <w:b/>
          <w:color w:val="162236"/>
          <w:sz w:val="56"/>
        </w:rPr>
        <w:t>Image3DConversion</w:t>
        <w:br/>
      </w:r>
      <w:r>
        <w:rPr>
          <w:rFonts w:ascii="Calibri" w:hAnsi="Calibri" w:eastAsia="Calibri"/>
          <w:b/>
          <w:color w:val="2E74B5"/>
          <w:sz w:val="50"/>
        </w:rPr>
        <w:t>Contact / Discuss a Case</w:t>
      </w:r>
    </w:p>
    <w:p>
      <w:pPr>
        <w:spacing w:before="0" w:after="320" w:line="300" w:lineRule="auto"/>
        <w:jc w:val="left"/>
      </w:pPr>
      <w:r>
        <w:rPr>
          <w:rFonts w:ascii="Calibri" w:hAnsi="Calibri" w:eastAsia="Calibri"/>
          <w:b w:val="0"/>
          <w:i w:val="0"/>
          <w:color w:val="5F6B7A"/>
          <w:sz w:val="26"/>
        </w:rPr>
        <w:t>Final public inquiry copy, SEO hierarchy, form psychology, route selection, visual direction, mobile behaviour, Case Portal boundary and publication controls.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Version: </w:t>
      </w:r>
      <w:r>
        <w:rPr>
          <w:rFonts w:ascii="Calibri" w:hAnsi="Calibri" w:eastAsia="Calibri"/>
          <w:color w:val="162236"/>
          <w:sz w:val="21"/>
        </w:rPr>
        <w:t>1.0 · 28 July 2026</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Status: </w:t>
      </w:r>
      <w:r>
        <w:rPr>
          <w:rFonts w:ascii="Calibri" w:hAnsi="Calibri" w:eastAsia="Calibri"/>
          <w:color w:val="162236"/>
          <w:sz w:val="21"/>
        </w:rPr>
        <w:t>Prepared for Founder approval and design/development handoff</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Public URL: </w:t>
      </w:r>
      <w:r>
        <w:rPr>
          <w:rFonts w:ascii="Calibri" w:hAnsi="Calibri" w:eastAsia="Calibri"/>
          <w:color w:val="162236"/>
          <w:sz w:val="21"/>
        </w:rPr>
        <w:t>https://www.image3dconversion.com/discuss-a-case/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action: </w:t>
      </w:r>
      <w:r>
        <w:rPr>
          <w:rFonts w:ascii="Calibri" w:hAnsi="Calibri" w:eastAsia="Calibri"/>
          <w:color w:val="162236"/>
          <w:sz w:val="21"/>
        </w:rPr>
        <w:t>Discuss a Case</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PAGE DECISION  </w:t>
      </w:r>
      <w:r>
        <w:rPr>
          <w:rFonts w:ascii="Calibri" w:hAnsi="Calibri" w:eastAsia="Calibri"/>
          <w:b w:val="0"/>
          <w:color w:val="162236"/>
          <w:sz w:val="22"/>
        </w:rPr>
        <w:t>This page is the public professional enquiry route. It should help dentists and partners choose the right conversation before records are exchanged. It must not become a clinical upload form, a diagnosis route or a replacement for the authenticated Image3DConversion Case Portal.</w:t>
      </w:r>
    </w:p>
    <w:p>
      <w:pPr>
        <w:pStyle w:val="Heading2"/>
        <w:keepNext w:val="1"/>
        <w:keepLines w:val="1"/>
      </w:pPr>
      <w:r>
        <w:t>The job of this page</w:t>
      </w:r>
    </w:p>
    <w:p>
      <w:pPr>
        <w:numPr>
          <w:ilvl w:val="0"/>
          <w:numId w:val="10"/>
        </w:numPr>
        <w:spacing w:before="0" w:after="80" w:line="300" w:lineRule="auto"/>
        <w:keepLines w:val="1"/>
      </w:pPr>
      <w:r>
        <w:rPr>
          <w:rFonts w:ascii="Calibri" w:hAnsi="Calibri" w:eastAsia="Calibri"/>
          <w:color w:val="162236"/>
          <w:sz w:val="22"/>
        </w:rPr>
        <w:t>Convert interested dentists, global practices and partners into a clear first conversation.</w:t>
      </w:r>
    </w:p>
    <w:p>
      <w:pPr>
        <w:numPr>
          <w:ilvl w:val="0"/>
          <w:numId w:val="10"/>
        </w:numPr>
        <w:spacing w:before="0" w:after="80" w:line="300" w:lineRule="auto"/>
        <w:keepLines w:val="1"/>
      </w:pPr>
      <w:r>
        <w:rPr>
          <w:rFonts w:ascii="Calibri" w:hAnsi="Calibri" w:eastAsia="Calibri"/>
          <w:color w:val="162236"/>
          <w:sz w:val="22"/>
        </w:rPr>
        <w:t>Let visitors identify whether they need guided planning, full-arch, immediate-loading, advanced workflow, design-only, design-to-delivery, global practice support or partnership discussion.</w:t>
      </w:r>
    </w:p>
    <w:p>
      <w:pPr>
        <w:numPr>
          <w:ilvl w:val="0"/>
          <w:numId w:val="10"/>
        </w:numPr>
        <w:spacing w:before="0" w:after="80" w:line="300" w:lineRule="auto"/>
        <w:keepLines w:val="1"/>
      </w:pPr>
      <w:r>
        <w:rPr>
          <w:rFonts w:ascii="Calibri" w:hAnsi="Calibri" w:eastAsia="Calibri"/>
          <w:color w:val="162236"/>
          <w:sz w:val="22"/>
        </w:rPr>
        <w:t>Collect professional context, practice details and a non-identifying workflow summary only.</w:t>
      </w:r>
    </w:p>
    <w:p>
      <w:pPr>
        <w:numPr>
          <w:ilvl w:val="0"/>
          <w:numId w:val="10"/>
        </w:numPr>
        <w:spacing w:before="0" w:after="80" w:line="300" w:lineRule="auto"/>
        <w:keepLines w:val="1"/>
      </w:pPr>
      <w:r>
        <w:rPr>
          <w:rFonts w:ascii="Calibri" w:hAnsi="Calibri" w:eastAsia="Calibri"/>
          <w:color w:val="162236"/>
          <w:sz w:val="22"/>
        </w:rPr>
        <w:t>Route returning users and ready cases into the Case Portal instead of duplicating case-start functions publicly.</w:t>
      </w:r>
    </w:p>
    <w:p>
      <w:pPr>
        <w:numPr>
          <w:ilvl w:val="0"/>
          <w:numId w:val="10"/>
        </w:numPr>
        <w:spacing w:before="0" w:after="80" w:line="300" w:lineRule="auto"/>
        <w:keepLines w:val="1"/>
      </w:pPr>
      <w:r>
        <w:rPr>
          <w:rFonts w:ascii="Calibri" w:hAnsi="Calibri" w:eastAsia="Calibri"/>
          <w:color w:val="162236"/>
          <w:sz w:val="22"/>
        </w:rPr>
        <w:t>Reduce anxiety by explaining what to prepare next without asking for patient records on the public page.</w:t>
      </w:r>
    </w:p>
    <w:p>
      <w:pPr>
        <w:numPr>
          <w:ilvl w:val="0"/>
          <w:numId w:val="10"/>
        </w:numPr>
        <w:spacing w:before="0" w:after="80" w:line="300" w:lineRule="auto"/>
        <w:keepLines w:val="1"/>
      </w:pPr>
      <w:r>
        <w:rPr>
          <w:rFonts w:ascii="Calibri" w:hAnsi="Calibri" w:eastAsia="Calibri"/>
          <w:color w:val="162236"/>
          <w:sz w:val="22"/>
        </w:rPr>
        <w:t>Avoid unsupported speed, security, clinical-outcome, availability or delivery promises.</w:t>
      </w:r>
    </w:p>
    <w:p>
      <w:r>
        <w:br w:type="page"/>
      </w:r>
    </w:p>
    <w:p>
      <w:pPr>
        <w:pStyle w:val="Heading1"/>
        <w:keepNext w:val="1"/>
        <w:keepLines w:val="1"/>
      </w:pPr>
      <w:r>
        <w:t>1. SEO and page identity</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500"/>
        <w:gridCol w:w="6500"/>
      </w:tblGrid>
      <w:tr>
        <w:trPr>
          <w:tblHeader w:val="true"/>
          <w:cantSplit/>
        </w:trPr>
        <w:tc>
          <w:tcPr>
            <w:tcW w:type="dxa" w:w="2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Field</w:t>
            </w:r>
          </w:p>
        </w:tc>
        <w:tc>
          <w:tcPr>
            <w:tcW w:type="dxa" w:w="6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Approved value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Route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/discuss-a-case/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Indexing</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index, follow</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SEO title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Discuss a Guided Implant Case | Image3DConversion</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Meta description</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Contact Image3DConversion to discuss guided implant planning, full-arch workflows, design-only support, design-to-delivery routes or global workflow partnership.</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H1</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Discuss the right workflow before you start the case.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keyword</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discuss guided implant case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Supporting keywords</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dental implant planning inquiry; surgical guide design contact; full arch planning support; design only dental workflow; Image3DConversion contact</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CTA</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Discuss a Case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Secondary CTA</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Open the Case Portal</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SEO PRINCIPLE  </w:t>
      </w:r>
      <w:r>
        <w:rPr>
          <w:rFonts w:ascii="Calibri" w:hAnsi="Calibri" w:eastAsia="Calibri"/>
          <w:b w:val="0"/>
          <w:color w:val="162236"/>
          <w:sz w:val="22"/>
        </w:rPr>
        <w:t>The page should rank for branded contact and professional case-discussion intent. It should be direct, practical and crawlable, while keeping clinical-file submission outside the public route.</w:t>
      </w:r>
    </w:p>
    <w:p>
      <w:pPr>
        <w:pStyle w:val="Heading1"/>
        <w:pageBreakBefore w:val="1"/>
        <w:keepNext w:val="1"/>
        <w:keepLines w:val="1"/>
      </w:pPr>
      <w:r>
        <w:t>2. Final page copy</w:t>
      </w:r>
    </w:p>
    <w:p>
      <w:pPr>
        <w:spacing w:before="0" w:after="80"/>
        <w:keepNext w:val="1"/>
      </w:pPr>
      <w:r>
        <w:rPr>
          <w:rFonts w:ascii="Calibri" w:hAnsi="Calibri" w:eastAsia="Calibri"/>
          <w:b/>
          <w:color w:val="2E74B5"/>
          <w:sz w:val="19"/>
        </w:rPr>
        <w:t>HERO EYEBROW</w:t>
      </w:r>
    </w:p>
    <w:p>
      <w:pPr>
        <w:spacing w:before="0" w:after="100" w:line="300" w:lineRule="auto"/>
        <w:jc w:val="left"/>
        <w:keepLines w:val="1"/>
      </w:pPr>
      <w:r>
        <w:rPr>
          <w:rFonts w:ascii="Calibri" w:hAnsi="Calibri" w:eastAsia="Calibri"/>
          <w:b w:val="0"/>
          <w:i w:val="0"/>
          <w:color w:val="162236"/>
          <w:sz w:val="24"/>
        </w:rPr>
        <w:t>CONTACT IMAGE3DCONVERSION</w:t>
      </w:r>
    </w:p>
    <w:p>
      <w:pPr>
        <w:spacing w:before="0" w:after="80"/>
        <w:keepNext w:val="1"/>
      </w:pPr>
      <w:r>
        <w:rPr>
          <w:rFonts w:ascii="Calibri" w:hAnsi="Calibri" w:eastAsia="Calibri"/>
          <w:b/>
          <w:color w:val="2E74B5"/>
          <w:sz w:val="19"/>
        </w:rPr>
        <w:t>H1</w:t>
      </w:r>
    </w:p>
    <w:p>
      <w:pPr>
        <w:spacing w:before="0" w:after="100" w:line="300" w:lineRule="auto"/>
        <w:jc w:val="left"/>
        <w:keepLines w:val="1"/>
      </w:pPr>
      <w:r>
        <w:rPr>
          <w:rFonts w:ascii="Calibri" w:hAnsi="Calibri" w:eastAsia="Calibri"/>
          <w:b w:val="0"/>
          <w:i w:val="0"/>
          <w:color w:val="162236"/>
          <w:sz w:val="24"/>
        </w:rPr>
        <w:t>Discuss the right workflow before you start the case.</w:t>
      </w:r>
    </w:p>
    <w:p>
      <w:pPr>
        <w:spacing w:before="0" w:after="80"/>
        <w:keepNext w:val="1"/>
      </w:pPr>
      <w:r>
        <w:rPr>
          <w:rFonts w:ascii="Calibri" w:hAnsi="Calibri" w:eastAsia="Calibri"/>
          <w:b/>
          <w:color w:val="2E74B5"/>
          <w:sz w:val="19"/>
        </w:rPr>
        <w:t>HERO BODY</w:t>
      </w:r>
    </w:p>
    <w:p>
      <w:pPr>
        <w:spacing w:before="0" w:after="100" w:line="300" w:lineRule="auto"/>
        <w:jc w:val="left"/>
        <w:keepLines w:val="1"/>
      </w:pPr>
      <w:r>
        <w:rPr>
          <w:rFonts w:ascii="Calibri" w:hAnsi="Calibri" w:eastAsia="Calibri"/>
          <w:b w:val="0"/>
          <w:i w:val="0"/>
          <w:color w:val="162236"/>
          <w:sz w:val="24"/>
        </w:rPr>
        <w:t>Tell us what you are planning and which workflow you need help with. Image3DConversion can guide the next step for guided implant planning, full-arch workflows, immediate-loading coordination, design-only files, design-to-delivery routes, global practice collaboration or partnership discussion.</w:t>
      </w:r>
    </w:p>
    <w:p>
      <w:pPr>
        <w:spacing w:before="0" w:after="80"/>
        <w:keepNext w:val="1"/>
      </w:pPr>
      <w:r>
        <w:rPr>
          <w:rFonts w:ascii="Calibri" w:hAnsi="Calibri" w:eastAsia="Calibri"/>
          <w:b/>
          <w:color w:val="2E74B5"/>
          <w:sz w:val="19"/>
        </w:rPr>
        <w:t>PROFESSIONAL NOTE</w:t>
      </w:r>
    </w:p>
    <w:p>
      <w:pPr>
        <w:spacing w:before="0" w:after="100" w:line="300" w:lineRule="auto"/>
        <w:jc w:val="left"/>
        <w:keepLines w:val="1"/>
      </w:pPr>
      <w:r>
        <w:rPr>
          <w:rFonts w:ascii="Calibri" w:hAnsi="Calibri" w:eastAsia="Calibri"/>
          <w:b w:val="0"/>
          <w:i w:val="0"/>
          <w:color w:val="162236"/>
          <w:sz w:val="24"/>
        </w:rPr>
        <w:t>Please do not place patient-identifying information, DICOM files, STL files, clinical photographs or full prescriptions in this public form. Clinical records should be submitted only through the authenticated Case Portal or another approved professional intake route after the correct pathway is confirmed.</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Discuss a Case</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Open the Case Portal</w:t>
      </w:r>
    </w:p>
    <w:p>
      <w:pPr>
        <w:pStyle w:val="Heading2"/>
        <w:keepNext w:val="1"/>
        <w:keepLines w:val="1"/>
      </w:pPr>
      <w:r>
        <w:t>Section 1 — Choose the conversation you need</w:t>
      </w:r>
    </w:p>
    <w:p>
      <w:pPr>
        <w:spacing w:before="0" w:after="100" w:line="300" w:lineRule="auto"/>
        <w:jc w:val="left"/>
      </w:pPr>
      <w:r>
        <w:rPr>
          <w:rFonts w:ascii="Calibri" w:hAnsi="Calibri" w:eastAsia="Calibri"/>
          <w:b/>
          <w:i w:val="0"/>
          <w:color w:val="1F4D78"/>
          <w:sz w:val="30"/>
        </w:rPr>
        <w:t>The first step is not always file submission.</w:t>
      </w:r>
    </w:p>
    <w:p>
      <w:pPr>
        <w:spacing w:before="0" w:after="120" w:line="300" w:lineRule="auto"/>
        <w:jc w:val="left"/>
      </w:pPr>
      <w:r>
        <w:rPr>
          <w:rFonts w:ascii="Calibri" w:hAnsi="Calibri" w:eastAsia="Calibri"/>
          <w:b w:val="0"/>
          <w:i w:val="0"/>
          <w:color w:val="162236"/>
          <w:sz w:val="23"/>
        </w:rPr>
        <w:t>Some cases are ready for portal submission. Others need a workflow conversation first: case type, prosthetic objective, production route, component preference, global logistics, clinical leadership or partner scope.</w:t>
      </w:r>
    </w:p>
    <w:p>
      <w:pPr>
        <w:spacing w:before="0" w:after="120" w:line="300" w:lineRule="auto"/>
        <w:jc w:val="left"/>
      </w:pPr>
      <w:r>
        <w:rPr>
          <w:rFonts w:ascii="Calibri" w:hAnsi="Calibri" w:eastAsia="Calibri"/>
          <w:b w:val="0"/>
          <w:i w:val="0"/>
          <w:color w:val="162236"/>
          <w:sz w:val="23"/>
        </w:rPr>
        <w:t>This page helps the practice choose the right route before exchanging clinical records, so the next step is structured from the beginning.</w:t>
      </w:r>
    </w:p>
    <w:p>
      <w:pPr>
        <w:spacing w:before="0" w:after="60" w:line="300" w:lineRule="auto"/>
        <w:jc w:val="left"/>
        <w:keepNext w:val="1"/>
        <w:keepLines w:val="1"/>
      </w:pPr>
      <w:r>
        <w:rPr>
          <w:rFonts w:ascii="Calibri" w:hAnsi="Calibri" w:eastAsia="Calibri"/>
          <w:b w:val="0"/>
          <w:i/>
          <w:color w:val="5F6B7A"/>
          <w:sz w:val="19"/>
        </w:rPr>
        <w:t>Psychological job: Make the visitor feel guided, not screened. The form should feel like a professional triage desk for workflow fit.</w:t>
      </w:r>
    </w:p>
    <w:p>
      <w:pPr>
        <w:spacing w:before="0" w:after="60" w:line="300" w:lineRule="auto"/>
        <w:jc w:val="left"/>
        <w:keepNext w:val="1"/>
        <w:keepLines w:val="1"/>
      </w:pPr>
      <w:r>
        <w:rPr>
          <w:rFonts w:ascii="Calibri" w:hAnsi="Calibri" w:eastAsia="Calibri"/>
          <w:b w:val="0"/>
          <w:i w:val="0"/>
          <w:color w:val="5F6B7A"/>
          <w:sz w:val="19"/>
        </w:rPr>
        <w:t>Visual direction: Blue-white contact interface with route cards around a translucent 3D implant/prosthetic planning model. Keep the screen calm and clinical.</w:t>
      </w:r>
    </w:p>
    <w:p>
      <w:pPr>
        <w:spacing w:before="0" w:after="60" w:line="300" w:lineRule="auto"/>
        <w:jc w:val="left"/>
        <w:keepNext w:val="1"/>
        <w:keepLines w:val="1"/>
      </w:pPr>
      <w:r>
        <w:rPr>
          <w:rFonts w:ascii="Calibri" w:hAnsi="Calibri" w:eastAsia="Calibri"/>
          <w:b w:val="0"/>
          <w:i w:val="0"/>
          <w:color w:val="5F6B7A"/>
          <w:sz w:val="19"/>
        </w:rPr>
        <w:t>Mobile: Show the route selector before the long form. Keep the portal link sticky or visible near the top.</w:t>
      </w:r>
    </w:p>
    <w:p>
      <w:pPr>
        <w:spacing w:before="0" w:after="140" w:line="300" w:lineRule="auto"/>
        <w:jc w:val="left"/>
        <w:keepLines w:val="1"/>
      </w:pPr>
      <w:r>
        <w:rPr>
          <w:rFonts w:ascii="Calibri" w:hAnsi="Calibri" w:eastAsia="Calibri"/>
          <w:b w:val="0"/>
          <w:i w:val="0"/>
          <w:color w:val="5F6B7A"/>
          <w:sz w:val="19"/>
        </w:rPr>
        <w:t>Implementation: No file upload widgets on the public page. If a visitor selects ready-to-submit, route them to the Case Portal instead of showing upload fields.</w:t>
      </w:r>
    </w:p>
    <w:p>
      <w:pPr>
        <w:pStyle w:val="Heading2"/>
        <w:keepNext w:val="1"/>
        <w:keepLines w:val="1"/>
      </w:pPr>
      <w:r>
        <w:t>Section 2 — Inquiry route selector</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4300"/>
        <w:gridCol w:w="2600"/>
      </w:tblGrid>
      <w:tr>
        <w:trPr>
          <w:tblHeader w:val="true"/>
          <w:cantSplit/>
        </w:trPr>
        <w:tc>
          <w:tcPr>
            <w:tcW w:type="dxa" w:w="21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Route</w:t>
            </w:r>
          </w:p>
        </w:tc>
        <w:tc>
          <w:tcPr>
            <w:tcW w:type="dxa" w:w="43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Use when</w:t>
            </w:r>
          </w:p>
        </w:tc>
        <w:tc>
          <w:tcPr>
            <w:tcW w:type="dxa" w:w="26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Next action</w:t>
            </w:r>
          </w:p>
        </w:tc>
      </w:tr>
      <w:tr>
        <w:trPr>
          <w:cantSplit/>
        </w:trPr>
        <w:tc>
          <w:tcPr>
            <w:tcW w:type="dxa" w:w="21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Guided Implant Planning</w:t>
            </w:r>
          </w:p>
        </w:tc>
        <w:tc>
          <w:tcPr>
            <w:tcW w:type="dxa" w:w="4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The practice needs implant planning and guide-design support for routine or multi-implant cases.</w:t>
            </w:r>
          </w:p>
        </w:tc>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Collect professional context and workflow summary.</w:t>
            </w:r>
          </w:p>
        </w:tc>
      </w:tr>
      <w:tr>
        <w:trPr>
          <w:cantSplit/>
        </w:trPr>
        <w:tc>
          <w:tcPr>
            <w:tcW w:type="dxa" w:w="21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Full-Arch / Stackable</w:t>
            </w:r>
          </w:p>
        </w:tc>
        <w:tc>
          <w:tcPr>
            <w:tcW w:type="dxa" w:w="4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The case may involve prosthetic reference, bone reduction, implant sequence, MUA direction or full-arch guide coordination.</w:t>
            </w:r>
          </w:p>
        </w:tc>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Ask for non-identifying scope and recommend case discussion.</w:t>
            </w:r>
          </w:p>
        </w:tc>
      </w:tr>
      <w:tr>
        <w:trPr>
          <w:cantSplit/>
        </w:trPr>
        <w:tc>
          <w:tcPr>
            <w:tcW w:type="dxa" w:w="21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Immediate Loading</w:t>
            </w:r>
          </w:p>
        </w:tc>
        <w:tc>
          <w:tcPr>
            <w:tcW w:type="dxa" w:w="4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The practice is planning provisional, aesthetic or prosthetic coordination around immediate-loading treatment.</w:t>
            </w:r>
          </w:p>
        </w:tc>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Clarify smile/prosthetic objective without clinical file exchange.</w:t>
            </w:r>
          </w:p>
        </w:tc>
      </w:tr>
      <w:tr>
        <w:trPr>
          <w:cantSplit/>
        </w:trPr>
        <w:tc>
          <w:tcPr>
            <w:tcW w:type="dxa" w:w="21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Advanced Case</w:t>
            </w:r>
          </w:p>
        </w:tc>
        <w:tc>
          <w:tcPr>
            <w:tcW w:type="dxa" w:w="4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The case may involve zygoma, pterygoid, complex anatomy or specialist-led planning.</w:t>
            </w:r>
          </w:p>
        </w:tc>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Ask for professional role and clinical leadership context only.</w:t>
            </w:r>
          </w:p>
        </w:tc>
      </w:tr>
      <w:tr>
        <w:trPr>
          <w:cantSplit/>
        </w:trPr>
        <w:tc>
          <w:tcPr>
            <w:tcW w:type="dxa" w:w="21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Design-Only</w:t>
            </w:r>
          </w:p>
        </w:tc>
        <w:tc>
          <w:tcPr>
            <w:tcW w:type="dxa" w:w="4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The practice or lab wants production-ready files while keeping production local.</w:t>
            </w:r>
          </w:p>
        </w:tc>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Ask for case category, output need and preferred production route.</w:t>
            </w:r>
          </w:p>
        </w:tc>
      </w:tr>
      <w:tr>
        <w:trPr>
          <w:cantSplit/>
        </w:trPr>
        <w:tc>
          <w:tcPr>
            <w:tcW w:type="dxa" w:w="21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Design-to-Delivery</w:t>
            </w:r>
          </w:p>
        </w:tc>
        <w:tc>
          <w:tcPr>
            <w:tcW w:type="dxa" w:w="4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The practice wants coordinated planning, design and production handoff where available.</w:t>
            </w:r>
          </w:p>
        </w:tc>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Ask for region, scope and delivery expectation.</w:t>
            </w:r>
          </w:p>
        </w:tc>
      </w:tr>
      <w:tr>
        <w:trPr>
          <w:cantSplit/>
        </w:trPr>
        <w:tc>
          <w:tcPr>
            <w:tcW w:type="dxa" w:w="21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Global Practice</w:t>
            </w:r>
          </w:p>
        </w:tc>
        <w:tc>
          <w:tcPr>
            <w:tcW w:type="dxa" w:w="4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The visitor is outside the primary local market or needs cross-border collaboration.</w:t>
            </w:r>
          </w:p>
        </w:tc>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Ask for country, workflow model and timezone preference.</w:t>
            </w:r>
          </w:p>
        </w:tc>
      </w:tr>
      <w:tr>
        <w:trPr>
          <w:cantSplit/>
        </w:trPr>
        <w:tc>
          <w:tcPr>
            <w:tcW w:type="dxa" w:w="21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Partnership</w:t>
            </w:r>
          </w:p>
        </w:tc>
        <w:tc>
          <w:tcPr>
            <w:tcW w:type="dxa" w:w="4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The enquiry is from a lab, DSO, implant company, education group or white-label partner.</w:t>
            </w:r>
          </w:p>
        </w:tc>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Route to partnership qualification.</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Section 3 — Public form fields</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400"/>
        <w:gridCol w:w="1850"/>
        <w:gridCol w:w="4750"/>
      </w:tblGrid>
      <w:tr>
        <w:trPr>
          <w:tblHeader w:val="true"/>
          <w:cantSplit/>
        </w:trPr>
        <w:tc>
          <w:tcPr>
            <w:tcW w:type="dxa" w:w="24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Field</w:t>
            </w:r>
          </w:p>
        </w:tc>
        <w:tc>
          <w:tcPr>
            <w:tcW w:type="dxa" w:w="185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Type</w:t>
            </w:r>
          </w:p>
        </w:tc>
        <w:tc>
          <w:tcPr>
            <w:tcW w:type="dxa" w:w="475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Rule</w:t>
            </w:r>
          </w:p>
        </w:tc>
      </w:tr>
      <w:tr>
        <w:trPr>
          <w:cantSplit/>
        </w:trP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Name</w:t>
            </w:r>
          </w:p>
        </w:tc>
        <w:tc>
          <w:tcPr>
            <w:tcW w:type="dxa" w:w="18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Required</w:t>
            </w:r>
          </w:p>
        </w:tc>
        <w:tc>
          <w:tcPr>
            <w:tcW w:type="dxa" w:w="47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Professional contact name.</w:t>
            </w:r>
          </w:p>
        </w:tc>
      </w:tr>
      <w:tr>
        <w:trPr>
          <w:cantSplit/>
        </w:trP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Practice / organisation</w:t>
            </w:r>
          </w:p>
        </w:tc>
        <w:tc>
          <w:tcPr>
            <w:tcW w:type="dxa" w:w="18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Required</w:t>
            </w:r>
          </w:p>
        </w:tc>
        <w:tc>
          <w:tcPr>
            <w:tcW w:type="dxa" w:w="47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Clinic, lab, company, institution or partner organisation.</w:t>
            </w:r>
          </w:p>
        </w:tc>
      </w:tr>
      <w:tr>
        <w:trPr>
          <w:cantSplit/>
        </w:trP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Professional role</w:t>
            </w:r>
          </w:p>
        </w:tc>
        <w:tc>
          <w:tcPr>
            <w:tcW w:type="dxa" w:w="18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Required</w:t>
            </w:r>
          </w:p>
        </w:tc>
        <w:tc>
          <w:tcPr>
            <w:tcW w:type="dxa" w:w="47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Dentist, surgeon, prosthodontist, lab, DSO, partner, coordinator or other role.</w:t>
            </w:r>
          </w:p>
        </w:tc>
      </w:tr>
      <w:tr>
        <w:trPr>
          <w:cantSplit/>
        </w:trP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Email</w:t>
            </w:r>
          </w:p>
        </w:tc>
        <w:tc>
          <w:tcPr>
            <w:tcW w:type="dxa" w:w="18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Required</w:t>
            </w:r>
          </w:p>
        </w:tc>
        <w:tc>
          <w:tcPr>
            <w:tcW w:type="dxa" w:w="47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Primary response channel.</w:t>
            </w:r>
          </w:p>
        </w:tc>
      </w:tr>
      <w:tr>
        <w:trPr>
          <w:cantSplit/>
        </w:trP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Phone / WhatsApp</w:t>
            </w:r>
          </w:p>
        </w:tc>
        <w:tc>
          <w:tcPr>
            <w:tcW w:type="dxa" w:w="18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Optional</w:t>
            </w:r>
          </w:p>
        </w:tc>
        <w:tc>
          <w:tcPr>
            <w:tcW w:type="dxa" w:w="47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Useful for Indian and international coordination.</w:t>
            </w:r>
          </w:p>
        </w:tc>
      </w:tr>
      <w:tr>
        <w:trPr>
          <w:cantSplit/>
        </w:trP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City and country</w:t>
            </w:r>
          </w:p>
        </w:tc>
        <w:tc>
          <w:tcPr>
            <w:tcW w:type="dxa" w:w="18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Required</w:t>
            </w:r>
          </w:p>
        </w:tc>
        <w:tc>
          <w:tcPr>
            <w:tcW w:type="dxa" w:w="47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Needed for routing, timezone and delivery-context discussion.</w:t>
            </w:r>
          </w:p>
        </w:tc>
      </w:tr>
      <w:tr>
        <w:trPr>
          <w:cantSplit/>
        </w:trP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Workflow interest</w:t>
            </w:r>
          </w:p>
        </w:tc>
        <w:tc>
          <w:tcPr>
            <w:tcW w:type="dxa" w:w="18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Required select</w:t>
            </w:r>
          </w:p>
        </w:tc>
        <w:tc>
          <w:tcPr>
            <w:tcW w:type="dxa" w:w="47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Use the route selector options above.</w:t>
            </w:r>
          </w:p>
        </w:tc>
      </w:tr>
      <w:tr>
        <w:trPr>
          <w:cantSplit/>
        </w:trP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Case type</w:t>
            </w:r>
          </w:p>
        </w:tc>
        <w:tc>
          <w:tcPr>
            <w:tcW w:type="dxa" w:w="18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Optional select</w:t>
            </w:r>
          </w:p>
        </w:tc>
        <w:tc>
          <w:tcPr>
            <w:tcW w:type="dxa" w:w="47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Single implant, multi-implant, full arch, immediate loading, zygoma/pterygoid, design-only, partnership or not sure.</w:t>
            </w:r>
          </w:p>
        </w:tc>
      </w:tr>
      <w:tr>
        <w:trPr>
          <w:cantSplit/>
        </w:trP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Non-identifying summary</w:t>
            </w:r>
          </w:p>
        </w:tc>
        <w:tc>
          <w:tcPr>
            <w:tcW w:type="dxa" w:w="18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Required</w:t>
            </w:r>
          </w:p>
        </w:tc>
        <w:tc>
          <w:tcPr>
            <w:tcW w:type="dxa" w:w="47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Short workflow summary with no patient name, record links, images or identifiers.</w:t>
            </w:r>
          </w:p>
        </w:tc>
      </w:tr>
      <w:tr>
        <w:trPr>
          <w:cantSplit/>
        </w:trP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Preferred next step</w:t>
            </w:r>
          </w:p>
        </w:tc>
        <w:tc>
          <w:tcPr>
            <w:tcW w:type="dxa" w:w="18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Optional select</w:t>
            </w:r>
          </w:p>
        </w:tc>
        <w:tc>
          <w:tcPr>
            <w:tcW w:type="dxa" w:w="4750"/>
            <w:vAlign w:val="center"/>
            <w:tcMar>
              <w:top w:w="100" w:type="dxa"/>
              <w:start w:w="120" w:type="dxa"/>
              <w:bottom w:w="100" w:type="dxa"/>
              <w:end w:w="120" w:type="dxa"/>
            </w:tcMar>
          </w:tcPr>
          <w:p>
            <w:pPr>
              <w:spacing w:before="0" w:after="0" w:line="276" w:lineRule="auto"/>
            </w:pPr>
            <w:r>
              <w:rPr>
                <w:rFonts w:ascii="Calibri" w:hAnsi="Calibri" w:eastAsia="Calibri"/>
                <w:color w:val="162236"/>
                <w:sz w:val="15"/>
              </w:rPr>
              <w:t>Call, email reply, Case Portal setup, global workflow discussion or partnership discussion.</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Section 4 — What happens after you submit</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400"/>
        <w:gridCol w:w="6600"/>
      </w:tblGrid>
      <w:tr>
        <w:trPr>
          <w:tblHeader w:val="true"/>
          <w:cantSplit/>
        </w:trPr>
        <w:tc>
          <w:tcPr>
            <w:tcW w:type="dxa" w:w="24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Step</w:t>
            </w:r>
          </w:p>
        </w:tc>
        <w:tc>
          <w:tcPr>
            <w:tcW w:type="dxa" w:w="66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Public explanation</w:t>
            </w:r>
          </w:p>
        </w:tc>
      </w:tr>
      <w:tr>
        <w:trPr>
          <w:cantSplit/>
        </w:trP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1. We review the enquiry</w:t>
            </w:r>
          </w:p>
        </w:tc>
        <w:tc>
          <w:tcPr>
            <w:tcW w:type="dxa" w:w="6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Image3DConversion checks the workflow category, professional context and the kind of support requested.</w:t>
            </w:r>
          </w:p>
        </w:tc>
      </w:tr>
      <w:tr>
        <w:trPr>
          <w:cantSplit/>
        </w:trP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2. We confirm the right path</w:t>
            </w:r>
          </w:p>
        </w:tc>
        <w:tc>
          <w:tcPr>
            <w:tcW w:type="dxa" w:w="6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The next route may be a workflow call, a Case Portal setup, a returning-user login, a global-practice discussion or a partnership conversation.</w:t>
            </w:r>
          </w:p>
        </w:tc>
      </w:tr>
      <w:tr>
        <w:trPr>
          <w:cantSplit/>
        </w:trP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3. You prepare records only when requested</w:t>
            </w:r>
          </w:p>
        </w:tc>
        <w:tc>
          <w:tcPr>
            <w:tcW w:type="dxa" w:w="6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If clinical records are required, the practice is routed into the authenticated portal or another approved professional intake route.</w:t>
            </w:r>
          </w:p>
        </w:tc>
      </w:tr>
      <w:tr>
        <w:trPr>
          <w:cantSplit/>
        </w:trP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4. The case moves into workflow</w:t>
            </w:r>
          </w:p>
        </w:tc>
        <w:tc>
          <w:tcPr>
            <w:tcW w:type="dxa" w:w="6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Once scope and records are correctly submitted, the case follows the applicable planning, review, revision, approval and delivery route.</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Section 5 — Already ready to submit a case?</w:t>
      </w:r>
    </w:p>
    <w:p>
      <w:pPr>
        <w:spacing w:before="0" w:after="120" w:line="300" w:lineRule="auto"/>
        <w:jc w:val="left"/>
      </w:pPr>
      <w:r>
        <w:rPr>
          <w:rFonts w:ascii="Calibri" w:hAnsi="Calibri" w:eastAsia="Calibri"/>
          <w:b w:val="0"/>
          <w:i w:val="0"/>
          <w:color w:val="162236"/>
          <w:sz w:val="23"/>
        </w:rPr>
        <w:t>If your practice already has an account and the case is ready for submission, use the Image3DConversion Case Portal instead of this public enquiry form.</w:t>
      </w:r>
    </w:p>
    <w:p>
      <w:pPr>
        <w:spacing w:before="0" w:after="120" w:line="300" w:lineRule="auto"/>
        <w:jc w:val="left"/>
      </w:pPr>
      <w:r>
        <w:rPr>
          <w:rFonts w:ascii="Calibri" w:hAnsi="Calibri" w:eastAsia="Calibri"/>
          <w:b w:val="0"/>
          <w:i w:val="0"/>
          <w:color w:val="162236"/>
          <w:sz w:val="23"/>
        </w:rPr>
        <w:t>The portal is the correct place to start cases, upload required records, review outputs, request changes, approve the agreed route and access final deliverables.</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Returning-user CTA: </w:t>
      </w:r>
      <w:r>
        <w:rPr>
          <w:rFonts w:ascii="Calibri" w:hAnsi="Calibri" w:eastAsia="Calibri"/>
          <w:color w:val="162236"/>
          <w:sz w:val="21"/>
        </w:rPr>
        <w:t>Open the Case Portal</w:t>
      </w:r>
    </w:p>
    <w:p>
      <w:pPr>
        <w:pStyle w:val="Heading2"/>
        <w:keepNext w:val="1"/>
        <w:keepLines w:val="1"/>
      </w:pPr>
      <w:r>
        <w:t>Section 6 — Response expectation</w:t>
      </w:r>
    </w:p>
    <w:p>
      <w:pPr>
        <w:spacing w:before="0" w:after="120" w:line="300" w:lineRule="auto"/>
        <w:jc w:val="left"/>
      </w:pPr>
      <w:r>
        <w:rPr>
          <w:rFonts w:ascii="Calibri" w:hAnsi="Calibri" w:eastAsia="Calibri"/>
          <w:b w:val="0"/>
          <w:i w:val="0"/>
          <w:color w:val="162236"/>
          <w:sz w:val="23"/>
        </w:rPr>
        <w:t>After submission, Image3DConversion should respond through the selected professional channel with the appropriate next step. Response-time wording should be published only after operations approves the exact service expectation.</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OPERATIONAL CONTROL  </w:t>
      </w:r>
      <w:r>
        <w:rPr>
          <w:rFonts w:ascii="Calibri" w:hAnsi="Calibri" w:eastAsia="Calibri"/>
          <w:b w:val="0"/>
          <w:color w:val="162236"/>
          <w:sz w:val="22"/>
        </w:rPr>
        <w:t>Do not publish fixed response-time, pricing, availability, dispatch or delivery language unless operations confirms it for the current market and workflow route.</w:t>
      </w:r>
    </w:p>
    <w:p>
      <w:pPr>
        <w:pStyle w:val="Heading2"/>
        <w:keepNext w:val="1"/>
        <w:keepLines w:val="1"/>
      </w:pPr>
      <w:r>
        <w:t>Section 7 — CTA block</w:t>
      </w:r>
    </w:p>
    <w:p>
      <w:pPr>
        <w:spacing w:before="0" w:after="80"/>
        <w:keepNext w:val="1"/>
      </w:pPr>
      <w:r>
        <w:rPr>
          <w:rFonts w:ascii="Calibri" w:hAnsi="Calibri" w:eastAsia="Calibri"/>
          <w:b/>
          <w:color w:val="2E74B5"/>
          <w:sz w:val="19"/>
        </w:rPr>
        <w:t>CTA HEADLINE</w:t>
      </w:r>
    </w:p>
    <w:p>
      <w:pPr>
        <w:spacing w:before="0" w:after="100" w:line="300" w:lineRule="auto"/>
        <w:jc w:val="left"/>
        <w:keepLines w:val="1"/>
      </w:pPr>
      <w:r>
        <w:rPr>
          <w:rFonts w:ascii="Calibri" w:hAnsi="Calibri" w:eastAsia="Calibri"/>
          <w:b w:val="0"/>
          <w:i w:val="0"/>
          <w:color w:val="162236"/>
          <w:sz w:val="24"/>
        </w:rPr>
        <w:t>Start with the right workflow conversation.</w:t>
      </w:r>
    </w:p>
    <w:p>
      <w:pPr>
        <w:spacing w:before="0" w:after="80"/>
        <w:keepNext w:val="1"/>
      </w:pPr>
      <w:r>
        <w:rPr>
          <w:rFonts w:ascii="Calibri" w:hAnsi="Calibri" w:eastAsia="Calibri"/>
          <w:b/>
          <w:color w:val="2E74B5"/>
          <w:sz w:val="19"/>
        </w:rPr>
        <w:t>CTA BODY</w:t>
      </w:r>
    </w:p>
    <w:p>
      <w:pPr>
        <w:spacing w:before="0" w:after="100" w:line="300" w:lineRule="auto"/>
        <w:jc w:val="left"/>
        <w:keepLines w:val="1"/>
      </w:pPr>
      <w:r>
        <w:rPr>
          <w:rFonts w:ascii="Calibri" w:hAnsi="Calibri" w:eastAsia="Calibri"/>
          <w:b w:val="0"/>
          <w:i w:val="0"/>
          <w:color w:val="162236"/>
          <w:sz w:val="24"/>
        </w:rPr>
        <w:t>Share your professional context and the workflow you want to discuss. If clinical records are needed, we will guide you to the correct authenticated submission route.</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Discuss a Case</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Open the Case Portal</w:t>
      </w:r>
    </w:p>
    <w:p>
      <w:pPr>
        <w:pStyle w:val="Heading1"/>
        <w:keepNext w:val="1"/>
        <w:keepLines w:val="1"/>
      </w:pPr>
      <w:r>
        <w:t>3. Design and visual direction</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500"/>
        <w:gridCol w:w="6500"/>
      </w:tblGrid>
      <w:tr>
        <w:trPr>
          <w:tblHeader w:val="true"/>
          <w:cantSplit/>
        </w:trPr>
        <w:tc>
          <w:tcPr>
            <w:tcW w:type="dxa" w:w="2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Element</w:t>
            </w:r>
          </w:p>
        </w:tc>
        <w:tc>
          <w:tcPr>
            <w:tcW w:type="dxa" w:w="6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Direction</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Overall feel</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Professional, calm, fast to understand and clinically responsible.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Colour system</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Image3DConversion Blue + White only. Use pale blue bands, white forms and dark-blue hierarchy.</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Hero visual</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 clean route-selection interface over a 3D dental planning model, suggesting case discussion before case execution.</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Form layout</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segmented route cards, then a simple form. Avoid a long undifferentiated contact form.</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Portal prompt</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Keep a clear returning-user portal link near the hero and again near the form.</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Avoid</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Generic support-desk stock images, medical emergency tone, upload widgets, social-media dark gradients, fake dashboard screenshots or invented case files.</w:t>
            </w:r>
          </w:p>
        </w:tc>
      </w:tr>
    </w:tbl>
    <w:p>
      <w:pPr>
        <w:spacing w:before="0" w:after="80" w:line="300" w:lineRule="auto"/>
        <w:jc w:val="left"/>
      </w:pPr>
      <w:r>
        <w:rPr>
          <w:rFonts w:ascii="Calibri" w:hAnsi="Calibri" w:eastAsia="Calibri"/>
          <w:b w:val="0"/>
          <w:i w:val="0"/>
          <w:color w:val="162236"/>
          <w:sz w:val="22"/>
        </w:rPr>
      </w:r>
    </w:p>
    <w:p>
      <w:pPr>
        <w:pStyle w:val="Heading1"/>
        <w:keepNext w:val="1"/>
        <w:keepLines w:val="1"/>
      </w:pPr>
      <w:r>
        <w:t>4. Navigation and CTA routing</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300"/>
        <w:gridCol w:w="3200"/>
        <w:gridCol w:w="3500"/>
      </w:tblGrid>
      <w:tr>
        <w:trPr>
          <w:tblHeader w:val="true"/>
          <w:cantSplit/>
        </w:trPr>
        <w:tc>
          <w:tcPr>
            <w:tcW w:type="dxa" w:w="23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CTA</w:t>
            </w:r>
          </w:p>
        </w:tc>
        <w:tc>
          <w:tcPr>
            <w:tcW w:type="dxa" w:w="3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Destination</w:t>
            </w:r>
          </w:p>
        </w:tc>
        <w:tc>
          <w:tcPr>
            <w:tcW w:type="dxa" w:w="3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Purpose</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Discuss a Case</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/discuss-a-case/#form</w:t>
            </w:r>
          </w:p>
        </w:tc>
        <w:tc>
          <w:tcPr>
            <w:tcW w:type="dxa" w:w="3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Primary public enquiry route for non-identifying professional context.</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Open the Case Portal</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Existing Case Portal login route</w:t>
            </w:r>
          </w:p>
        </w:tc>
        <w:tc>
          <w:tcPr>
            <w:tcW w:type="dxa" w:w="3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Returning users, authenticated case start, review, approval and tracking.</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Global Practice Workflows</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/global-practice-workflows/</w:t>
            </w:r>
          </w:p>
        </w:tc>
        <w:tc>
          <w:tcPr>
            <w:tcW w:type="dxa" w:w="3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Explain international collaboration before inquiry.</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White-Label Partnership</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/white-label-workflow-partnership/</w:t>
            </w:r>
          </w:p>
        </w:tc>
        <w:tc>
          <w:tcPr>
            <w:tcW w:type="dxa" w:w="3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Route labs, DSOs, implant companies and education partners.</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Prepare Case Data</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/case-data-diagnostic-preparation/</w:t>
            </w:r>
          </w:p>
        </w:tc>
        <w:tc>
          <w:tcPr>
            <w:tcW w:type="dxa" w:w="3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Help visitors understand records before portal submission.</w:t>
            </w:r>
          </w:p>
        </w:tc>
      </w:tr>
    </w:tbl>
    <w:p>
      <w:pPr>
        <w:spacing w:before="0" w:after="80" w:line="300" w:lineRule="auto"/>
        <w:jc w:val="left"/>
      </w:pPr>
      <w:r>
        <w:rPr>
          <w:rFonts w:ascii="Calibri" w:hAnsi="Calibri" w:eastAsia="Calibri"/>
          <w:b w:val="0"/>
          <w:i w:val="0"/>
          <w:color w:val="162236"/>
          <w:sz w:val="22"/>
        </w:rPr>
      </w:r>
    </w:p>
    <w:p>
      <w:pPr>
        <w:pStyle w:val="Heading1"/>
        <w:keepNext w:val="1"/>
        <w:keepLines w:val="1"/>
      </w:pPr>
      <w:r>
        <w:t>5. Publication controls</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500"/>
        <w:gridCol w:w="6500"/>
      </w:tblGrid>
      <w:tr>
        <w:trPr>
          <w:tblHeader w:val="true"/>
          <w:cantSplit/>
        </w:trPr>
        <w:tc>
          <w:tcPr>
            <w:tcW w:type="dxa" w:w="2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Control area</w:t>
            </w:r>
          </w:p>
        </w:tc>
        <w:tc>
          <w:tcPr>
            <w:tcW w:type="dxa" w:w="6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Rule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Public form boundary</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Collect professional identity, organisation, region, workflow interest and non-identifying summary only.</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Clinical records</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DICOM, STL, photographs, prescriptions and patient-identifying information move only through authenticated or otherwise approved professional intake.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Clinical authority</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Do not imply diagnosis, treatment indication, consent, surgery or final approval is performed through this public page.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Response claims</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Publish exact response times only after operations approval.</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Pricing claims</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Do not publish pricing or delivery promises unless the current pricing sheet and region are verified.</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Portal architecture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Do not alter login, role controls, tenant isolation, finance separation, statuses or authenticated screens.</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Tone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Direct, helpful and disciplined. Avoid desperation, over-selling or vague “contact us for anything” language.</w:t>
            </w:r>
          </w:p>
        </w:tc>
      </w:tr>
    </w:tbl>
    <w:p>
      <w:pPr>
        <w:spacing w:before="0" w:after="80" w:line="300" w:lineRule="auto"/>
        <w:jc w:val="left"/>
      </w:pPr>
      <w:r>
        <w:rPr>
          <w:rFonts w:ascii="Calibri" w:hAnsi="Calibri" w:eastAsia="Calibri"/>
          <w:b w:val="0"/>
          <w:i w:val="0"/>
          <w:color w:val="162236"/>
          <w:sz w:val="22"/>
        </w:rPr>
      </w:r>
    </w:p>
    <w:p>
      <w:pPr>
        <w:pStyle w:val="Heading1"/>
        <w:keepNext w:val="1"/>
        <w:keepLines w:val="1"/>
      </w:pPr>
      <w:r>
        <w:t>6. Source alignment</w:t>
      </w:r>
    </w:p>
    <w:p>
      <w:pPr>
        <w:numPr>
          <w:ilvl w:val="0"/>
          <w:numId w:val="11"/>
        </w:numPr>
        <w:spacing w:after="80" w:line="300" w:lineRule="auto"/>
      </w:pPr>
      <w:hyperlink r:id="rId11">
        <w:r>
          <w:rPr>
            <w:rFonts w:ascii="Calibri" w:hAnsi="Calibri"/>
            <w:color w:val="2E74B5"/>
            <w:u w:val="single"/>
          </w:rPr>
          <w:t>Master Content Strategy</w:t>
        </w:r>
      </w:hyperlink>
    </w:p>
    <w:p>
      <w:pPr>
        <w:numPr>
          <w:ilvl w:val="0"/>
          <w:numId w:val="12"/>
        </w:numPr>
        <w:spacing w:after="80" w:line="300" w:lineRule="auto"/>
      </w:pPr>
      <w:hyperlink r:id="rId12">
        <w:r>
          <w:rPr>
            <w:rFonts w:ascii="Calibri" w:hAnsi="Calibri"/>
            <w:color w:val="2E74B5"/>
            <w:u w:val="single"/>
          </w:rPr>
          <w:t>Blueprint 01</w:t>
        </w:r>
      </w:hyperlink>
    </w:p>
    <w:p>
      <w:pPr>
        <w:numPr>
          <w:ilvl w:val="0"/>
          <w:numId w:val="13"/>
        </w:numPr>
        <w:spacing w:after="80" w:line="300" w:lineRule="auto"/>
      </w:pPr>
      <w:hyperlink r:id="rId13">
        <w:r>
          <w:rPr>
            <w:rFonts w:ascii="Calibri" w:hAnsi="Calibri"/>
            <w:color w:val="2E74B5"/>
            <w:u w:val="single"/>
          </w:rPr>
          <w:t>Google people-first content guidance</w:t>
        </w:r>
      </w:hyperlink>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IMPLEMENTATION NOTE  </w:t>
      </w:r>
      <w:r>
        <w:rPr>
          <w:rFonts w:ascii="Calibri" w:hAnsi="Calibri" w:eastAsia="Calibri"/>
          <w:b w:val="0"/>
          <w:color w:val="162236"/>
          <w:sz w:val="22"/>
        </w:rPr>
        <w:t>This document contains publishable visitor copy and internal handoff rules. In implementation, only the final page copy should be published. Strategy notes, form controls and developer safeguards remain internal.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5F6B7A"/>
        <w:sz w:val="17"/>
      </w:rPr>
      <w:t>IMAGE3DCONVERSION  /  CONTACT + DISCUSS A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rPr>
        <w:rFonts w:ascii="Calibri" w:hAnsi="Calibri" w:hint="default"/>
      </w:rPr>
    </w:lvl>
  </w:abstractNum>
  <w:num w:numId="10">
    <w:abstractNumId w:val="9"/>
  </w:num>
  <w:abstractNum w:abstractNumId="10">
    <w:multiLevelType w:val="singleLevel"/>
    <w:lvl w:ilvl="0">
      <w:start w:val="1"/>
      <w:numFmt w:val="bullet"/>
      <w:lvlText w:val="•"/>
      <w:suff w:val="tab"/>
      <w:lvlJc w:val="left"/>
      <w:pPr>
        <w:tabs>
          <w:tab w:val="num" w:pos="540"/>
        </w:tabs>
        <w:ind w:left="540" w:hanging="270"/>
      </w:pPr>
      <w:rPr>
        <w:rFonts w:ascii="Calibri" w:hAnsi="Calibri" w:hint="default"/>
      </w:rPr>
    </w:lvl>
  </w:abstractNum>
  <w:num w:numId="11">
    <w:abstractNumId w:val="10"/>
  </w:num>
  <w:abstractNum w:abstractNumId="11">
    <w:multiLevelType w:val="singleLevel"/>
    <w:lvl w:ilvl="0">
      <w:start w:val="1"/>
      <w:numFmt w:val="bullet"/>
      <w:lvlText w:val="•"/>
      <w:suff w:val="tab"/>
      <w:lvlJc w:val="left"/>
      <w:pPr>
        <w:tabs>
          <w:tab w:val="num" w:pos="540"/>
        </w:tabs>
        <w:ind w:left="540" w:hanging="270"/>
      </w:pPr>
      <w:rPr>
        <w:rFonts w:ascii="Calibri" w:hAnsi="Calibri" w:hint="default"/>
      </w:rPr>
    </w:lvl>
  </w:abstractNum>
  <w:num w:numId="12">
    <w:abstractNumId w:val="11"/>
  </w:num>
  <w:abstractNum w:abstractNumId="12">
    <w:multiLevelType w:val="singleLevel"/>
    <w:lvl w:ilvl="0">
      <w:start w:val="1"/>
      <w:numFmt w:val="bullet"/>
      <w:lvlText w:val="•"/>
      <w:suff w:val="tab"/>
      <w:lvlJc w:val="left"/>
      <w:pPr>
        <w:tabs>
          <w:tab w:val="num" w:pos="540"/>
        </w:tabs>
        <w:ind w:left="540" w:hanging="270"/>
      </w:pPr>
      <w:rPr>
        <w:rFonts w:ascii="Calibri" w:hAnsi="Calibri" w:hint="default"/>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22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36" w:hanging="259"/>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Image3DConversion_Master_Content_Strategy_v1.0.docx" TargetMode="External"/><Relationship Id="rId12" Type="http://schemas.openxmlformats.org/officeDocument/2006/relationships/hyperlink" Target="Image3DConversion_Blueprint_01_Homepage_Global_Shell.md" TargetMode="External"/><Relationship Id="rId13" Type="http://schemas.openxmlformats.org/officeDocument/2006/relationships/hyperlink" Target="https://developers.google.com/search/docs/fundamentals/creating-helpful-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