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after="120"/>
      </w:pPr>
      <w:r>
        <w:rPr>
          <w:rFonts w:ascii="Calibri" w:hAnsi="Calibri" w:eastAsia="Calibri"/>
          <w:b/>
          <w:color w:val="162236"/>
          <w:sz w:val="56"/>
        </w:rPr>
        <w:t>Image3DConversion</w:t>
        <w:br/>
      </w:r>
      <w:r>
        <w:rPr>
          <w:rFonts w:ascii="Calibri" w:hAnsi="Calibri" w:eastAsia="Calibri"/>
          <w:b/>
          <w:color w:val="2E74B5"/>
          <w:sz w:val="50"/>
        </w:rPr>
        <w:t>Design-Only Workflow</w:t>
      </w:r>
    </w:p>
    <w:p>
      <w:pPr>
        <w:spacing w:before="0" w:after="320" w:line="300" w:lineRule="auto"/>
        <w:jc w:val="left"/>
      </w:pPr>
      <w:r>
        <w:rPr>
          <w:rFonts w:ascii="Calibri" w:hAnsi="Calibri" w:eastAsia="Calibri"/>
          <w:b w:val="0"/>
          <w:i w:val="0"/>
          <w:color w:val="5F6B7A"/>
          <w:sz w:val="26"/>
        </w:rPr>
        <w:t>Final page copy, SEO hierarchy, design psychology, 3D visual direction, global-practice positioning, mobile behaviour, Case Portal alignment and publication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1.0 · 28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https://www.image3dconversion.com/design-only-workflow/</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Request Design-Only Files</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PAGE DECISION  </w:t>
      </w:r>
      <w:r>
        <w:rPr>
          <w:rFonts w:ascii="Calibri" w:hAnsi="Calibri" w:eastAsia="Calibri"/>
          <w:b w:val="0"/>
          <w:color w:val="162236"/>
          <w:sz w:val="22"/>
        </w:rPr>
        <w:t>This page positions Image3DConversion as a specialist digital planning and design partner for practices and labs that want to keep printing, milling, clinical delivery or final production local. It must attract global practices through workflow clarity, not vague worldwide claims.</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Explain design-only as a professional workflow, not a cheap file-export product.</w:t>
      </w:r>
    </w:p>
    <w:p>
      <w:pPr>
        <w:numPr>
          <w:ilvl w:val="0"/>
          <w:numId w:val="10"/>
        </w:numPr>
        <w:spacing w:before="0" w:after="80" w:line="300" w:lineRule="auto"/>
        <w:keepLines w:val="1"/>
      </w:pPr>
      <w:r>
        <w:rPr>
          <w:rFonts w:ascii="Calibri" w:hAnsi="Calibri" w:eastAsia="Calibri"/>
          <w:color w:val="162236"/>
          <w:sz w:val="22"/>
        </w:rPr>
        <w:t>Show how the patient smile and prosthetic objective still guide the planning sequence even when production remains local.</w:t>
      </w:r>
    </w:p>
    <w:p>
      <w:pPr>
        <w:numPr>
          <w:ilvl w:val="0"/>
          <w:numId w:val="10"/>
        </w:numPr>
        <w:spacing w:before="0" w:after="80" w:line="300" w:lineRule="auto"/>
        <w:keepLines w:val="1"/>
      </w:pPr>
      <w:r>
        <w:rPr>
          <w:rFonts w:ascii="Calibri" w:hAnsi="Calibri" w:eastAsia="Calibri"/>
          <w:color w:val="162236"/>
          <w:sz w:val="22"/>
        </w:rPr>
        <w:t>Attract global practices, labs and workflow partners who need planning/design support without outsourcing every step.</w:t>
      </w:r>
    </w:p>
    <w:p>
      <w:pPr>
        <w:numPr>
          <w:ilvl w:val="0"/>
          <w:numId w:val="10"/>
        </w:numPr>
        <w:spacing w:before="0" w:after="80" w:line="300" w:lineRule="auto"/>
        <w:keepLines w:val="1"/>
      </w:pPr>
      <w:r>
        <w:rPr>
          <w:rFonts w:ascii="Calibri" w:hAnsi="Calibri" w:eastAsia="Calibri"/>
          <w:color w:val="162236"/>
          <w:sz w:val="22"/>
        </w:rPr>
        <w:t>Clarify deliverable categories: review files, approved design files, printable/millable outputs and production notes where applicable.</w:t>
      </w:r>
    </w:p>
    <w:p>
      <w:pPr>
        <w:numPr>
          <w:ilvl w:val="0"/>
          <w:numId w:val="10"/>
        </w:numPr>
        <w:spacing w:before="0" w:after="80" w:line="300" w:lineRule="auto"/>
        <w:keepLines w:val="1"/>
      </w:pPr>
      <w:r>
        <w:rPr>
          <w:rFonts w:ascii="Calibri" w:hAnsi="Calibri" w:eastAsia="Calibri"/>
          <w:color w:val="162236"/>
          <w:sz w:val="22"/>
        </w:rPr>
        <w:t>Protect responsibility boundaries between Image3DConversion, the treating clinician, local lab and production partner.</w:t>
      </w:r>
    </w:p>
    <w:p>
      <w:pPr>
        <w:numPr>
          <w:ilvl w:val="0"/>
          <w:numId w:val="10"/>
        </w:numPr>
        <w:spacing w:before="0" w:after="80" w:line="300" w:lineRule="auto"/>
        <w:keepLines w:val="1"/>
      </w:pPr>
      <w:r>
        <w:rPr>
          <w:rFonts w:ascii="Calibri" w:hAnsi="Calibri" w:eastAsia="Calibri"/>
          <w:color w:val="162236"/>
          <w:sz w:val="22"/>
        </w:rPr>
        <w:t>Route clinical records and patient-identifying files only through the authenticated Case Portal.</w:t>
      </w:r>
    </w:p>
    <w:p>
      <w:r>
        <w:br w:type="page"/>
      </w:r>
    </w:p>
    <w:p>
      <w:pPr>
        <w:pStyle w:val="Heading1"/>
        <w:keepNext w:val="1"/>
        <w:keepLines w:val="1"/>
      </w:pPr>
      <w:r>
        <w:t>1. SEO and page identity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value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Route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/design-only-workflow/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 follow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 title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Design-Only Implant Planning and Surgical Guide Files | Image3DConversion</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Meta description</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Use Image3DConversion for design-only digital implant planning, guide design and production-ready files while keeping printing, milling and clinical delivery local.</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Keep production local. Bring specialist planning into the workflow.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keyword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design-only implant planning files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Supporting keywords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surgical guide design-only; ready-to-print dental guide files; implant planning STL files; dental lab design partner; global implant planning support</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Request Design-Only Files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Global Workflow</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PRINCIPLE  </w:t>
      </w:r>
      <w:r>
        <w:rPr>
          <w:rFonts w:ascii="Calibri" w:hAnsi="Calibri" w:eastAsia="Calibri"/>
          <w:b w:val="0"/>
          <w:color w:val="162236"/>
          <w:sz w:val="22"/>
        </w:rPr>
        <w:t>The page should answer a commercial workflow question: can a practice or lab use specialist planning and design support while keeping production, delivery and patient care under its own control?</w:t>
      </w:r>
    </w:p>
    <w:p>
      <w:pPr>
        <w:pStyle w:val="Heading1"/>
        <w:pageBreakBefore w:val="1"/>
        <w:keepNext w:val="1"/>
        <w:keepLines w:val="1"/>
      </w:pPr>
      <w:r>
        <w:t>2. Final page copy</w:t>
      </w:r>
    </w:p>
    <w:p>
      <w:pPr>
        <w:spacing w:before="0" w:after="80"/>
        <w:keepNext w:val="1"/>
      </w:pPr>
      <w:r>
        <w:rPr>
          <w:rFonts w:ascii="Calibri" w:hAnsi="Calibri" w:eastAsia="Calibri"/>
          <w:b/>
          <w:color w:val="2E74B5"/>
          <w:sz w:val="19"/>
        </w:rPr>
        <w:t>HERO EYEBROW</w:t>
      </w:r>
    </w:p>
    <w:p>
      <w:pPr>
        <w:spacing w:before="0" w:after="100" w:line="300" w:lineRule="auto"/>
        <w:jc w:val="left"/>
        <w:keepLines w:val="1"/>
      </w:pPr>
      <w:r>
        <w:rPr>
          <w:rFonts w:ascii="Calibri" w:hAnsi="Calibri" w:eastAsia="Calibri"/>
          <w:b w:val="0"/>
          <w:i w:val="0"/>
          <w:color w:val="162236"/>
          <w:sz w:val="24"/>
        </w:rPr>
        <w:t>DESIGN-ONLY WORKFLOW</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Keep production local. Bring specialist planning into the workflow.</w:t>
      </w:r>
    </w:p>
    <w:p>
      <w:pPr>
        <w:spacing w:before="0" w:after="80"/>
        <w:keepNext w:val="1"/>
      </w:pPr>
      <w:r>
        <w:rPr>
          <w:rFonts w:ascii="Calibri" w:hAnsi="Calibri" w:eastAsia="Calibri"/>
          <w:b/>
          <w:color w:val="2E74B5"/>
          <w:sz w:val="19"/>
        </w:rPr>
        <w:t>HERO BODY</w:t>
      </w:r>
    </w:p>
    <w:p>
      <w:pPr>
        <w:spacing w:before="0" w:after="100" w:line="300" w:lineRule="auto"/>
        <w:jc w:val="left"/>
        <w:keepLines w:val="1"/>
      </w:pPr>
      <w:r>
        <w:rPr>
          <w:rFonts w:ascii="Calibri" w:hAnsi="Calibri" w:eastAsia="Calibri"/>
          <w:b w:val="0"/>
          <w:i w:val="0"/>
          <w:color w:val="162236"/>
          <w:sz w:val="24"/>
        </w:rPr>
        <w:t>Image3DConversion supports practices, labs and digital dental teams with design-only workflows for implant planning, surgical guide design and prosthetic coordination. You can keep printing, milling, surgery and patient delivery local while using a structured digital planning partner behind the case.</w:t>
      </w:r>
    </w:p>
    <w:p>
      <w:pPr>
        <w:spacing w:before="0" w:after="80"/>
        <w:keepNext w:val="1"/>
      </w:pPr>
      <w:r>
        <w:rPr>
          <w:rFonts w:ascii="Calibri" w:hAnsi="Calibri" w:eastAsia="Calibri"/>
          <w:b/>
          <w:color w:val="2E74B5"/>
          <w:sz w:val="19"/>
        </w:rPr>
        <w:t>PROFESSIONAL NOTE</w:t>
      </w:r>
    </w:p>
    <w:p>
      <w:pPr>
        <w:spacing w:before="0" w:after="100" w:line="300" w:lineRule="auto"/>
        <w:jc w:val="left"/>
        <w:keepLines w:val="1"/>
      </w:pPr>
      <w:r>
        <w:rPr>
          <w:rFonts w:ascii="Calibri" w:hAnsi="Calibri" w:eastAsia="Calibri"/>
          <w:b w:val="0"/>
          <w:i w:val="0"/>
          <w:color w:val="162236"/>
          <w:sz w:val="24"/>
        </w:rPr>
        <w:t>For dental professionals, dental laboratories and authorised workflow partners. Clinical decisions, production validation and patient delivery remain with the responsible local team unless a separate delivery scope is agreed.</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Request Design-Only Files</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Discuss Global Workflow</w:t>
      </w:r>
    </w:p>
    <w:p>
      <w:pPr>
        <w:pStyle w:val="Heading2"/>
        <w:keepNext w:val="1"/>
        <w:keepLines w:val="1"/>
      </w:pPr>
      <w:r>
        <w:t>Section 1 — The design still begins with the patient outcome</w:t>
      </w:r>
    </w:p>
    <w:p>
      <w:pPr>
        <w:spacing w:before="0" w:after="100" w:line="300" w:lineRule="auto"/>
        <w:jc w:val="left"/>
      </w:pPr>
      <w:r>
        <w:rPr>
          <w:rFonts w:ascii="Calibri" w:hAnsi="Calibri" w:eastAsia="Calibri"/>
          <w:b/>
          <w:i w:val="0"/>
          <w:color w:val="1F4D78"/>
          <w:sz w:val="30"/>
        </w:rPr>
        <w:t>Design-only does not mean outcome-light.</w:t>
      </w:r>
    </w:p>
    <w:p>
      <w:pPr>
        <w:spacing w:before="0" w:after="120" w:line="300" w:lineRule="auto"/>
        <w:jc w:val="left"/>
      </w:pPr>
      <w:r>
        <w:rPr>
          <w:rFonts w:ascii="Calibri" w:hAnsi="Calibri" w:eastAsia="Calibri"/>
          <w:b w:val="0"/>
          <w:i w:val="0"/>
          <w:color w:val="162236"/>
          <w:sz w:val="23"/>
        </w:rPr>
        <w:t>The case still begins with the smile, tooth position and prosthetic objective. The difference is scope: Image3DConversion supports the planning and design layer, while the practice or lab may manage production and delivery locally.</w:t>
      </w:r>
    </w:p>
    <w:p>
      <w:pPr>
        <w:spacing w:before="0" w:after="120" w:line="300" w:lineRule="auto"/>
        <w:jc w:val="left"/>
      </w:pPr>
      <w:r>
        <w:rPr>
          <w:rFonts w:ascii="Calibri" w:hAnsi="Calibri" w:eastAsia="Calibri"/>
          <w:b w:val="0"/>
          <w:i w:val="0"/>
          <w:color w:val="162236"/>
          <w:sz w:val="23"/>
        </w:rPr>
        <w:t>This model is useful when the clinical team wants specialist planning support without replacing its existing printer, milling partner, lab workflow or local delivery system.</w:t>
      </w:r>
    </w:p>
    <w:p>
      <w:pPr>
        <w:spacing w:before="0" w:after="60" w:line="300" w:lineRule="auto"/>
        <w:jc w:val="left"/>
        <w:keepNext w:val="1"/>
        <w:keepLines w:val="1"/>
      </w:pPr>
      <w:r>
        <w:rPr>
          <w:rFonts w:ascii="Calibri" w:hAnsi="Calibri" w:eastAsia="Calibri"/>
          <w:b w:val="0"/>
          <w:i/>
          <w:color w:val="5F6B7A"/>
          <w:sz w:val="19"/>
        </w:rPr>
        <w:t>Psychological job: Make the visitor feel control, not dependency. The page should say: you do not have to give away your local workflow to gain specialist design support.</w:t>
      </w:r>
    </w:p>
    <w:p>
      <w:pPr>
        <w:spacing w:before="0" w:after="60" w:line="300" w:lineRule="auto"/>
        <w:jc w:val="left"/>
        <w:keepNext w:val="1"/>
        <w:keepLines w:val="1"/>
      </w:pPr>
      <w:r>
        <w:rPr>
          <w:rFonts w:ascii="Calibri" w:hAnsi="Calibri" w:eastAsia="Calibri"/>
          <w:b w:val="0"/>
          <w:i w:val="0"/>
          <w:color w:val="5F6B7A"/>
          <w:sz w:val="19"/>
        </w:rPr>
        <w:t>Visual direction: Use a white and blue 3D workflow split: patient smile and prosthetic arch leading into planning layers, then exported guide/prosthetic file packages going to a local printer or lab.</w:t>
      </w:r>
    </w:p>
    <w:p>
      <w:pPr>
        <w:spacing w:before="0" w:after="60" w:line="300" w:lineRule="auto"/>
        <w:jc w:val="left"/>
        <w:keepNext w:val="1"/>
        <w:keepLines w:val="1"/>
      </w:pPr>
      <w:r>
        <w:rPr>
          <w:rFonts w:ascii="Calibri" w:hAnsi="Calibri" w:eastAsia="Calibri"/>
          <w:b w:val="0"/>
          <w:i w:val="0"/>
          <w:color w:val="5F6B7A"/>
          <w:sz w:val="19"/>
        </w:rPr>
        <w:t>Mobile: Show this as a simple vertical chain: Smile objective, design support, local production, clinical delivery.</w:t>
      </w:r>
    </w:p>
    <w:p>
      <w:pPr>
        <w:spacing w:before="0" w:after="140" w:line="300" w:lineRule="auto"/>
        <w:jc w:val="left"/>
        <w:keepLines w:val="1"/>
      </w:pPr>
      <w:r>
        <w:rPr>
          <w:rFonts w:ascii="Calibri" w:hAnsi="Calibri" w:eastAsia="Calibri"/>
          <w:b w:val="0"/>
          <w:i w:val="0"/>
          <w:color w:val="5F6B7A"/>
          <w:sz w:val="19"/>
        </w:rPr>
        <w:t>Implementation: Do not present design-only as a price-led commodity. Use scope control and workflow precision as the conversion hook.</w:t>
      </w:r>
    </w:p>
    <w:p>
      <w:pPr>
        <w:pStyle w:val="Heading2"/>
        <w:keepNext w:val="1"/>
        <w:keepLines w:val="1"/>
      </w:pPr>
      <w:r>
        <w:t>Section 2 — What design-only can include</w:t>
      </w:r>
    </w:p>
    <w:p>
      <w:pPr>
        <w:spacing w:before="0" w:after="120" w:line="300" w:lineRule="auto"/>
        <w:jc w:val="left"/>
      </w:pPr>
      <w:r>
        <w:rPr>
          <w:rFonts w:ascii="Calibri" w:hAnsi="Calibri" w:eastAsia="Calibri"/>
          <w:b w:val="0"/>
          <w:i w:val="0"/>
          <w:color w:val="162236"/>
          <w:sz w:val="23"/>
        </w:rPr>
        <w:t>The exact scope depends on the case type and the records supplied. A design-only workflow may include planning support, review files and production-ready design outputs.</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000"/>
        <w:gridCol w:w="6000"/>
      </w:tblGrid>
      <w:tr>
        <w:trPr>
          <w:tblHeader w:val="true"/>
          <w:cantSplit/>
        </w:trPr>
        <w:tc>
          <w:tcPr>
            <w:tcW w:type="dxa" w:w="3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Design support</w:t>
            </w:r>
          </w:p>
        </w:tc>
        <w:tc>
          <w:tcPr>
            <w:tcW w:type="dxa" w:w="6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What it helps the practice or lab receive</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Implant planning support</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 reviewable digital planning workflow aligned with the prosthetic objective and clinician instructions.</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Surgical guide design</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Guide design files prepared for the agreed case pathway and production discussion.</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Full-arch or stackable planning support</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Coordinated digital references for complex sequence planning where production may remain local.</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Immediate provisional coordination</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Design support around the planned provisional, restorative space and implant position.</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Advanced-case planning support</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Zygoma, pterygoid or complex-anatomy workflows routed for specialist review and clear clinical boundaries.</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Production notes</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File notes and handoff context for the practice, lab or production partner, where applicable.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3 — Best-fit users</w:t>
      </w:r>
    </w:p>
    <w:p>
      <w:pPr>
        <w:numPr>
          <w:ilvl w:val="0"/>
          <w:numId w:val="11"/>
        </w:numPr>
        <w:spacing w:before="0" w:after="80" w:line="300" w:lineRule="auto"/>
        <w:keepLines w:val="1"/>
      </w:pPr>
      <w:r>
        <w:rPr>
          <w:rFonts w:ascii="Calibri" w:hAnsi="Calibri" w:eastAsia="Calibri"/>
          <w:color w:val="162236"/>
          <w:sz w:val="22"/>
        </w:rPr>
        <w:t>Practices with in-house 3D printing or an established local lab.</w:t>
      </w:r>
    </w:p>
    <w:p>
      <w:pPr>
        <w:numPr>
          <w:ilvl w:val="0"/>
          <w:numId w:val="11"/>
        </w:numPr>
        <w:spacing w:before="0" w:after="80" w:line="300" w:lineRule="auto"/>
        <w:keepLines w:val="1"/>
      </w:pPr>
      <w:r>
        <w:rPr>
          <w:rFonts w:ascii="Calibri" w:hAnsi="Calibri" w:eastAsia="Calibri"/>
          <w:color w:val="162236"/>
          <w:sz w:val="22"/>
        </w:rPr>
        <w:t>Dental labs that want specialist implant-planning or surgical-guide design capacity behind their own workflow.</w:t>
      </w:r>
    </w:p>
    <w:p>
      <w:pPr>
        <w:numPr>
          <w:ilvl w:val="0"/>
          <w:numId w:val="11"/>
        </w:numPr>
        <w:spacing w:before="0" w:after="80" w:line="300" w:lineRule="auto"/>
        <w:keepLines w:val="1"/>
      </w:pPr>
      <w:r>
        <w:rPr>
          <w:rFonts w:ascii="Calibri" w:hAnsi="Calibri" w:eastAsia="Calibri"/>
          <w:color w:val="162236"/>
          <w:sz w:val="22"/>
        </w:rPr>
        <w:t>Global practices that prefer local production because of shipping, regulation, scheduling or patient-delivery reasons.</w:t>
      </w:r>
    </w:p>
    <w:p>
      <w:pPr>
        <w:numPr>
          <w:ilvl w:val="0"/>
          <w:numId w:val="11"/>
        </w:numPr>
        <w:spacing w:before="0" w:after="80" w:line="300" w:lineRule="auto"/>
        <w:keepLines w:val="1"/>
      </w:pPr>
      <w:r>
        <w:rPr>
          <w:rFonts w:ascii="Calibri" w:hAnsi="Calibri" w:eastAsia="Calibri"/>
          <w:color w:val="162236"/>
          <w:sz w:val="22"/>
        </w:rPr>
        <w:t>Implant teams that want review-ready planning support before committing to production.</w:t>
      </w:r>
    </w:p>
    <w:p>
      <w:pPr>
        <w:numPr>
          <w:ilvl w:val="0"/>
          <w:numId w:val="11"/>
        </w:numPr>
        <w:spacing w:before="0" w:after="80" w:line="300" w:lineRule="auto"/>
        <w:keepLines w:val="1"/>
      </w:pPr>
      <w:r>
        <w:rPr>
          <w:rFonts w:ascii="Calibri" w:hAnsi="Calibri" w:eastAsia="Calibri"/>
          <w:color w:val="162236"/>
          <w:sz w:val="22"/>
        </w:rPr>
        <w:t>Training ecosystems or implant companies that need repeatable planning support for cases, workshops or partner networks.</w:t>
      </w:r>
    </w:p>
    <w:p>
      <w:pPr>
        <w:pStyle w:val="Heading2"/>
        <w:keepNext w:val="1"/>
        <w:keepLines w:val="1"/>
      </w:pPr>
      <w:r>
        <w:t>Section 4 — Records needed before design starts</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000"/>
        <w:gridCol w:w="6000"/>
      </w:tblGrid>
      <w:tr>
        <w:trPr>
          <w:tblHeader w:val="true"/>
          <w:cantSplit/>
        </w:trPr>
        <w:tc>
          <w:tcPr>
            <w:tcW w:type="dxa" w:w="3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Record</w:t>
            </w:r>
          </w:p>
        </w:tc>
        <w:tc>
          <w:tcPr>
            <w:tcW w:type="dxa" w:w="6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Why it matters</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CBCT / DICOM</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Supports anatomy review and implant-planning reference.</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Intraoral scan or model scan</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Supports guide fit, prosthetic relationship and local production compatibility discussion.</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Bite record</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Supports occlusal and restorative-space understanding.</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Clinical photographs or smile reference</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Keeps aesthetic intent visible before the design becomes technical.</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Implant system and component preference</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Supports sleeve, component and production-compatibility review.</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Local production method</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Helps distinguish printer, resin, milling or lab requirements without promising compatibility before verification.</w:t>
            </w:r>
          </w:p>
        </w:tc>
      </w:tr>
      <w:tr>
        <w:trPr>
          <w:cantSplit/>
        </w:trPr>
        <w:tc>
          <w:tcPr>
            <w:tcW w:type="dxa" w:w="3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Clinician/lab instructions</w:t>
            </w:r>
          </w:p>
        </w:tc>
        <w:tc>
          <w:tcPr>
            <w:tcW w:type="dxa" w:w="60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Clarifies scope, constraints, sequence and approval expectations.</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5 — Global practice fit</w:t>
      </w:r>
    </w:p>
    <w:p>
      <w:pPr>
        <w:spacing w:before="0" w:after="120" w:line="300" w:lineRule="auto"/>
        <w:jc w:val="left"/>
      </w:pPr>
      <w:r>
        <w:rPr>
          <w:rFonts w:ascii="Calibri" w:hAnsi="Calibri" w:eastAsia="Calibri"/>
          <w:b w:val="0"/>
          <w:i w:val="0"/>
          <w:color w:val="162236"/>
          <w:sz w:val="23"/>
        </w:rPr>
        <w:t>Design-only is one of the strongest global workflows because it separates digital expertise from physical delivery. A practice in another country can keep patient care, printing, milling and final verification local while using Image3DConversion for planning and design support.</w:t>
      </w:r>
    </w:p>
    <w:p>
      <w:pPr>
        <w:numPr>
          <w:ilvl w:val="0"/>
          <w:numId w:val="12"/>
        </w:numPr>
        <w:spacing w:before="0" w:after="80" w:line="300" w:lineRule="auto"/>
        <w:keepLines w:val="1"/>
      </w:pPr>
      <w:r>
        <w:rPr>
          <w:rFonts w:ascii="Calibri" w:hAnsi="Calibri" w:eastAsia="Calibri"/>
          <w:color w:val="162236"/>
          <w:sz w:val="22"/>
        </w:rPr>
        <w:t>Clarify country, time zone and preferred communication route during onboarding.</w:t>
      </w:r>
    </w:p>
    <w:p>
      <w:pPr>
        <w:numPr>
          <w:ilvl w:val="0"/>
          <w:numId w:val="12"/>
        </w:numPr>
        <w:spacing w:before="0" w:after="80" w:line="300" w:lineRule="auto"/>
        <w:keepLines w:val="1"/>
      </w:pPr>
      <w:r>
        <w:rPr>
          <w:rFonts w:ascii="Calibri" w:hAnsi="Calibri" w:eastAsia="Calibri"/>
          <w:color w:val="162236"/>
          <w:sz w:val="22"/>
        </w:rPr>
        <w:t>Confirm file types, implant system and local production method before final output expectations are locked.</w:t>
      </w:r>
    </w:p>
    <w:p>
      <w:pPr>
        <w:numPr>
          <w:ilvl w:val="0"/>
          <w:numId w:val="12"/>
        </w:numPr>
        <w:spacing w:before="0" w:after="80" w:line="300" w:lineRule="auto"/>
        <w:keepLines w:val="1"/>
      </w:pPr>
      <w:r>
        <w:rPr>
          <w:rFonts w:ascii="Calibri" w:hAnsi="Calibri" w:eastAsia="Calibri"/>
          <w:color w:val="162236"/>
          <w:sz w:val="22"/>
        </w:rPr>
        <w:t>Separate review files from approved design files.</w:t>
      </w:r>
    </w:p>
    <w:p>
      <w:pPr>
        <w:numPr>
          <w:ilvl w:val="0"/>
          <w:numId w:val="12"/>
        </w:numPr>
        <w:spacing w:before="0" w:after="80" w:line="300" w:lineRule="auto"/>
        <w:keepLines w:val="1"/>
      </w:pPr>
      <w:r>
        <w:rPr>
          <w:rFonts w:ascii="Calibri" w:hAnsi="Calibri" w:eastAsia="Calibri"/>
          <w:color w:val="162236"/>
          <w:sz w:val="22"/>
        </w:rPr>
        <w:t>Keep local clinical and production responsibility visible.</w:t>
      </w:r>
    </w:p>
    <w:p>
      <w:pPr>
        <w:numPr>
          <w:ilvl w:val="0"/>
          <w:numId w:val="12"/>
        </w:numPr>
        <w:spacing w:before="0" w:after="80" w:line="300" w:lineRule="auto"/>
        <w:keepLines w:val="1"/>
      </w:pPr>
      <w:r>
        <w:rPr>
          <w:rFonts w:ascii="Calibri" w:hAnsi="Calibri" w:eastAsia="Calibri"/>
          <w:color w:val="162236"/>
          <w:sz w:val="22"/>
        </w:rPr>
        <w:t>Avoid publishing global delivery promises until regions, currencies, data handling and production compatibility are verified.</w:t>
      </w:r>
    </w:p>
    <w:p>
      <w:pPr>
        <w:pStyle w:val="Heading2"/>
        <w:keepNext w:val="1"/>
        <w:keepLines w:val="1"/>
      </w:pPr>
      <w:r>
        <w:t>Section 6 — What design-only is not</w:t>
      </w:r>
    </w:p>
    <w:p>
      <w:pPr>
        <w:numPr>
          <w:ilvl w:val="0"/>
          <w:numId w:val="13"/>
        </w:numPr>
        <w:spacing w:before="0" w:after="80" w:line="300" w:lineRule="auto"/>
        <w:keepLines w:val="1"/>
      </w:pPr>
      <w:r>
        <w:rPr>
          <w:rFonts w:ascii="Calibri" w:hAnsi="Calibri" w:eastAsia="Calibri"/>
          <w:color w:val="162236"/>
          <w:sz w:val="22"/>
        </w:rPr>
        <w:t>It is not a replacement for clinician diagnosis or treatment planning responsibility.</w:t>
      </w:r>
    </w:p>
    <w:p>
      <w:pPr>
        <w:numPr>
          <w:ilvl w:val="0"/>
          <w:numId w:val="13"/>
        </w:numPr>
        <w:spacing w:before="0" w:after="80" w:line="300" w:lineRule="auto"/>
        <w:keepLines w:val="1"/>
      </w:pPr>
      <w:r>
        <w:rPr>
          <w:rFonts w:ascii="Calibri" w:hAnsi="Calibri" w:eastAsia="Calibri"/>
          <w:color w:val="162236"/>
          <w:sz w:val="22"/>
        </w:rPr>
        <w:t>It does not mean every local printer, resin, milling machine or production partner will be compatible without verification.</w:t>
      </w:r>
    </w:p>
    <w:p>
      <w:pPr>
        <w:numPr>
          <w:ilvl w:val="0"/>
          <w:numId w:val="13"/>
        </w:numPr>
        <w:spacing w:before="0" w:after="80" w:line="300" w:lineRule="auto"/>
        <w:keepLines w:val="1"/>
      </w:pPr>
      <w:r>
        <w:rPr>
          <w:rFonts w:ascii="Calibri" w:hAnsi="Calibri" w:eastAsia="Calibri"/>
          <w:color w:val="162236"/>
          <w:sz w:val="22"/>
        </w:rPr>
        <w:t>It is not an automatic approval for surgery or immediate loading.</w:t>
      </w:r>
    </w:p>
    <w:p>
      <w:pPr>
        <w:numPr>
          <w:ilvl w:val="0"/>
          <w:numId w:val="13"/>
        </w:numPr>
        <w:spacing w:before="0" w:after="80" w:line="300" w:lineRule="auto"/>
        <w:keepLines w:val="1"/>
      </w:pPr>
      <w:r>
        <w:rPr>
          <w:rFonts w:ascii="Calibri" w:hAnsi="Calibri" w:eastAsia="Calibri"/>
          <w:color w:val="162236"/>
          <w:sz w:val="22"/>
        </w:rPr>
        <w:t>It is not a public clinical-file upload route.</w:t>
      </w:r>
    </w:p>
    <w:p>
      <w:pPr>
        <w:numPr>
          <w:ilvl w:val="0"/>
          <w:numId w:val="13"/>
        </w:numPr>
        <w:spacing w:before="0" w:after="80" w:line="300" w:lineRule="auto"/>
        <w:keepLines w:val="1"/>
      </w:pPr>
      <w:r>
        <w:rPr>
          <w:rFonts w:ascii="Calibri" w:hAnsi="Calibri" w:eastAsia="Calibri"/>
          <w:color w:val="162236"/>
          <w:sz w:val="22"/>
        </w:rPr>
        <w:t>It is not a promise of country-specific regulatory, shipping or data-processing readiness unless verified.</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SCOPE BOUNDARY  </w:t>
      </w:r>
      <w:r>
        <w:rPr>
          <w:rFonts w:ascii="Calibri" w:hAnsi="Calibri" w:eastAsia="Calibri"/>
          <w:b w:val="0"/>
          <w:color w:val="162236"/>
          <w:sz w:val="22"/>
        </w:rPr>
        <w:t>Design-only means the digital support scope is limited by the agreed case request, records, review cycle and approval. Local production validation, clinical delivery and intraoperative decisions remain with the responsible local team.</w:t>
      </w:r>
    </w:p>
    <w:p>
      <w:pPr>
        <w:pStyle w:val="Heading2"/>
        <w:keepNext w:val="1"/>
        <w:keepLines w:val="1"/>
      </w:pPr>
      <w:r>
        <w:t>Section 7 — CTA block</w:t>
      </w:r>
    </w:p>
    <w:p>
      <w:pPr>
        <w:spacing w:before="0" w:after="80"/>
        <w:keepNext w:val="1"/>
      </w:pPr>
      <w:r>
        <w:rPr>
          <w:rFonts w:ascii="Calibri" w:hAnsi="Calibri" w:eastAsia="Calibri"/>
          <w:b/>
          <w:color w:val="2E74B5"/>
          <w:sz w:val="19"/>
        </w:rPr>
        <w:t>CTA HEADLINE</w:t>
      </w:r>
    </w:p>
    <w:p>
      <w:pPr>
        <w:spacing w:before="0" w:after="100" w:line="300" w:lineRule="auto"/>
        <w:jc w:val="left"/>
        <w:keepLines w:val="1"/>
      </w:pPr>
      <w:r>
        <w:rPr>
          <w:rFonts w:ascii="Calibri" w:hAnsi="Calibri" w:eastAsia="Calibri"/>
          <w:b w:val="0"/>
          <w:i w:val="0"/>
          <w:color w:val="162236"/>
          <w:sz w:val="24"/>
        </w:rPr>
        <w:t>Need planning and design support without changing your local production workflow?</w:t>
      </w:r>
    </w:p>
    <w:p>
      <w:pPr>
        <w:spacing w:before="0" w:after="80"/>
        <w:keepNext w:val="1"/>
      </w:pPr>
      <w:r>
        <w:rPr>
          <w:rFonts w:ascii="Calibri" w:hAnsi="Calibri" w:eastAsia="Calibri"/>
          <w:b/>
          <w:color w:val="2E74B5"/>
          <w:sz w:val="19"/>
        </w:rPr>
        <w:t>CTA BODY</w:t>
      </w:r>
    </w:p>
    <w:p>
      <w:pPr>
        <w:spacing w:before="0" w:after="100" w:line="300" w:lineRule="auto"/>
        <w:jc w:val="left"/>
        <w:keepLines w:val="1"/>
      </w:pPr>
      <w:r>
        <w:rPr>
          <w:rFonts w:ascii="Calibri" w:hAnsi="Calibri" w:eastAsia="Calibri"/>
          <w:b w:val="0"/>
          <w:i w:val="0"/>
          <w:color w:val="162236"/>
          <w:sz w:val="24"/>
        </w:rPr>
        <w:t>Start with the patient outcome, share the case records through the authenticated workflow, and keep production under your preferred local system.</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Request Design-Only Files</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Discuss Global Workflow</w:t>
      </w:r>
    </w:p>
    <w:p>
      <w:pPr>
        <w:pStyle w:val="Heading1"/>
        <w:keepNext w:val="1"/>
        <w:keepLines w:val="1"/>
      </w:pPr>
      <w:r>
        <w:t>3. Design psychology and visual layout</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300"/>
        <w:gridCol w:w="3800"/>
      </w:tblGrid>
      <w:tr>
        <w:trPr>
          <w:tblHeader w:val="true"/>
          <w:cantSplit/>
        </w:trPr>
        <w:tc>
          <w:tcPr>
            <w:tcW w:type="dxa" w:w="1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Section</w:t>
            </w:r>
          </w:p>
        </w:tc>
        <w:tc>
          <w:tcPr>
            <w:tcW w:type="dxa" w:w="3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Psychological job</w:t>
            </w:r>
          </w:p>
        </w:tc>
        <w:tc>
          <w:tcPr>
            <w:tcW w:type="dxa" w:w="3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Visual direction</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Signal specialist support without taking control away from the practice.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3D blue-white split workflow: smile and arch plan on the left, export package and local production endpoint on the right.</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Outcome first</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Prevent design-only from sounding like a technical file product.</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Smile/prosthetic endpoint above implant and guide layers.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it includes</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Make scope tangible while avoiding commodity pricing language.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Modular cards for planning, guide design, stackable, provisional, advanced and production notes.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Best-fit users</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Let practices, labs and global partners recognise themselves quickly.</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Three role cards: practice, lab, global team.</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Records needed</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Move the visitor toward readiness without blame.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Checklist cards derived from the Case Data page.</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Global fit</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Show operational credibility across borders.</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Remote review path with time-zone and local-production cues; avoid decorative flag maps.</w:t>
            </w:r>
          </w:p>
        </w:tc>
      </w:tr>
      <w:tr>
        <w:trPr>
          <w:cantSplit/>
        </w:trP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Scope boundary</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Build trust by saying what the service does not replace.</w:t>
            </w:r>
          </w:p>
        </w:tc>
        <w:tc>
          <w:tcPr>
            <w:tcW w:type="dxa" w:w="3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Calm blue callout; no warning-colour branding.</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3D EFFECT GUIDANCE  </w:t>
      </w:r>
      <w:r>
        <w:rPr>
          <w:rFonts w:ascii="Calibri" w:hAnsi="Calibri" w:eastAsia="Calibri"/>
          <w:b w:val="0"/>
          <w:color w:val="162236"/>
          <w:sz w:val="22"/>
        </w:rPr>
        <w:t>Use depth to show workflow ownership: I3DC digital planning layers floating above a local production path. The visual should feel premium and technical, but not dark, neon or social-media styled. Blue + White only.</w:t>
      </w:r>
    </w:p>
    <w:p>
      <w:pPr>
        <w:pStyle w:val="Heading1"/>
        <w:keepNext w:val="1"/>
        <w:keepLines w:val="1"/>
      </w:pPr>
      <w:r>
        <w:t>4. Mobile and interaction behaviour</w:t>
      </w:r>
    </w:p>
    <w:p>
      <w:pPr>
        <w:numPr>
          <w:ilvl w:val="0"/>
          <w:numId w:val="14"/>
        </w:numPr>
        <w:spacing w:before="0" w:after="80" w:line="300" w:lineRule="auto"/>
        <w:keepLines w:val="1"/>
      </w:pPr>
      <w:r>
        <w:rPr>
          <w:rFonts w:ascii="Calibri" w:hAnsi="Calibri" w:eastAsia="Calibri"/>
          <w:color w:val="162236"/>
          <w:sz w:val="22"/>
        </w:rPr>
        <w:t>Hero must show the local-control message within the first screen.</w:t>
      </w:r>
    </w:p>
    <w:p>
      <w:pPr>
        <w:numPr>
          <w:ilvl w:val="0"/>
          <w:numId w:val="14"/>
        </w:numPr>
        <w:spacing w:before="0" w:after="80" w:line="300" w:lineRule="auto"/>
        <w:keepLines w:val="1"/>
      </w:pPr>
      <w:r>
        <w:rPr>
          <w:rFonts w:ascii="Calibri" w:hAnsi="Calibri" w:eastAsia="Calibri"/>
          <w:color w:val="162236"/>
          <w:sz w:val="22"/>
        </w:rPr>
        <w:t>Use stacked scope cards instead of a dense service list on mobile.</w:t>
      </w:r>
    </w:p>
    <w:p>
      <w:pPr>
        <w:numPr>
          <w:ilvl w:val="0"/>
          <w:numId w:val="14"/>
        </w:numPr>
        <w:spacing w:before="0" w:after="80" w:line="300" w:lineRule="auto"/>
        <w:keepLines w:val="1"/>
      </w:pPr>
      <w:r>
        <w:rPr>
          <w:rFonts w:ascii="Calibri" w:hAnsi="Calibri" w:eastAsia="Calibri"/>
          <w:color w:val="162236"/>
          <w:sz w:val="22"/>
        </w:rPr>
        <w:t>Place the global-practice link after the first design-only explanation, not only at the footer.</w:t>
      </w:r>
    </w:p>
    <w:p>
      <w:pPr>
        <w:numPr>
          <w:ilvl w:val="0"/>
          <w:numId w:val="14"/>
        </w:numPr>
        <w:spacing w:before="0" w:after="80" w:line="300" w:lineRule="auto"/>
        <w:keepLines w:val="1"/>
      </w:pPr>
      <w:r>
        <w:rPr>
          <w:rFonts w:ascii="Calibri" w:hAnsi="Calibri" w:eastAsia="Calibri"/>
          <w:color w:val="162236"/>
          <w:sz w:val="22"/>
        </w:rPr>
        <w:t>Keep the record checklist compact and linked to the Case Data &amp; Diagnostic Preparation page.</w:t>
      </w:r>
    </w:p>
    <w:p>
      <w:pPr>
        <w:numPr>
          <w:ilvl w:val="0"/>
          <w:numId w:val="14"/>
        </w:numPr>
        <w:spacing w:before="0" w:after="80" w:line="300" w:lineRule="auto"/>
        <w:keepLines w:val="1"/>
      </w:pPr>
      <w:r>
        <w:rPr>
          <w:rFonts w:ascii="Calibri" w:hAnsi="Calibri" w:eastAsia="Calibri"/>
          <w:color w:val="162236"/>
          <w:sz w:val="22"/>
        </w:rPr>
        <w:t>CTA buttons should distinguish design-only from design-to-delivery clearly.</w:t>
      </w:r>
    </w:p>
    <w:p>
      <w:pPr>
        <w:numPr>
          <w:ilvl w:val="0"/>
          <w:numId w:val="14"/>
        </w:numPr>
        <w:spacing w:before="0" w:after="80" w:line="300" w:lineRule="auto"/>
        <w:keepLines w:val="1"/>
      </w:pPr>
      <w:r>
        <w:rPr>
          <w:rFonts w:ascii="Calibri" w:hAnsi="Calibri" w:eastAsia="Calibri"/>
          <w:color w:val="162236"/>
          <w:sz w:val="22"/>
        </w:rPr>
        <w:t>Any public discussion form must collect professional identity and non-identifying case summary only.</w:t>
      </w:r>
    </w:p>
    <w:p>
      <w:pPr>
        <w:pStyle w:val="Heading1"/>
        <w:keepNext w:val="1"/>
        <w:keepLines w:val="1"/>
      </w:pPr>
      <w:r>
        <w:t>5. CTA routing and portal boundary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2800"/>
        <w:gridCol w:w="3900"/>
      </w:tblGrid>
      <w:tr>
        <w:trPr>
          <w:tblHeader w:val="true"/>
          <w:cantSplit/>
        </w:trPr>
        <w:tc>
          <w:tcPr>
            <w:tcW w:type="dxa" w:w="2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action</w:t>
            </w:r>
          </w:p>
        </w:tc>
        <w:tc>
          <w:tcPr>
            <w:tcW w:type="dxa" w:w="2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c>
          <w:tcPr>
            <w:tcW w:type="dxa" w:w="3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Behaviour</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Request Design-Only Files</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Image3DConversion Case Portal</w:t>
            </w:r>
          </w:p>
        </w:tc>
        <w:tc>
          <w:tcPr>
            <w:tcW w:type="dxa" w:w="3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Authenticate first, then select design-only scope or equivalent case-start path.</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Discuss Global Workflow</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Global Practice Workflows page or professional discussion form</w:t>
            </w:r>
          </w:p>
        </w:tc>
        <w:tc>
          <w:tcPr>
            <w:tcW w:type="dxa" w:w="3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for practices outside India, labs or teams needing local-production coordination.</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Prepare Case Data</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Case Data &amp; Diagnostic Preparation page</w:t>
            </w:r>
          </w:p>
        </w:tc>
        <w:tc>
          <w:tcPr>
            <w:tcW w:type="dxa" w:w="3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Help unsure visitors understand records before entering the portal.</w:t>
            </w:r>
          </w:p>
        </w:tc>
      </w:tr>
      <w:tr>
        <w:trPr>
          <w:cantSplit/>
        </w:trPr>
        <w:tc>
          <w:tcPr>
            <w:tcW w:type="dxa" w:w="2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Compare Design-to-Delivery</w:t>
            </w:r>
          </w:p>
        </w:tc>
        <w:tc>
          <w:tcPr>
            <w:tcW w:type="dxa" w:w="28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Design-to-Delivery Workflow page</w:t>
            </w:r>
          </w:p>
        </w:tc>
        <w:tc>
          <w:tcPr>
            <w:tcW w:type="dxa" w:w="3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when the visitor may need production coordination rather than files only.</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6. Publication controls</w:t>
      </w:r>
    </w:p>
    <w:p>
      <w:pPr>
        <w:numPr>
          <w:ilvl w:val="0"/>
          <w:numId w:val="15"/>
        </w:numPr>
        <w:spacing w:before="0" w:after="80" w:line="300" w:lineRule="auto"/>
        <w:keepLines w:val="1"/>
      </w:pPr>
      <w:r>
        <w:rPr>
          <w:rFonts w:ascii="Calibri" w:hAnsi="Calibri" w:eastAsia="Calibri"/>
          <w:color w:val="162236"/>
          <w:sz w:val="22"/>
        </w:rPr>
        <w:t>Do not add any public-page control for submitting patient records or clinical files on this route.</w:t>
      </w:r>
    </w:p>
    <w:p>
      <w:pPr>
        <w:numPr>
          <w:ilvl w:val="0"/>
          <w:numId w:val="15"/>
        </w:numPr>
        <w:spacing w:before="0" w:after="80" w:line="300" w:lineRule="auto"/>
        <w:keepLines w:val="1"/>
      </w:pPr>
      <w:r>
        <w:rPr>
          <w:rFonts w:ascii="Calibri" w:hAnsi="Calibri" w:eastAsia="Calibri"/>
          <w:color w:val="162236"/>
          <w:sz w:val="22"/>
        </w:rPr>
        <w:t>Do not promise ready-to-print compatibility across all printers, resins, milling systems or labs.</w:t>
      </w:r>
    </w:p>
    <w:p>
      <w:pPr>
        <w:numPr>
          <w:ilvl w:val="0"/>
          <w:numId w:val="15"/>
        </w:numPr>
        <w:spacing w:before="0" w:after="80" w:line="300" w:lineRule="auto"/>
        <w:keepLines w:val="1"/>
      </w:pPr>
      <w:r>
        <w:rPr>
          <w:rFonts w:ascii="Calibri" w:hAnsi="Calibri" w:eastAsia="Calibri"/>
          <w:color w:val="162236"/>
          <w:sz w:val="22"/>
        </w:rPr>
        <w:t>Do not imply design-only includes clinical approval, diagnosis, legal clearance or production validation.</w:t>
      </w:r>
    </w:p>
    <w:p>
      <w:pPr>
        <w:numPr>
          <w:ilvl w:val="0"/>
          <w:numId w:val="15"/>
        </w:numPr>
        <w:spacing w:before="0" w:after="80" w:line="300" w:lineRule="auto"/>
        <w:keepLines w:val="1"/>
      </w:pPr>
      <w:r>
        <w:rPr>
          <w:rFonts w:ascii="Calibri" w:hAnsi="Calibri" w:eastAsia="Calibri"/>
          <w:color w:val="162236"/>
          <w:sz w:val="22"/>
        </w:rPr>
        <w:t>Do not publish country-specific availability, currency, delivery-time or privacy claims without verification.</w:t>
      </w:r>
    </w:p>
    <w:p>
      <w:pPr>
        <w:numPr>
          <w:ilvl w:val="0"/>
          <w:numId w:val="15"/>
        </w:numPr>
        <w:spacing w:before="0" w:after="80" w:line="300" w:lineRule="auto"/>
        <w:keepLines w:val="1"/>
      </w:pPr>
      <w:r>
        <w:rPr>
          <w:rFonts w:ascii="Calibri" w:hAnsi="Calibri" w:eastAsia="Calibri"/>
          <w:color w:val="162236"/>
          <w:sz w:val="22"/>
        </w:rPr>
        <w:t>Do not use patient or case images without permission and de-identification.</w:t>
      </w:r>
    </w:p>
    <w:p>
      <w:pPr>
        <w:numPr>
          <w:ilvl w:val="0"/>
          <w:numId w:val="15"/>
        </w:numPr>
        <w:spacing w:before="0" w:after="80" w:line="300" w:lineRule="auto"/>
        <w:keepLines w:val="1"/>
      </w:pPr>
      <w:r>
        <w:rPr>
          <w:rFonts w:ascii="Calibri" w:hAnsi="Calibri" w:eastAsia="Calibri"/>
          <w:color w:val="162236"/>
          <w:sz w:val="22"/>
        </w:rPr>
        <w:t>Do not present design-only as a low-cost commodity; keep the value tied to specialist workflow support.</w:t>
      </w:r>
    </w:p>
    <w:p>
      <w:pPr>
        <w:numPr>
          <w:ilvl w:val="0"/>
          <w:numId w:val="15"/>
        </w:numPr>
        <w:spacing w:before="0" w:after="80" w:line="300" w:lineRule="auto"/>
        <w:keepLines w:val="1"/>
      </w:pPr>
      <w:r>
        <w:rPr>
          <w:rFonts w:ascii="Calibri" w:hAnsi="Calibri" w:eastAsia="Calibri"/>
          <w:color w:val="162236"/>
          <w:sz w:val="22"/>
        </w:rPr>
        <w:t>Verify portal scope labels before naming exact dropdowns or statuses.</w:t>
      </w:r>
    </w:p>
    <w:p>
      <w:pPr>
        <w:numPr>
          <w:ilvl w:val="0"/>
          <w:numId w:val="16"/>
        </w:numPr>
        <w:spacing w:after="80" w:line="300" w:lineRule="auto"/>
      </w:pPr>
      <w:hyperlink r:id="rId11">
        <w:r>
          <w:rPr>
            <w:rFonts w:ascii="Calibri" w:hAnsi="Calibri"/>
            <w:color w:val="2E74B5"/>
            <w:u w:val="single"/>
          </w:rPr>
          <w:t>Google Search Central — creating helpful, reliable, people-first content</w:t>
        </w:r>
      </w:hyperlink>
      <w:r>
        <w:rPr>
          <w:rFonts w:ascii="Calibri" w:hAnsi="Calibri" w:eastAsia="Calibri"/>
          <w:color w:val="162236"/>
          <w:sz w:val="21"/>
        </w:rPr>
        <w:t xml:space="preserve"> — Use to keep the page useful for professional workflow decisions, not search-engine stuffing.</w:t>
      </w:r>
    </w:p>
    <w:p>
      <w:pPr>
        <w:numPr>
          <w:ilvl w:val="0"/>
          <w:numId w:val="17"/>
        </w:numPr>
        <w:spacing w:after="80" w:line="300" w:lineRule="auto"/>
      </w:pPr>
      <w:hyperlink r:id="rId12">
        <w:r>
          <w:rPr>
            <w:rFonts w:ascii="Calibri" w:hAnsi="Calibri"/>
            <w:color w:val="2E74B5"/>
            <w:u w:val="single"/>
          </w:rPr>
          <w:t>Google Search Central — SEO Starter Guide</w:t>
        </w:r>
      </w:hyperlink>
      <w:r>
        <w:rPr>
          <w:rFonts w:ascii="Calibri" w:hAnsi="Calibri" w:eastAsia="Calibri"/>
          <w:color w:val="162236"/>
          <w:sz w:val="21"/>
        </w:rPr>
        <w:t xml:space="preserve"> — Use for titles, descriptions, headings, crawlable text and internal-link structure.</w:t>
      </w:r>
    </w:p>
    <w:p>
      <w:pPr>
        <w:numPr>
          <w:ilvl w:val="0"/>
          <w:numId w:val="18"/>
        </w:numPr>
        <w:spacing w:after="80" w:line="300" w:lineRule="auto"/>
      </w:pPr>
      <w:hyperlink r:id="rId13">
        <w:r>
          <w:rPr>
            <w:rFonts w:ascii="Calibri" w:hAnsi="Calibri"/>
            <w:color w:val="2E74B5"/>
            <w:u w:val="single"/>
          </w:rPr>
          <w:t>ITI consensus database — computer-guided implant surgery</w:t>
        </w:r>
      </w:hyperlink>
      <w:r>
        <w:rPr>
          <w:rFonts w:ascii="Calibri" w:hAnsi="Calibri" w:eastAsia="Calibri"/>
          <w:color w:val="162236"/>
          <w:sz w:val="21"/>
        </w:rPr>
        <w:t xml:space="preserve"> — Use as a boundary source: guided workflows support clinical planning and execution but require clinician responsibility and verification.</w:t>
      </w:r>
    </w:p>
    <w:p>
      <w:pPr>
        <w:pStyle w:val="Heading1"/>
        <w:keepNext w:val="1"/>
        <w:keepLines w:val="1"/>
      </w:pPr>
      <w:r>
        <w:t>7. Developer handoff summary</w:t>
      </w:r>
    </w:p>
    <w:p>
      <w:pPr>
        <w:numPr>
          <w:ilvl w:val="0"/>
          <w:numId w:val="19"/>
        </w:numPr>
        <w:spacing w:before="0" w:after="80" w:line="300" w:lineRule="auto"/>
        <w:keepLines w:val="1"/>
      </w:pPr>
      <w:r>
        <w:rPr>
          <w:rFonts w:ascii="Calibri" w:hAnsi="Calibri" w:eastAsia="Calibri"/>
          <w:color w:val="162236"/>
          <w:sz w:val="22"/>
        </w:rPr>
        <w:t>Implement as a public workflow page under the global shell created in Blueprint 01.</w:t>
      </w:r>
    </w:p>
    <w:p>
      <w:pPr>
        <w:numPr>
          <w:ilvl w:val="0"/>
          <w:numId w:val="19"/>
        </w:numPr>
        <w:spacing w:before="0" w:after="80" w:line="300" w:lineRule="auto"/>
        <w:keepLines w:val="1"/>
      </w:pPr>
      <w:r>
        <w:rPr>
          <w:rFonts w:ascii="Calibri" w:hAnsi="Calibri" w:eastAsia="Calibri"/>
          <w:color w:val="162236"/>
          <w:sz w:val="22"/>
        </w:rPr>
        <w:t>Use Blue + White only; depth, glow, glass or gradient effects must derive from Image3DConversion Blue.</w:t>
      </w:r>
    </w:p>
    <w:p>
      <w:pPr>
        <w:numPr>
          <w:ilvl w:val="0"/>
          <w:numId w:val="19"/>
        </w:numPr>
        <w:spacing w:before="0" w:after="80" w:line="300" w:lineRule="auto"/>
        <w:keepLines w:val="1"/>
      </w:pPr>
      <w:r>
        <w:rPr>
          <w:rFonts w:ascii="Calibri" w:hAnsi="Calibri" w:eastAsia="Calibri"/>
          <w:color w:val="162236"/>
          <w:sz w:val="22"/>
        </w:rPr>
        <w:t>Reuse record-requirement components from Case Data &amp; Diagnostic Preparation.</w:t>
      </w:r>
    </w:p>
    <w:p>
      <w:pPr>
        <w:numPr>
          <w:ilvl w:val="0"/>
          <w:numId w:val="19"/>
        </w:numPr>
        <w:spacing w:before="0" w:after="80" w:line="300" w:lineRule="auto"/>
        <w:keepLines w:val="1"/>
      </w:pPr>
      <w:r>
        <w:rPr>
          <w:rFonts w:ascii="Calibri" w:hAnsi="Calibri" w:eastAsia="Calibri"/>
          <w:color w:val="162236"/>
          <w:sz w:val="22"/>
        </w:rPr>
        <w:t>Add internal links to Case Data, Design-to-Delivery, Global Practice Workflows, Guided Implant Workflow and Case Portal.</w:t>
      </w:r>
    </w:p>
    <w:p>
      <w:pPr>
        <w:numPr>
          <w:ilvl w:val="0"/>
          <w:numId w:val="19"/>
        </w:numPr>
        <w:spacing w:before="0" w:after="80" w:line="300" w:lineRule="auto"/>
        <w:keepLines w:val="1"/>
      </w:pPr>
      <w:r>
        <w:rPr>
          <w:rFonts w:ascii="Calibri" w:hAnsi="Calibri" w:eastAsia="Calibri"/>
          <w:color w:val="162236"/>
          <w:sz w:val="22"/>
        </w:rPr>
        <w:t>Keep final visitor copy editable as HTML text, not baked into images.</w:t>
      </w:r>
    </w:p>
    <w:p>
      <w:pPr>
        <w:numPr>
          <w:ilvl w:val="0"/>
          <w:numId w:val="19"/>
        </w:numPr>
        <w:spacing w:before="0" w:after="80" w:line="300" w:lineRule="auto"/>
        <w:keepLines w:val="1"/>
      </w:pPr>
      <w:r>
        <w:rPr>
          <w:rFonts w:ascii="Calibri" w:hAnsi="Calibri" w:eastAsia="Calibri"/>
          <w:color w:val="162236"/>
          <w:sz w:val="22"/>
        </w:rPr>
        <w:t>Respect the public/portal boundary: no clinical upload surface on this public route.</w:t>
      </w:r>
    </w:p>
    <w:p>
      <w:pPr>
        <w:numPr>
          <w:ilvl w:val="0"/>
          <w:numId w:val="19"/>
        </w:numPr>
        <w:spacing w:before="0" w:after="80" w:line="300" w:lineRule="auto"/>
        <w:keepLines w:val="1"/>
      </w:pPr>
      <w:r>
        <w:rPr>
          <w:rFonts w:ascii="Calibri" w:hAnsi="Calibri" w:eastAsia="Calibri"/>
          <w:color w:val="162236"/>
          <w:sz w:val="22"/>
        </w:rPr>
        <w:t>Provide desktop and mobile screenshots before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DESIGN-ONLY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bullet"/>
      <w:lvlText w:val="•"/>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rPr>
        <w:rFonts w:ascii="Calibri" w:hAnsi="Calibri" w:hint="default"/>
      </w:r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rPr>
        <w:rFonts w:ascii="Calibri" w:hAnsi="Calibri" w:hint="default"/>
      </w:rPr>
    </w:lvl>
  </w:abstractNum>
  <w:num w:numId="18">
    <w:abstractNumId w:val="17"/>
  </w:num>
  <w:abstractNum w:abstractNumId="18">
    <w:multiLevelType w:val="singleLevel"/>
    <w:lvl w:ilvl="0">
      <w:start w:val="1"/>
      <w:numFmt w:val="bullet"/>
      <w:lvlText w:val="•"/>
      <w:suff w:val="tab"/>
      <w:lvlJc w:val="left"/>
      <w:pPr>
        <w:tabs>
          <w:tab w:val="num" w:pos="540"/>
        </w:tabs>
        <w:ind w:left="540" w:hanging="270"/>
      </w:pPr>
      <w:rPr>
        <w:rFonts w:ascii="Calibri" w:hAnsi="Calibri" w:hint="default"/>
      </w:r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creating-helpful-content" TargetMode="External"/><Relationship Id="rId12" Type="http://schemas.openxmlformats.org/officeDocument/2006/relationships/hyperlink" Target="https://developers.google.com/search/docs/fundamentals/seo-starter-guide" TargetMode="External"/><Relationship Id="rId13" Type="http://schemas.openxmlformats.org/officeDocument/2006/relationships/hyperlink" Target="https://academy.iti.org/academy/consensus-database/consensus-statement/-/consensus/computer-guided-implant-surgery/1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