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Design-to-Delivery Workflow</w:t>
      </w:r>
    </w:p>
    <w:p>
      <w:pPr>
        <w:spacing w:before="0" w:after="320" w:line="300" w:lineRule="auto"/>
        <w:jc w:val="left"/>
      </w:pPr>
      <w:r>
        <w:rPr>
          <w:rFonts w:ascii="Calibri" w:hAnsi="Calibri" w:eastAsia="Calibri"/>
          <w:b w:val="0"/>
          <w:i w:val="0"/>
          <w:color w:val="5F6B7A"/>
          <w:sz w:val="26"/>
        </w:rPr>
        <w:t>Final page copy, SEO hierarchy, design psychology, 3D visual direction, coordinated-delivery positioning, mobile behaviour, Case Portal alignment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https://www.image3dconversion.com/design-to-delivery/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Start Design-to-Delivery</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converts practices that want planning, guide/prosthetic design and production coordination through one controlled workflow. It must sell coordination, not convenience alone, while keeping clinician approval and local responsibility visible.</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Explain design-to-delivery as a coordinated professional workflow, not a generic manufacturing service.</w:t>
      </w:r>
    </w:p>
    <w:p>
      <w:pPr>
        <w:numPr>
          <w:ilvl w:val="0"/>
          <w:numId w:val="10"/>
        </w:numPr>
        <w:spacing w:before="0" w:after="80" w:line="300" w:lineRule="auto"/>
        <w:keepLines w:val="1"/>
      </w:pPr>
      <w:r>
        <w:rPr>
          <w:rFonts w:ascii="Calibri" w:hAnsi="Calibri" w:eastAsia="Calibri"/>
          <w:color w:val="162236"/>
          <w:sz w:val="22"/>
        </w:rPr>
        <w:t>Begin with the patient smile and prosthetic endpoint before showing files, guides, materials or delivery steps.</w:t>
      </w:r>
    </w:p>
    <w:p>
      <w:pPr>
        <w:numPr>
          <w:ilvl w:val="0"/>
          <w:numId w:val="10"/>
        </w:numPr>
        <w:spacing w:before="0" w:after="80" w:line="300" w:lineRule="auto"/>
        <w:keepLines w:val="1"/>
      </w:pPr>
      <w:r>
        <w:rPr>
          <w:rFonts w:ascii="Calibri" w:hAnsi="Calibri" w:eastAsia="Calibri"/>
          <w:color w:val="162236"/>
          <w:sz w:val="22"/>
        </w:rPr>
        <w:t>Show why fewer disconnected handoffs can improve clarity for complex implant, full-arch and immediate-loading workflows.</w:t>
      </w:r>
    </w:p>
    <w:p>
      <w:pPr>
        <w:numPr>
          <w:ilvl w:val="0"/>
          <w:numId w:val="10"/>
        </w:numPr>
        <w:spacing w:before="0" w:after="80" w:line="300" w:lineRule="auto"/>
        <w:keepLines w:val="1"/>
      </w:pPr>
      <w:r>
        <w:rPr>
          <w:rFonts w:ascii="Calibri" w:hAnsi="Calibri" w:eastAsia="Calibri"/>
          <w:color w:val="162236"/>
          <w:sz w:val="22"/>
        </w:rPr>
        <w:t>Distinguish design-to-delivery from design-only without making either route feel inferior.</w:t>
      </w:r>
    </w:p>
    <w:p>
      <w:pPr>
        <w:numPr>
          <w:ilvl w:val="0"/>
          <w:numId w:val="10"/>
        </w:numPr>
        <w:spacing w:before="0" w:after="80" w:line="300" w:lineRule="auto"/>
        <w:keepLines w:val="1"/>
      </w:pPr>
      <w:r>
        <w:rPr>
          <w:rFonts w:ascii="Calibri" w:hAnsi="Calibri" w:eastAsia="Calibri"/>
          <w:color w:val="162236"/>
          <w:sz w:val="22"/>
        </w:rPr>
        <w:t>Clarify review, approval, production-readiness and delivery responsibility before any case is started.</w:t>
      </w:r>
    </w:p>
    <w:p>
      <w:pPr>
        <w:numPr>
          <w:ilvl w:val="0"/>
          <w:numId w:val="10"/>
        </w:numPr>
        <w:spacing w:before="0" w:after="80" w:line="300" w:lineRule="auto"/>
        <w:keepLines w:val="1"/>
      </w:pPr>
      <w:r>
        <w:rPr>
          <w:rFonts w:ascii="Calibri" w:hAnsi="Calibri" w:eastAsia="Calibri"/>
          <w:color w:val="162236"/>
          <w:sz w:val="22"/>
        </w:rPr>
        <w:t>Route clinical records and patient-identifying files only through the authenticated Image3DConversion Case Portal.</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/design-to-delivery/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Design-to-Delivery Implant Workflow | Image3DConversion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Coordinate digital implant planning, surgical guide design, prosthetic workflow support and production handoff through Image3DConversion's design-to-delivery pathway.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From planned smile to coordinated delivery.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design-to-delivery implant 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dental surgical guide production workflow; implant planning and guide delivery; full arch guide delivery; immediate loading prosthetic workflow support; digital dental production coordination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Design-to-Delivery</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Compare Design-Only</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answer a conversion-stage question: can one specialist workflow help move the case from approved planning to production-ready delivery without losing the aesthetic objective or clinical control?</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DESIGN-TO-DELIVERY WORKFLOW</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From planned smile to coordinated delivery.</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Image3DConversion helps dental practices coordinate digital implant planning, surgical guide design, prosthetic workflow support and production handoff from one approved treatment direction. The workflow begins with the smile and prosthetic objective, then aligns the technical steps needed to move the case toward delivery.</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For dental professionals and authorised workflow partners. Diagnosis, indication, patient consent, clinical approval and final delivery decisions remain with the responsible treating team.</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Design-to-Delivery</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Compare Design-Only</w:t>
      </w:r>
    </w:p>
    <w:p>
      <w:pPr>
        <w:pStyle w:val="Heading2"/>
        <w:keepNext w:val="1"/>
        <w:keepLines w:val="1"/>
      </w:pPr>
      <w:r>
        <w:t>Section 1 — Delivery should not begin after the design is finished</w:t>
      </w:r>
    </w:p>
    <w:p>
      <w:pPr>
        <w:spacing w:before="0" w:after="100" w:line="300" w:lineRule="auto"/>
        <w:jc w:val="left"/>
      </w:pPr>
      <w:r>
        <w:rPr>
          <w:rFonts w:ascii="Calibri" w:hAnsi="Calibri" w:eastAsia="Calibri"/>
          <w:b/>
          <w:i w:val="0"/>
          <w:color w:val="1F4D78"/>
          <w:sz w:val="30"/>
        </w:rPr>
        <w:t>The patient expects an outcome, not a chain of disconnected files.</w:t>
      </w:r>
    </w:p>
    <w:p>
      <w:pPr>
        <w:spacing w:before="0" w:after="120" w:line="300" w:lineRule="auto"/>
        <w:jc w:val="left"/>
      </w:pPr>
      <w:r>
        <w:rPr>
          <w:rFonts w:ascii="Calibri" w:hAnsi="Calibri" w:eastAsia="Calibri"/>
          <w:b w:val="0"/>
          <w:i w:val="0"/>
          <w:color w:val="162236"/>
          <w:sz w:val="23"/>
        </w:rPr>
        <w:t>When implant planning, guide design, prosthetic reference and production coordination are treated as separate tasks, the original aesthetic and functional intention can become diluted.</w:t>
      </w:r>
    </w:p>
    <w:p>
      <w:pPr>
        <w:spacing w:before="0" w:after="120" w:line="300" w:lineRule="auto"/>
        <w:jc w:val="left"/>
      </w:pPr>
      <w:r>
        <w:rPr>
          <w:rFonts w:ascii="Calibri" w:hAnsi="Calibri" w:eastAsia="Calibri"/>
          <w:b w:val="0"/>
          <w:i w:val="0"/>
          <w:color w:val="162236"/>
          <w:sz w:val="23"/>
        </w:rPr>
        <w:t>Design-to-delivery keeps the planned smile, prosthetic space, implant position, guide requirement and production handoff connected before the case moves forward.</w:t>
      </w:r>
    </w:p>
    <w:p>
      <w:pPr>
        <w:spacing w:before="0" w:after="60" w:line="300" w:lineRule="auto"/>
        <w:jc w:val="left"/>
        <w:keepNext w:val="1"/>
        <w:keepLines w:val="1"/>
      </w:pPr>
      <w:r>
        <w:rPr>
          <w:rFonts w:ascii="Calibri" w:hAnsi="Calibri" w:eastAsia="Calibri"/>
          <w:b w:val="0"/>
          <w:i/>
          <w:color w:val="5F6B7A"/>
          <w:sz w:val="19"/>
        </w:rPr>
        <w:t>Psychological job: Create relief around coordination. The visitor should feel that complexity is being organised without surrendering clinical control.</w:t>
      </w:r>
    </w:p>
    <w:p>
      <w:pPr>
        <w:spacing w:before="0" w:after="60" w:line="300" w:lineRule="auto"/>
        <w:jc w:val="left"/>
        <w:keepNext w:val="1"/>
        <w:keepLines w:val="1"/>
      </w:pPr>
      <w:r>
        <w:rPr>
          <w:rFonts w:ascii="Calibri" w:hAnsi="Calibri" w:eastAsia="Calibri"/>
          <w:b w:val="0"/>
          <w:i w:val="0"/>
          <w:color w:val="5F6B7A"/>
          <w:sz w:val="19"/>
        </w:rPr>
        <w:t>Visual direction: Use a white and blue 3D pipeline: smile frame, prosthetic arch, implant plan, guide layer and delivery package aligned on one depth axis.</w:t>
      </w:r>
    </w:p>
    <w:p>
      <w:pPr>
        <w:spacing w:before="0" w:after="60" w:line="300" w:lineRule="auto"/>
        <w:jc w:val="left"/>
        <w:keepNext w:val="1"/>
        <w:keepLines w:val="1"/>
      </w:pPr>
      <w:r>
        <w:rPr>
          <w:rFonts w:ascii="Calibri" w:hAnsi="Calibri" w:eastAsia="Calibri"/>
          <w:b w:val="0"/>
          <w:i w:val="0"/>
          <w:color w:val="5F6B7A"/>
          <w:sz w:val="19"/>
        </w:rPr>
        <w:t>Mobile: Stack the workflow as five cards: Smile, Plan, Guide, Production, Delivery.</w:t>
      </w:r>
    </w:p>
    <w:p>
      <w:pPr>
        <w:spacing w:before="0" w:after="140" w:line="300" w:lineRule="auto"/>
        <w:jc w:val="left"/>
        <w:keepLines w:val="1"/>
      </w:pPr>
      <w:r>
        <w:rPr>
          <w:rFonts w:ascii="Calibri" w:hAnsi="Calibri" w:eastAsia="Calibri"/>
          <w:b w:val="0"/>
          <w:i w:val="0"/>
          <w:color w:val="5F6B7A"/>
          <w:sz w:val="19"/>
        </w:rPr>
        <w:t>Implementation: Do not make the hero feel like a shipping or manufacturing page. The first visual must still be the patient-facing outcome.</w:t>
      </w:r>
    </w:p>
    <w:p>
      <w:pPr>
        <w:pStyle w:val="Heading2"/>
        <w:keepNext w:val="1"/>
        <w:keepLines w:val="1"/>
      </w:pPr>
      <w:r>
        <w:t>Section 2 — What can be coordinated</w:t>
      </w:r>
    </w:p>
    <w:p>
      <w:pPr>
        <w:spacing w:before="0" w:after="120" w:line="300" w:lineRule="auto"/>
        <w:jc w:val="left"/>
      </w:pPr>
      <w:r>
        <w:rPr>
          <w:rFonts w:ascii="Calibri" w:hAnsi="Calibri" w:eastAsia="Calibri"/>
          <w:b w:val="0"/>
          <w:i w:val="0"/>
          <w:color w:val="162236"/>
          <w:sz w:val="23"/>
        </w:rPr>
        <w:t>The exact scope is case-specific. Design-to-delivery may support a practice through planning, design, review and production handoff where the operating route has been agreed.</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000"/>
      </w:tblGrid>
      <w:tr>
        <w:trPr>
          <w:tblHeader w:val="true"/>
          <w:cantSplit/>
        </w:trPr>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Workflow layer</w:t>
            </w:r>
          </w:p>
        </w:tc>
        <w:tc>
          <w:tcPr>
            <w:tcW w:type="dxa" w:w="6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it coordinates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Patient outcome reference</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Smile, tooth position, prosthetic expectation and case objective before technical work begins.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Planning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DICOM/STL review, implant-position discussion and reviewable planning material aligned with clinician instructions.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Guide design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Surgical guide or sequential guide design support according to the approved case pathway.</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Prosthetic workflow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Temporary, provisional, full-arch or restorative-space coordination where relevant to the case scope.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Production handoff</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Production-ready files, notes or coordinated manufacturing pathway only after review and scope confirmation.</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and revision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Versioned communication so review material, revision requests and approved outputs are not confused.</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When design-to-delivery is the better route</w:t>
      </w:r>
    </w:p>
    <w:p>
      <w:pPr>
        <w:numPr>
          <w:ilvl w:val="0"/>
          <w:numId w:val="11"/>
        </w:numPr>
        <w:spacing w:before="0" w:after="80" w:line="300" w:lineRule="auto"/>
        <w:keepLines w:val="1"/>
      </w:pPr>
      <w:r>
        <w:rPr>
          <w:rFonts w:ascii="Calibri" w:hAnsi="Calibri" w:eastAsia="Calibri"/>
          <w:color w:val="162236"/>
          <w:sz w:val="22"/>
        </w:rPr>
        <w:t>The practice wants planning and production coordination instead of managing each vendor separately.</w:t>
      </w:r>
    </w:p>
    <w:p>
      <w:pPr>
        <w:numPr>
          <w:ilvl w:val="0"/>
          <w:numId w:val="11"/>
        </w:numPr>
        <w:spacing w:before="0" w:after="80" w:line="300" w:lineRule="auto"/>
        <w:keepLines w:val="1"/>
      </w:pPr>
      <w:r>
        <w:rPr>
          <w:rFonts w:ascii="Calibri" w:hAnsi="Calibri" w:eastAsia="Calibri"/>
          <w:color w:val="162236"/>
          <w:sz w:val="22"/>
        </w:rPr>
        <w:t>The case involves full-arch, immediate-loading, stackable or sequential guide workflow complexity.</w:t>
      </w:r>
    </w:p>
    <w:p>
      <w:pPr>
        <w:numPr>
          <w:ilvl w:val="0"/>
          <w:numId w:val="11"/>
        </w:numPr>
        <w:spacing w:before="0" w:after="80" w:line="300" w:lineRule="auto"/>
        <w:keepLines w:val="1"/>
      </w:pPr>
      <w:r>
        <w:rPr>
          <w:rFonts w:ascii="Calibri" w:hAnsi="Calibri" w:eastAsia="Calibri"/>
          <w:color w:val="162236"/>
          <w:sz w:val="22"/>
        </w:rPr>
        <w:t>The practice needs guide and prosthetic references to stay aligned until production handoff.</w:t>
      </w:r>
    </w:p>
    <w:p>
      <w:pPr>
        <w:numPr>
          <w:ilvl w:val="0"/>
          <w:numId w:val="11"/>
        </w:numPr>
        <w:spacing w:before="0" w:after="80" w:line="300" w:lineRule="auto"/>
        <w:keepLines w:val="1"/>
      </w:pPr>
      <w:r>
        <w:rPr>
          <w:rFonts w:ascii="Calibri" w:hAnsi="Calibri" w:eastAsia="Calibri"/>
          <w:color w:val="162236"/>
          <w:sz w:val="22"/>
        </w:rPr>
        <w:t>The local team does not want to manage file interpretation, production notes and revision tracking alone.</w:t>
      </w:r>
    </w:p>
    <w:p>
      <w:pPr>
        <w:numPr>
          <w:ilvl w:val="0"/>
          <w:numId w:val="11"/>
        </w:numPr>
        <w:spacing w:before="0" w:after="80" w:line="300" w:lineRule="auto"/>
        <w:keepLines w:val="1"/>
      </w:pPr>
      <w:r>
        <w:rPr>
          <w:rFonts w:ascii="Calibri" w:hAnsi="Calibri" w:eastAsia="Calibri"/>
          <w:color w:val="162236"/>
          <w:sz w:val="22"/>
        </w:rPr>
        <w:t>The case requires clearer approval checkpoints before guide or prosthetic files move into production.</w:t>
      </w:r>
    </w:p>
    <w:p>
      <w:pPr>
        <w:numPr>
          <w:ilvl w:val="0"/>
          <w:numId w:val="11"/>
        </w:numPr>
        <w:spacing w:before="0" w:after="80" w:line="300" w:lineRule="auto"/>
        <w:keepLines w:val="1"/>
      </w:pPr>
      <w:r>
        <w:rPr>
          <w:rFonts w:ascii="Calibri" w:hAnsi="Calibri" w:eastAsia="Calibri"/>
          <w:color w:val="162236"/>
          <w:sz w:val="22"/>
        </w:rPr>
        <w:t>A global practice needs a structured remote workflow but does not yet have a validated local production route.</w:t>
      </w:r>
    </w:p>
    <w:p>
      <w:pPr>
        <w:pStyle w:val="Heading2"/>
        <w:keepNext w:val="1"/>
        <w:keepLines w:val="1"/>
      </w:pPr>
      <w:r>
        <w:t>Section 4 — Design-to-delivery versus design-only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3350"/>
        <w:gridCol w:w="345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Question</w:t>
            </w:r>
          </w:p>
        </w:tc>
        <w:tc>
          <w:tcPr>
            <w:tcW w:type="dxa" w:w="33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Design-only</w:t>
            </w:r>
          </w:p>
        </w:tc>
        <w:tc>
          <w:tcPr>
            <w:tcW w:type="dxa" w:w="34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Design-to-delivery</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Who manages production?</w:t>
            </w:r>
          </w:p>
        </w:tc>
        <w:tc>
          <w:tcPr>
            <w:tcW w:type="dxa" w:w="3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Usually the practice, lab or local partner.</w:t>
            </w:r>
          </w:p>
        </w:tc>
        <w:tc>
          <w:tcPr>
            <w:tcW w:type="dxa" w:w="3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Coordinated through the agreed Image3DConversion workflow scope.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Best fit</w:t>
            </w:r>
          </w:p>
        </w:tc>
        <w:tc>
          <w:tcPr>
            <w:tcW w:type="dxa" w:w="3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Teams with trusted local printing, milling or lab capacity.</w:t>
            </w:r>
          </w:p>
        </w:tc>
        <w:tc>
          <w:tcPr>
            <w:tcW w:type="dxa" w:w="3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Teams wanting fewer handoffs across planning, design and production handoff.</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Output focus</w:t>
            </w:r>
          </w:p>
        </w:tc>
        <w:tc>
          <w:tcPr>
            <w:tcW w:type="dxa" w:w="3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files and design files for local execution.</w:t>
            </w:r>
          </w:p>
        </w:tc>
        <w:tc>
          <w:tcPr>
            <w:tcW w:type="dxa" w:w="3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planning/design plus coordinated production-readiness and handoff.</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use</w:t>
            </w:r>
          </w:p>
        </w:tc>
        <w:tc>
          <w:tcPr>
            <w:tcW w:type="dxa" w:w="3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Strong when local production is already validated.</w:t>
            </w:r>
          </w:p>
        </w:tc>
        <w:tc>
          <w:tcPr>
            <w:tcW w:type="dxa" w:w="3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Useful when production coordination, timing and responsibility need clearer structure.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Records and approvals still matter</w:t>
      </w:r>
    </w:p>
    <w:p>
      <w:pPr>
        <w:spacing w:before="0" w:after="120" w:line="300" w:lineRule="auto"/>
        <w:jc w:val="left"/>
      </w:pPr>
      <w:r>
        <w:rPr>
          <w:rFonts w:ascii="Calibri" w:hAnsi="Calibri" w:eastAsia="Calibri"/>
          <w:b w:val="0"/>
          <w:i w:val="0"/>
          <w:color w:val="162236"/>
          <w:sz w:val="23"/>
        </w:rPr>
        <w:t>A coordinated workflow does not remove the need for complete records or clinical review. It makes those checkpoints more visible before production decisions are made.</w:t>
      </w:r>
    </w:p>
    <w:p>
      <w:pPr>
        <w:numPr>
          <w:ilvl w:val="0"/>
          <w:numId w:val="12"/>
        </w:numPr>
        <w:spacing w:before="0" w:after="80" w:line="300" w:lineRule="auto"/>
        <w:keepLines w:val="1"/>
      </w:pPr>
      <w:r>
        <w:rPr>
          <w:rFonts w:ascii="Calibri" w:hAnsi="Calibri" w:eastAsia="Calibri"/>
          <w:color w:val="162236"/>
          <w:sz w:val="22"/>
        </w:rPr>
        <w:t>CBCT / DICOM, STL or intraoral scan, bite record and clinical photographs remain foundational.</w:t>
      </w:r>
    </w:p>
    <w:p>
      <w:pPr>
        <w:numPr>
          <w:ilvl w:val="0"/>
          <w:numId w:val="12"/>
        </w:numPr>
        <w:spacing w:before="0" w:after="80" w:line="300" w:lineRule="auto"/>
        <w:keepLines w:val="1"/>
      </w:pPr>
      <w:r>
        <w:rPr>
          <w:rFonts w:ascii="Calibri" w:hAnsi="Calibri" w:eastAsia="Calibri"/>
          <w:color w:val="162236"/>
          <w:sz w:val="22"/>
        </w:rPr>
        <w:t>Implant system, component preference, restoration type and local constraints should be stated early.</w:t>
      </w:r>
    </w:p>
    <w:p>
      <w:pPr>
        <w:numPr>
          <w:ilvl w:val="0"/>
          <w:numId w:val="12"/>
        </w:numPr>
        <w:spacing w:before="0" w:after="80" w:line="300" w:lineRule="auto"/>
        <w:keepLines w:val="1"/>
      </w:pPr>
      <w:r>
        <w:rPr>
          <w:rFonts w:ascii="Calibri" w:hAnsi="Calibri" w:eastAsia="Calibri"/>
          <w:color w:val="162236"/>
          <w:sz w:val="22"/>
        </w:rPr>
        <w:t>Review material must be distinguished from approved production output.</w:t>
      </w:r>
    </w:p>
    <w:p>
      <w:pPr>
        <w:numPr>
          <w:ilvl w:val="0"/>
          <w:numId w:val="12"/>
        </w:numPr>
        <w:spacing w:before="0" w:after="80" w:line="300" w:lineRule="auto"/>
        <w:keepLines w:val="1"/>
      </w:pPr>
      <w:r>
        <w:rPr>
          <w:rFonts w:ascii="Calibri" w:hAnsi="Calibri" w:eastAsia="Calibri"/>
          <w:color w:val="162236"/>
          <w:sz w:val="22"/>
        </w:rPr>
        <w:t>Revision requests should be handled before delivery expectations are locked.</w:t>
      </w:r>
    </w:p>
    <w:p>
      <w:pPr>
        <w:numPr>
          <w:ilvl w:val="0"/>
          <w:numId w:val="12"/>
        </w:numPr>
        <w:spacing w:before="0" w:after="80" w:line="300" w:lineRule="auto"/>
        <w:keepLines w:val="1"/>
      </w:pPr>
      <w:r>
        <w:rPr>
          <w:rFonts w:ascii="Calibri" w:hAnsi="Calibri" w:eastAsia="Calibri"/>
          <w:color w:val="162236"/>
          <w:sz w:val="22"/>
        </w:rPr>
        <w:t>The treating clinician remains responsible for approval and clinical use of the delivered workflow.</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APPROVAL BOUNDARY  </w:t>
      </w:r>
      <w:r>
        <w:rPr>
          <w:rFonts w:ascii="Calibri" w:hAnsi="Calibri" w:eastAsia="Calibri"/>
          <w:b w:val="0"/>
          <w:color w:val="162236"/>
          <w:sz w:val="22"/>
        </w:rPr>
        <w:t>Design-to-delivery does not mean automatic clinical acceptance. It means the agreed workflow can coordinate planning, design and production handoff after the responsible clinical team reviews and approves the appropriate stage.</w:t>
      </w:r>
    </w:p>
    <w:p>
      <w:pPr>
        <w:pStyle w:val="Heading2"/>
        <w:keepNext w:val="1"/>
        <w:keepLines w:val="1"/>
      </w:pPr>
      <w:r>
        <w:t>Section 6 — Global practice fit</w:t>
      </w:r>
    </w:p>
    <w:p>
      <w:pPr>
        <w:spacing w:before="0" w:after="120" w:line="300" w:lineRule="auto"/>
        <w:jc w:val="left"/>
      </w:pPr>
      <w:r>
        <w:rPr>
          <w:rFonts w:ascii="Calibri" w:hAnsi="Calibri" w:eastAsia="Calibri"/>
          <w:b w:val="0"/>
          <w:i w:val="0"/>
          <w:color w:val="162236"/>
          <w:sz w:val="23"/>
        </w:rPr>
        <w:t>For global practices, design-to-delivery should be presented as an operating model, not a universal shipping promise. Region, timeline, component sourcing, production route, customs, communication method and data safeguards must be clarified before the final case pathway is confirmed.</w:t>
      </w:r>
    </w:p>
    <w:p>
      <w:pPr>
        <w:numPr>
          <w:ilvl w:val="0"/>
          <w:numId w:val="13"/>
        </w:numPr>
        <w:spacing w:before="0" w:after="80" w:line="300" w:lineRule="auto"/>
        <w:keepLines w:val="1"/>
      </w:pPr>
      <w:r>
        <w:rPr>
          <w:rFonts w:ascii="Calibri" w:hAnsi="Calibri" w:eastAsia="Calibri"/>
          <w:color w:val="162236"/>
          <w:sz w:val="22"/>
        </w:rPr>
        <w:t>Use design-only where local production is already strong.</w:t>
      </w:r>
    </w:p>
    <w:p>
      <w:pPr>
        <w:numPr>
          <w:ilvl w:val="0"/>
          <w:numId w:val="13"/>
        </w:numPr>
        <w:spacing w:before="0" w:after="80" w:line="300" w:lineRule="auto"/>
        <w:keepLines w:val="1"/>
      </w:pPr>
      <w:r>
        <w:rPr>
          <w:rFonts w:ascii="Calibri" w:hAnsi="Calibri" w:eastAsia="Calibri"/>
          <w:color w:val="162236"/>
          <w:sz w:val="22"/>
        </w:rPr>
        <w:t>Use design-to-delivery where production coordination is part of the requested scope.</w:t>
      </w:r>
    </w:p>
    <w:p>
      <w:pPr>
        <w:numPr>
          <w:ilvl w:val="0"/>
          <w:numId w:val="13"/>
        </w:numPr>
        <w:spacing w:before="0" w:after="80" w:line="300" w:lineRule="auto"/>
        <w:keepLines w:val="1"/>
      </w:pPr>
      <w:r>
        <w:rPr>
          <w:rFonts w:ascii="Calibri" w:hAnsi="Calibri" w:eastAsia="Calibri"/>
          <w:color w:val="162236"/>
          <w:sz w:val="22"/>
        </w:rPr>
        <w:t>Confirm currencies, timelines and delivery responsibilities before publication or quotation.</w:t>
      </w:r>
    </w:p>
    <w:p>
      <w:pPr>
        <w:numPr>
          <w:ilvl w:val="0"/>
          <w:numId w:val="13"/>
        </w:numPr>
        <w:spacing w:before="0" w:after="80" w:line="300" w:lineRule="auto"/>
        <w:keepLines w:val="1"/>
      </w:pPr>
      <w:r>
        <w:rPr>
          <w:rFonts w:ascii="Calibri" w:hAnsi="Calibri" w:eastAsia="Calibri"/>
          <w:color w:val="162236"/>
          <w:sz w:val="22"/>
        </w:rPr>
        <w:t>Use the dedicated Global Practice Workflows page for cross-border operating detail.</w:t>
      </w:r>
    </w:p>
    <w:p>
      <w:pPr>
        <w:numPr>
          <w:ilvl w:val="0"/>
          <w:numId w:val="13"/>
        </w:numPr>
        <w:spacing w:before="0" w:after="80" w:line="300" w:lineRule="auto"/>
        <w:keepLines w:val="1"/>
      </w:pPr>
      <w:r>
        <w:rPr>
          <w:rFonts w:ascii="Calibri" w:hAnsi="Calibri" w:eastAsia="Calibri"/>
          <w:color w:val="162236"/>
          <w:sz w:val="22"/>
        </w:rPr>
        <w:t>Do not imply every country, material, component or delivery route is available without verification.</w:t>
      </w:r>
    </w:p>
    <w:p>
      <w:pPr>
        <w:pStyle w:val="Heading2"/>
        <w:keepNext w:val="1"/>
        <w:keepLines w:val="1"/>
      </w:pPr>
      <w:r>
        <w:t>Section 7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Want the case coordinated beyond the design files?</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Begin with the planned smile, confirm the records and scope, then move the workflow through review, approval and coordinated production handoff.</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Design-to-Delivery</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Compare Design-Only</w:t>
      </w:r>
    </w:p>
    <w:p>
      <w:pPr>
        <w:pStyle w:val="Heading1"/>
        <w:keepNext w:val="1"/>
        <w:keepLines w:val="1"/>
      </w:pPr>
      <w:r>
        <w:t>3. Design psychology and visual layout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550"/>
        <w:gridCol w:w="355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Section</w:t>
            </w:r>
          </w:p>
        </w:tc>
        <w:tc>
          <w:tcPr>
            <w:tcW w:type="dxa" w:w="35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Psychological job</w:t>
            </w:r>
          </w:p>
        </w:tc>
        <w:tc>
          <w:tcPr>
            <w:tcW w:type="dxa" w:w="35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Visual direction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the practice that one approved outcome can govern the whole workflow.</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3D blue-white depth scene: patient smile, prosthetic arch, guide layer and delivery package aligned.</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Delivery problem</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Name the pain of disconnected files and vendors without sounding negative.</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Separated floating layers gradually snapping into one aligned sequence.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Coordinated layers</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Make scope tangible and structured.</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Six workflow modules with subtle 3D icon cards.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Comparison</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Help the visitor choose design-only or design-to-delivery calmly.</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Two-column comparison with neutral language; no route is treated as inferior.</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fit</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Build trust through operating clarity, not flags.</w:t>
            </w:r>
          </w:p>
        </w:tc>
        <w:tc>
          <w:tcPr>
            <w:tcW w:type="dxa" w:w="35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World map is optional; prefer route lines, file packages and verified production nodes in Blue + White.</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3D DESIGN RULE  </w:t>
      </w:r>
      <w:r>
        <w:rPr>
          <w:rFonts w:ascii="Calibri" w:hAnsi="Calibri" w:eastAsia="Calibri"/>
          <w:b w:val="0"/>
          <w:color w:val="162236"/>
          <w:sz w:val="22"/>
        </w:rPr>
        <w:t>Use depth to show coordination across workflow stages. Visuals must feel clinical, premium and modern, using Image3DConversion Blue + White only. Avoid dark-social-media styling, neon colours, unrelated accents or manufacturing-only imagery.</w:t>
      </w:r>
    </w:p>
    <w:p>
      <w:pPr>
        <w:pStyle w:val="Heading1"/>
        <w:pageBreakBefore w:val="1"/>
        <w:keepNext w:val="1"/>
        <w:keepLines w:val="1"/>
      </w:pPr>
      <w:r>
        <w:t>4. Mobile behaviour</w:t>
      </w:r>
    </w:p>
    <w:p>
      <w:pPr>
        <w:numPr>
          <w:ilvl w:val="0"/>
          <w:numId w:val="14"/>
        </w:numPr>
        <w:spacing w:before="0" w:after="80" w:line="300" w:lineRule="auto"/>
        <w:keepLines w:val="1"/>
      </w:pPr>
      <w:r>
        <w:rPr>
          <w:rFonts w:ascii="Calibri" w:hAnsi="Calibri" w:eastAsia="Calibri"/>
          <w:color w:val="162236"/>
          <w:sz w:val="22"/>
        </w:rPr>
        <w:t>Hero sequence must show the smile/outcome before production or delivery visuals.</w:t>
      </w:r>
    </w:p>
    <w:p>
      <w:pPr>
        <w:numPr>
          <w:ilvl w:val="0"/>
          <w:numId w:val="14"/>
        </w:numPr>
        <w:spacing w:before="0" w:after="80" w:line="300" w:lineRule="auto"/>
        <w:keepLines w:val="1"/>
      </w:pPr>
      <w:r>
        <w:rPr>
          <w:rFonts w:ascii="Calibri" w:hAnsi="Calibri" w:eastAsia="Calibri"/>
          <w:color w:val="162236"/>
          <w:sz w:val="22"/>
        </w:rPr>
        <w:t>Workflow layers collapse into stacked cards in this order: Smile, Plan, Guide, Production, Delivery.</w:t>
      </w:r>
    </w:p>
    <w:p>
      <w:pPr>
        <w:numPr>
          <w:ilvl w:val="0"/>
          <w:numId w:val="14"/>
        </w:numPr>
        <w:spacing w:before="0" w:after="80" w:line="300" w:lineRule="auto"/>
        <w:keepLines w:val="1"/>
      </w:pPr>
      <w:r>
        <w:rPr>
          <w:rFonts w:ascii="Calibri" w:hAnsi="Calibri" w:eastAsia="Calibri"/>
          <w:color w:val="162236"/>
          <w:sz w:val="22"/>
        </w:rPr>
        <w:t>Comparison table may become two stacked cards: Design-only and Design-to-delivery.</w:t>
      </w:r>
    </w:p>
    <w:p>
      <w:pPr>
        <w:numPr>
          <w:ilvl w:val="0"/>
          <w:numId w:val="14"/>
        </w:numPr>
        <w:spacing w:before="0" w:after="80" w:line="300" w:lineRule="auto"/>
        <w:keepLines w:val="1"/>
      </w:pPr>
      <w:r>
        <w:rPr>
          <w:rFonts w:ascii="Calibri" w:hAnsi="Calibri" w:eastAsia="Calibri"/>
          <w:color w:val="162236"/>
          <w:sz w:val="22"/>
        </w:rPr>
        <w:t>Sticky CTA should use Start Design-to-Delivery; secondary comparison link can sit beneath the hero and final CTA.</w:t>
      </w:r>
    </w:p>
    <w:p>
      <w:pPr>
        <w:numPr>
          <w:ilvl w:val="0"/>
          <w:numId w:val="14"/>
        </w:numPr>
        <w:spacing w:before="0" w:after="80" w:line="300" w:lineRule="auto"/>
        <w:keepLines w:val="1"/>
      </w:pPr>
      <w:r>
        <w:rPr>
          <w:rFonts w:ascii="Calibri" w:hAnsi="Calibri" w:eastAsia="Calibri"/>
          <w:color w:val="162236"/>
          <w:sz w:val="22"/>
        </w:rPr>
        <w:t>Keep all portal-routing language concise on mobile and avoid public clinical-file prompts.</w:t>
      </w:r>
    </w:p>
    <w:p>
      <w:pPr>
        <w:pStyle w:val="Heading1"/>
        <w:keepNext w:val="1"/>
        <w:keepLines w:val="1"/>
      </w:pPr>
      <w:r>
        <w:t>5. CTA routing and internal links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3000"/>
        <w:gridCol w:w="37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CTA / link</w:t>
            </w:r>
          </w:p>
        </w:tc>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Routing rule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Design-to-Delivery</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Case Portal</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Authenticate first, then choose the appropriate coordinated workflow scope.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Compare Design-Only</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/design-only-workflow/</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when visitor may already have trusted local production.</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Case Data</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/case-data-diagnostic-preparation/</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before authenticated submission for readiness guidance.</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Global Workflow</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/global-practice-workflows/</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for international practices needing operating-model clarity.</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Case Feasibility</w:t>
            </w:r>
          </w:p>
        </w:tc>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Contact / inquiry page</w:t>
            </w:r>
          </w:p>
        </w:tc>
        <w:tc>
          <w:tcPr>
            <w:tcW w:type="dxa" w:w="3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only for non-clinical public inquiry; no patient-identifying records.</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Publication controls</w:t>
      </w:r>
    </w:p>
    <w:p>
      <w:pPr>
        <w:numPr>
          <w:ilvl w:val="0"/>
          <w:numId w:val="15"/>
        </w:numPr>
        <w:spacing w:before="0" w:after="80" w:line="300" w:lineRule="auto"/>
        <w:keepLines w:val="1"/>
      </w:pPr>
      <w:r>
        <w:rPr>
          <w:rFonts w:ascii="Calibri" w:hAnsi="Calibri" w:eastAsia="Calibri"/>
          <w:color w:val="162236"/>
          <w:sz w:val="22"/>
        </w:rPr>
        <w:t>Do not promise certain surgical, prosthetic, timing, fit, shipping or regulatory outcomes.</w:t>
      </w:r>
    </w:p>
    <w:p>
      <w:pPr>
        <w:numPr>
          <w:ilvl w:val="0"/>
          <w:numId w:val="15"/>
        </w:numPr>
        <w:spacing w:before="0" w:after="80" w:line="300" w:lineRule="auto"/>
        <w:keepLines w:val="1"/>
      </w:pPr>
      <w:r>
        <w:rPr>
          <w:rFonts w:ascii="Calibri" w:hAnsi="Calibri" w:eastAsia="Calibri"/>
          <w:color w:val="162236"/>
          <w:sz w:val="22"/>
        </w:rPr>
        <w:t>Do not say the workflow is available in every country unless each route is verified.</w:t>
      </w:r>
    </w:p>
    <w:p>
      <w:pPr>
        <w:numPr>
          <w:ilvl w:val="0"/>
          <w:numId w:val="15"/>
        </w:numPr>
        <w:spacing w:before="0" w:after="80" w:line="300" w:lineRule="auto"/>
        <w:keepLines w:val="1"/>
      </w:pPr>
      <w:r>
        <w:rPr>
          <w:rFonts w:ascii="Calibri" w:hAnsi="Calibri" w:eastAsia="Calibri"/>
          <w:color w:val="162236"/>
          <w:sz w:val="22"/>
        </w:rPr>
        <w:t>Do not publish material, component, printer, milling or implant-system compatibility without operational confirmation.</w:t>
      </w:r>
    </w:p>
    <w:p>
      <w:pPr>
        <w:numPr>
          <w:ilvl w:val="0"/>
          <w:numId w:val="15"/>
        </w:numPr>
        <w:spacing w:before="0" w:after="80" w:line="300" w:lineRule="auto"/>
        <w:keepLines w:val="1"/>
      </w:pPr>
      <w:r>
        <w:rPr>
          <w:rFonts w:ascii="Calibri" w:hAnsi="Calibri" w:eastAsia="Calibri"/>
          <w:color w:val="162236"/>
          <w:sz w:val="22"/>
        </w:rPr>
        <w:t>Do not let public forms request patient-identifying records or clinical files.</w:t>
      </w:r>
    </w:p>
    <w:p>
      <w:pPr>
        <w:numPr>
          <w:ilvl w:val="0"/>
          <w:numId w:val="15"/>
        </w:numPr>
        <w:spacing w:before="0" w:after="80" w:line="300" w:lineRule="auto"/>
        <w:keepLines w:val="1"/>
      </w:pPr>
      <w:r>
        <w:rPr>
          <w:rFonts w:ascii="Calibri" w:hAnsi="Calibri" w:eastAsia="Calibri"/>
          <w:color w:val="162236"/>
          <w:sz w:val="22"/>
        </w:rPr>
        <w:t>Do not suggest Image3DConversion replaces diagnosis, treatment planning, patient consent or clinician approval.</w:t>
      </w:r>
    </w:p>
    <w:p>
      <w:pPr>
        <w:numPr>
          <w:ilvl w:val="0"/>
          <w:numId w:val="15"/>
        </w:numPr>
        <w:spacing w:before="0" w:after="80" w:line="300" w:lineRule="auto"/>
        <w:keepLines w:val="1"/>
      </w:pPr>
      <w:r>
        <w:rPr>
          <w:rFonts w:ascii="Calibri" w:hAnsi="Calibri" w:eastAsia="Calibri"/>
          <w:color w:val="162236"/>
          <w:sz w:val="22"/>
        </w:rPr>
        <w:t>Use status colours only inside functional portal states; public page branding remains Blue + White.</w:t>
      </w:r>
    </w:p>
    <w:p>
      <w:pPr>
        <w:pStyle w:val="Heading1"/>
        <w:keepNext w:val="1"/>
        <w:keepLines w:val="1"/>
      </w:pPr>
      <w:r>
        <w:t>7. Literature and evidence controls</w:t>
      </w:r>
    </w:p>
    <w:p>
      <w:pPr>
        <w:numPr>
          <w:ilvl w:val="0"/>
          <w:numId w:val="16"/>
        </w:numPr>
        <w:spacing w:after="80" w:line="300" w:lineRule="auto"/>
      </w:pPr>
      <w:hyperlink r:id="rId11">
        <w:r>
          <w:rPr>
            <w:rFonts w:ascii="Calibri" w:hAnsi="Calibri"/>
            <w:color w:val="2E74B5"/>
            <w:u w:val="single"/>
          </w:rPr>
          <w:t>Google Search Central — People-first content</w:t>
        </w:r>
      </w:hyperlink>
    </w:p>
    <w:p>
      <w:pPr>
        <w:numPr>
          <w:ilvl w:val="0"/>
          <w:numId w:val="17"/>
        </w:numPr>
        <w:spacing w:after="80" w:line="300" w:lineRule="auto"/>
      </w:pPr>
      <w:hyperlink r:id="rId12">
        <w:r>
          <w:rPr>
            <w:rFonts w:ascii="Calibri" w:hAnsi="Calibri"/>
            <w:color w:val="2E74B5"/>
            <w:u w:val="single"/>
          </w:rPr>
          <w:t>ITI Consensus Database — Computer-guided implant surgery</w:t>
        </w:r>
      </w:hyperlink>
    </w:p>
    <w:p>
      <w:pPr>
        <w:numPr>
          <w:ilvl w:val="0"/>
          <w:numId w:val="18"/>
        </w:numPr>
        <w:spacing w:after="80" w:line="300" w:lineRule="auto"/>
      </w:pPr>
      <w:hyperlink r:id="rId13">
        <w:r>
          <w:rPr>
            <w:rFonts w:ascii="Calibri" w:hAnsi="Calibri"/>
            <w:color w:val="2E74B5"/>
            <w:u w:val="single"/>
          </w:rPr>
          <w:t>PubMed — Accuracy and safety margins in guided implant placement</w:t>
        </w:r>
      </w:hyperlink>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EVIDENCE RULE  </w:t>
      </w:r>
      <w:r>
        <w:rPr>
          <w:rFonts w:ascii="Calibri" w:hAnsi="Calibri" w:eastAsia="Calibri"/>
          <w:b w:val="0"/>
          <w:color w:val="162236"/>
          <w:sz w:val="22"/>
        </w:rPr>
        <w:t>Published copy may say guided digital workflows support planning, communication and execution. It must not claim fixed accuracy, assured fit, assured immediate loading, or freedom from clinical verification.</w:t>
      </w:r>
    </w:p>
    <w:p>
      <w:pPr>
        <w:pStyle w:val="Heading1"/>
        <w:keepNext w:val="1"/>
        <w:keepLines w:val="1"/>
      </w:pPr>
      <w:r>
        <w:t>8. Claude Code implementation notes</w:t>
      </w:r>
    </w:p>
    <w:p>
      <w:pPr>
        <w:numPr>
          <w:ilvl w:val="0"/>
          <w:numId w:val="19"/>
        </w:numPr>
        <w:spacing w:before="0" w:after="80" w:line="300" w:lineRule="auto"/>
        <w:keepLines w:val="1"/>
      </w:pPr>
      <w:r>
        <w:rPr>
          <w:rFonts w:ascii="Calibri" w:hAnsi="Calibri" w:eastAsia="Calibri"/>
          <w:color w:val="162236"/>
          <w:sz w:val="22"/>
        </w:rPr>
        <w:t>Implement as a public workflow page under the global shell created in Blueprint 01.</w:t>
      </w:r>
    </w:p>
    <w:p>
      <w:pPr>
        <w:numPr>
          <w:ilvl w:val="0"/>
          <w:numId w:val="19"/>
        </w:numPr>
        <w:spacing w:before="0" w:after="80" w:line="300" w:lineRule="auto"/>
        <w:keepLines w:val="1"/>
      </w:pPr>
      <w:r>
        <w:rPr>
          <w:rFonts w:ascii="Calibri" w:hAnsi="Calibri" w:eastAsia="Calibri"/>
          <w:color w:val="162236"/>
          <w:sz w:val="22"/>
        </w:rPr>
        <w:t>Use Blue + White only; any depth, glass, glow or gradient effects must derive from Image3DConversion Blue.</w:t>
      </w:r>
    </w:p>
    <w:p>
      <w:pPr>
        <w:numPr>
          <w:ilvl w:val="0"/>
          <w:numId w:val="19"/>
        </w:numPr>
        <w:spacing w:before="0" w:after="80" w:line="300" w:lineRule="auto"/>
        <w:keepLines w:val="1"/>
      </w:pPr>
      <w:r>
        <w:rPr>
          <w:rFonts w:ascii="Calibri" w:hAnsi="Calibri" w:eastAsia="Calibri"/>
          <w:color w:val="162236"/>
          <w:sz w:val="22"/>
        </w:rPr>
        <w:t>Keep the existing Case Portal, authentication, role controls, tenant isolation, status model and navigation architecture untouched.</w:t>
      </w:r>
    </w:p>
    <w:p>
      <w:pPr>
        <w:numPr>
          <w:ilvl w:val="0"/>
          <w:numId w:val="19"/>
        </w:numPr>
        <w:spacing w:before="0" w:after="80" w:line="300" w:lineRule="auto"/>
        <w:keepLines w:val="1"/>
      </w:pPr>
      <w:r>
        <w:rPr>
          <w:rFonts w:ascii="Calibri" w:hAnsi="Calibri" w:eastAsia="Calibri"/>
          <w:color w:val="162236"/>
          <w:sz w:val="22"/>
        </w:rPr>
        <w:t>Add internal links to Design-Only, Case Data, Global Practice Workflows, Immediate-Loading, Full-Arch and Case Portal pages.</w:t>
      </w:r>
    </w:p>
    <w:p>
      <w:pPr>
        <w:numPr>
          <w:ilvl w:val="0"/>
          <w:numId w:val="19"/>
        </w:numPr>
        <w:spacing w:before="0" w:after="80" w:line="300" w:lineRule="auto"/>
        <w:keepLines w:val="1"/>
      </w:pPr>
      <w:r>
        <w:rPr>
          <w:rFonts w:ascii="Calibri" w:hAnsi="Calibri" w:eastAsia="Calibri"/>
          <w:color w:val="162236"/>
          <w:sz w:val="22"/>
        </w:rPr>
        <w:t>Provide desktop and mobile screenshots for review before production deployment.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DESIGN-TO-DELIVERY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hint="default"/>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academy.iti.org/academy/consensus-database/consensus-statement/-/consensus/computer-guided-implant-surgery/1213" TargetMode="External"/><Relationship Id="rId13" Type="http://schemas.openxmlformats.org/officeDocument/2006/relationships/hyperlink" Target="https://pubmed.ncbi.nlm.nih.gov/37232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Design-to-Delivery Workflow Content &amp; Design Psychology v1.0</dc:title>
  <dc:subject>Publishable page copy and implementation handoff for the Image3DConversion Design-to-Delivery Workflow page</dc:subject>
  <dc:creator>OpenAI Codex</dc:creator>
  <cp:keywords>Image3DConversion, design-to-delivery, dental implant planning, surgical guide workflow, global dental practices</cp:keywords>
  <dc:description>generated by python-docx</dc:description>
  <cp:lastModifiedBy/>
  <cp:revision>1</cp:revision>
  <dcterms:created xsi:type="dcterms:W3CDTF">2013-12-23T23:15:00Z</dcterms:created>
  <dcterms:modified xsi:type="dcterms:W3CDTF">2013-12-23T23:15:00Z</dcterms:modified>
  <cp:category/>
</cp:coreProperties>
</file>