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FAQ / Practice Questions</w:t>
      </w:r>
    </w:p>
    <w:p>
      <w:pPr>
        <w:spacing w:before="0" w:after="320" w:line="300" w:lineRule="auto"/>
        <w:jc w:val="left"/>
      </w:pPr>
      <w:r>
        <w:rPr>
          <w:rFonts w:ascii="Calibri" w:hAnsi="Calibri" w:eastAsia="Calibri"/>
          <w:b w:val="0"/>
          <w:i w:val="0"/>
          <w:color w:val="5F6B7A"/>
          <w:sz w:val="26"/>
        </w:rPr>
        <w:t>Final public FAQ copy, attention structure, SEO hierarchy, question grouping, CTA routing, mobile behaviour, Case Portal boundary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https://www.image3dconversion.com/faq/</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Discuss a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page should hold absolute visitor attention by answering the questions that create hesitation before submission. It is a conversion FAQ, not a support archive. It must explain next steps clearly while preserving the authenticated Case Portal boundary for clinical files, approvals and active case handling.</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Answer the highest-anxiety practice questions before the visitor leaves the website.</w:t>
      </w:r>
    </w:p>
    <w:p>
      <w:pPr>
        <w:numPr>
          <w:ilvl w:val="0"/>
          <w:numId w:val="10"/>
        </w:numPr>
        <w:spacing w:before="0" w:after="80" w:line="300" w:lineRule="auto"/>
        <w:keepLines w:val="1"/>
      </w:pPr>
      <w:r>
        <w:rPr>
          <w:rFonts w:ascii="Calibri" w:hAnsi="Calibri" w:eastAsia="Calibri"/>
          <w:color w:val="162236"/>
          <w:sz w:val="22"/>
        </w:rPr>
        <w:t>Give dentists, labs, global practices and partners a clear route without forcing them through a long sales page.</w:t>
      </w:r>
    </w:p>
    <w:p>
      <w:pPr>
        <w:numPr>
          <w:ilvl w:val="0"/>
          <w:numId w:val="10"/>
        </w:numPr>
        <w:spacing w:before="0" w:after="80" w:line="300" w:lineRule="auto"/>
        <w:keepLines w:val="1"/>
      </w:pPr>
      <w:r>
        <w:rPr>
          <w:rFonts w:ascii="Calibri" w:hAnsi="Calibri" w:eastAsia="Calibri"/>
          <w:color w:val="162236"/>
          <w:sz w:val="22"/>
        </w:rPr>
        <w:t>Use the first-screen questions to remove immediate hesitation around records, incomplete data, design-only files, local production and case tracking.</w:t>
      </w:r>
    </w:p>
    <w:p>
      <w:pPr>
        <w:numPr>
          <w:ilvl w:val="0"/>
          <w:numId w:val="10"/>
        </w:numPr>
        <w:spacing w:before="0" w:after="80" w:line="300" w:lineRule="auto"/>
        <w:keepLines w:val="1"/>
      </w:pPr>
      <w:r>
        <w:rPr>
          <w:rFonts w:ascii="Calibri" w:hAnsi="Calibri" w:eastAsia="Calibri"/>
          <w:color w:val="162236"/>
          <w:sz w:val="22"/>
        </w:rPr>
        <w:t>Route deeper questions to the correct service page instead of duplicating every technical detail.</w:t>
      </w:r>
    </w:p>
    <w:p>
      <w:pPr>
        <w:numPr>
          <w:ilvl w:val="0"/>
          <w:numId w:val="10"/>
        </w:numPr>
        <w:spacing w:before="0" w:after="80" w:line="300" w:lineRule="auto"/>
        <w:keepLines w:val="1"/>
      </w:pPr>
      <w:r>
        <w:rPr>
          <w:rFonts w:ascii="Calibri" w:hAnsi="Calibri" w:eastAsia="Calibri"/>
          <w:color w:val="162236"/>
          <w:sz w:val="22"/>
        </w:rPr>
        <w:t>Keep public enquiry separate from clinical case submission, patient-identifying records and authenticated portal actions.</w:t>
      </w:r>
    </w:p>
    <w:p>
      <w:pPr>
        <w:numPr>
          <w:ilvl w:val="0"/>
          <w:numId w:val="10"/>
        </w:numPr>
        <w:spacing w:before="0" w:after="80" w:line="300" w:lineRule="auto"/>
        <w:keepLines w:val="1"/>
      </w:pPr>
      <w:r>
        <w:rPr>
          <w:rFonts w:ascii="Calibri" w:hAnsi="Calibri" w:eastAsia="Calibri"/>
          <w:color w:val="162236"/>
          <w:sz w:val="22"/>
        </w:rPr>
        <w:t>Avoid unsupported claims around outcomes, timing, pricing, security, availability or universal global coverage.</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/faq/</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 follow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FAQ | Guided Implant Workflow Questions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Find answers about Image3DConversion case records, guided implant planning, design-only workflows, design-to-delivery, global practices and the Case Portal.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Questions before you start a case? Start here.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guided implant workflow FAQ</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surgical guide design questions; dental implant planning FAQ; case portal questions; design only dental workflow; Image3DConversion FAQ</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 Case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Case Portal</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This page should win long-tail question intent and branded trust searches. The content should be scannable, direct and helpful, with expandable FAQ behaviour on the website.</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PRACTICE QUESTIONS</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Questions before you start a case? Start here.</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Clear answers for practices planning guided surgery, design-only workflows, full-arch cases, global collaboration and Case Portal submission.</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This FAQ explains workflow routes and preparation steps. Clinical records, patient-identifying information, approvals and active case tracking should remain inside the authenticated Case Portal or another approved professional intake route.</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Open Case Portal</w:t>
      </w:r>
    </w:p>
    <w:p>
      <w:pPr>
        <w:pStyle w:val="Heading2"/>
        <w:keepNext w:val="1"/>
        <w:keepLines w:val="1"/>
      </w:pPr>
      <w:r>
        <w:t>Section 1 — Most practices ask these first</w:t>
      </w:r>
    </w:p>
    <w:p>
      <w:pPr>
        <w:spacing w:before="0" w:after="60" w:line="300" w:lineRule="auto"/>
        <w:jc w:val="left"/>
        <w:keepLines w:val="1"/>
      </w:pPr>
      <w:r>
        <w:rPr>
          <w:rFonts w:ascii="Calibri" w:hAnsi="Calibri" w:eastAsia="Calibri"/>
          <w:b/>
          <w:i w:val="0"/>
          <w:color w:val="1F4D78"/>
          <w:sz w:val="23"/>
        </w:rPr>
        <w:t>What records do I need before submitting a case?</w:t>
      </w:r>
    </w:p>
    <w:p>
      <w:pPr>
        <w:spacing w:before="0" w:after="140" w:line="300" w:lineRule="auto"/>
        <w:jc w:val="left"/>
      </w:pPr>
      <w:r>
        <w:rPr>
          <w:rFonts w:ascii="Calibri" w:hAnsi="Calibri" w:eastAsia="Calibri"/>
          <w:b w:val="0"/>
          <w:i w:val="0"/>
          <w:color w:val="162236"/>
          <w:sz w:val="21"/>
        </w:rPr>
        <w:t>Most cases need CBCT/DICOM data, intraoral or model scans, bite information, clinical photographs where relevant, implant-system direction and a clear workflow objective. Exact requirements depend on the case type, so the Case Data &amp; Diagnostic Preparation page should guide the visitor deeper.</w:t>
      </w:r>
    </w:p>
    <w:p>
      <w:pPr>
        <w:spacing w:before="0" w:after="60" w:line="300" w:lineRule="auto"/>
        <w:jc w:val="left"/>
        <w:keepLines w:val="1"/>
      </w:pPr>
      <w:r>
        <w:rPr>
          <w:rFonts w:ascii="Calibri" w:hAnsi="Calibri" w:eastAsia="Calibri"/>
          <w:b/>
          <w:i w:val="0"/>
          <w:color w:val="1F4D78"/>
          <w:sz w:val="23"/>
        </w:rPr>
        <w:t>Can I start with incomplete data?</w:t>
      </w:r>
    </w:p>
    <w:p>
      <w:pPr>
        <w:spacing w:before="0" w:after="140" w:line="300" w:lineRule="auto"/>
        <w:jc w:val="left"/>
      </w:pPr>
      <w:r>
        <w:rPr>
          <w:rFonts w:ascii="Calibri" w:hAnsi="Calibri" w:eastAsia="Calibri"/>
          <w:b w:val="0"/>
          <w:i w:val="0"/>
          <w:color w:val="162236"/>
          <w:sz w:val="21"/>
        </w:rPr>
        <w:t>You can start a general discussion with incomplete information, but active case planning normally needs complete diagnostic records before design decisions are reliable. The public enquiry route can help identify what is missing before formal submission.</w:t>
      </w:r>
    </w:p>
    <w:p>
      <w:pPr>
        <w:spacing w:before="0" w:after="60" w:line="300" w:lineRule="auto"/>
        <w:jc w:val="left"/>
        <w:keepLines w:val="1"/>
      </w:pPr>
      <w:r>
        <w:rPr>
          <w:rFonts w:ascii="Calibri" w:hAnsi="Calibri" w:eastAsia="Calibri"/>
          <w:b/>
          <w:i w:val="0"/>
          <w:color w:val="1F4D78"/>
          <w:sz w:val="23"/>
        </w:rPr>
        <w:t>Do you provide design-only files?</w:t>
      </w:r>
    </w:p>
    <w:p>
      <w:pPr>
        <w:spacing w:before="0" w:after="140" w:line="300" w:lineRule="auto"/>
        <w:jc w:val="left"/>
      </w:pPr>
      <w:r>
        <w:rPr>
          <w:rFonts w:ascii="Calibri" w:hAnsi="Calibri" w:eastAsia="Calibri"/>
          <w:b w:val="0"/>
          <w:i w:val="0"/>
          <w:color w:val="162236"/>
          <w:sz w:val="21"/>
        </w:rPr>
        <w:t>Yes, design-only workflows can support practices or labs that want production-ready files while keeping print, mill or local production under their own control. The exact file output and revision scope should be confirmed before the case begins.</w:t>
      </w:r>
    </w:p>
    <w:p>
      <w:pPr>
        <w:spacing w:before="0" w:after="60" w:line="300" w:lineRule="auto"/>
        <w:jc w:val="left"/>
        <w:keepLines w:val="1"/>
      </w:pPr>
      <w:r>
        <w:rPr>
          <w:rFonts w:ascii="Calibri" w:hAnsi="Calibri" w:eastAsia="Calibri"/>
          <w:b/>
          <w:i w:val="0"/>
          <w:color w:val="1F4D78"/>
          <w:sz w:val="23"/>
        </w:rPr>
        <w:t>Can I print or mill locally?</w:t>
      </w:r>
    </w:p>
    <w:p>
      <w:pPr>
        <w:spacing w:before="0" w:after="140" w:line="300" w:lineRule="auto"/>
        <w:jc w:val="left"/>
      </w:pPr>
      <w:r>
        <w:rPr>
          <w:rFonts w:ascii="Calibri" w:hAnsi="Calibri" w:eastAsia="Calibri"/>
          <w:b w:val="0"/>
          <w:i w:val="0"/>
          <w:color w:val="162236"/>
          <w:sz w:val="21"/>
        </w:rPr>
        <w:t>Yes, where the selected workflow is design-only or local-production oriented, the practice or lab may keep production local. Local production remains the responsibility of the local professional team and production provider.</w:t>
      </w:r>
    </w:p>
    <w:p>
      <w:pPr>
        <w:spacing w:before="0" w:after="60" w:line="300" w:lineRule="auto"/>
        <w:jc w:val="left"/>
        <w:keepLines w:val="1"/>
      </w:pPr>
      <w:r>
        <w:rPr>
          <w:rFonts w:ascii="Calibri" w:hAnsi="Calibri" w:eastAsia="Calibri"/>
          <w:b/>
          <w:i w:val="0"/>
          <w:color w:val="1F4D78"/>
          <w:sz w:val="23"/>
        </w:rPr>
        <w:t>How do I track a submitted case?</w:t>
      </w:r>
    </w:p>
    <w:p>
      <w:pPr>
        <w:spacing w:before="0" w:after="140" w:line="300" w:lineRule="auto"/>
        <w:jc w:val="left"/>
      </w:pPr>
      <w:r>
        <w:rPr>
          <w:rFonts w:ascii="Calibri" w:hAnsi="Calibri" w:eastAsia="Calibri"/>
          <w:b w:val="0"/>
          <w:i w:val="0"/>
          <w:color w:val="162236"/>
          <w:sz w:val="21"/>
        </w:rPr>
        <w:t>Active cases should be tracked through the authenticated Case Portal, where users can follow status, review case information and access the appropriate next actions according to the approved workflow.</w:t>
      </w:r>
    </w:p>
    <w:p>
      <w:pPr>
        <w:spacing w:before="0" w:after="60" w:line="300" w:lineRule="auto"/>
        <w:jc w:val="left"/>
        <w:keepNext w:val="1"/>
        <w:keepLines w:val="1"/>
      </w:pPr>
      <w:r>
        <w:rPr>
          <w:rFonts w:ascii="Calibri" w:hAnsi="Calibri" w:eastAsia="Calibri"/>
          <w:b w:val="0"/>
          <w:i/>
          <w:color w:val="5F6B7A"/>
          <w:sz w:val="19"/>
        </w:rPr>
        <w:t>Psychological job: Lead with the five questions that carry the highest friction. The visitor should feel understood before reading categories.</w:t>
      </w:r>
    </w:p>
    <w:p>
      <w:pPr>
        <w:spacing w:before="0" w:after="60" w:line="300" w:lineRule="auto"/>
        <w:jc w:val="left"/>
        <w:keepNext w:val="1"/>
        <w:keepLines w:val="1"/>
      </w:pPr>
      <w:r>
        <w:rPr>
          <w:rFonts w:ascii="Calibri" w:hAnsi="Calibri" w:eastAsia="Calibri"/>
          <w:b w:val="0"/>
          <w:i w:val="0"/>
          <w:color w:val="5F6B7A"/>
          <w:sz w:val="19"/>
        </w:rPr>
        <w:t>Visual direction: Use a clean FAQ hero plus five priority cards. Cards should be blue-white, compact and expandable.</w:t>
      </w:r>
    </w:p>
    <w:p>
      <w:pPr>
        <w:spacing w:before="0" w:after="60" w:line="300" w:lineRule="auto"/>
        <w:jc w:val="left"/>
        <w:keepNext w:val="1"/>
        <w:keepLines w:val="1"/>
      </w:pPr>
      <w:r>
        <w:rPr>
          <w:rFonts w:ascii="Calibri" w:hAnsi="Calibri" w:eastAsia="Calibri"/>
          <w:b w:val="0"/>
          <w:i w:val="0"/>
          <w:color w:val="5F6B7A"/>
          <w:sz w:val="19"/>
        </w:rPr>
        <w:t>Mobile: Show the five questions immediately below the hero before category filters. Keep CTAs visible after the fifth answer.</w:t>
      </w:r>
    </w:p>
    <w:p>
      <w:pPr>
        <w:spacing w:before="0" w:after="140" w:line="300" w:lineRule="auto"/>
        <w:jc w:val="left"/>
        <w:keepLines w:val="1"/>
      </w:pPr>
      <w:r>
        <w:rPr>
          <w:rFonts w:ascii="Calibri" w:hAnsi="Calibri" w:eastAsia="Calibri"/>
          <w:b w:val="0"/>
          <w:i w:val="0"/>
          <w:color w:val="5F6B7A"/>
          <w:sz w:val="19"/>
        </w:rPr>
        <w:t>Implementation: Priority questions should be visible by default. Longer categories may use accordions, but do not hide the top five behind tabs.</w:t>
      </w:r>
    </w:p>
    <w:p>
      <w:pPr>
        <w:pStyle w:val="Heading2"/>
        <w:keepNext w:val="1"/>
        <w:keepLines w:val="1"/>
      </w:pPr>
      <w:r>
        <w:t>Section 2 — Starting a case</w:t>
      </w:r>
    </w:p>
    <w:p>
      <w:pPr>
        <w:spacing w:before="0" w:after="60" w:line="300" w:lineRule="auto"/>
        <w:jc w:val="left"/>
        <w:keepLines w:val="1"/>
      </w:pPr>
      <w:r>
        <w:rPr>
          <w:rFonts w:ascii="Calibri" w:hAnsi="Calibri" w:eastAsia="Calibri"/>
          <w:b/>
          <w:i w:val="0"/>
          <w:color w:val="1F4D78"/>
          <w:sz w:val="23"/>
        </w:rPr>
        <w:t>Where should a new practice begin?</w:t>
      </w:r>
    </w:p>
    <w:p>
      <w:pPr>
        <w:spacing w:before="0" w:after="140" w:line="300" w:lineRule="auto"/>
        <w:jc w:val="left"/>
      </w:pPr>
      <w:r>
        <w:rPr>
          <w:rFonts w:ascii="Calibri" w:hAnsi="Calibri" w:eastAsia="Calibri"/>
          <w:b w:val="0"/>
          <w:i w:val="0"/>
          <w:color w:val="162236"/>
          <w:sz w:val="21"/>
        </w:rPr>
        <w:t>Start with Discuss a Case if you are unsure which workflow fits. If you already have an account and the case is ready, use the Case Portal.</w:t>
      </w:r>
    </w:p>
    <w:p>
      <w:pPr>
        <w:spacing w:before="0" w:after="60" w:line="300" w:lineRule="auto"/>
        <w:jc w:val="left"/>
        <w:keepLines w:val="1"/>
      </w:pPr>
      <w:r>
        <w:rPr>
          <w:rFonts w:ascii="Calibri" w:hAnsi="Calibri" w:eastAsia="Calibri"/>
          <w:b/>
          <w:i w:val="0"/>
          <w:color w:val="1F4D78"/>
          <w:sz w:val="23"/>
        </w:rPr>
        <w:t>Can I upload DICOM, STL or photos on the public FAQ page?</w:t>
      </w:r>
    </w:p>
    <w:p>
      <w:pPr>
        <w:spacing w:before="0" w:after="140" w:line="300" w:lineRule="auto"/>
        <w:jc w:val="left"/>
      </w:pPr>
      <w:r>
        <w:rPr>
          <w:rFonts w:ascii="Calibri" w:hAnsi="Calibri" w:eastAsia="Calibri"/>
          <w:b w:val="0"/>
          <w:i w:val="0"/>
          <w:color w:val="162236"/>
          <w:sz w:val="21"/>
        </w:rPr>
        <w:t>No. Public pages should explain preparation and collect non-identifying enquiries only. Clinical files belong inside the authenticated Case Portal or another approved professional intake route.</w:t>
      </w:r>
    </w:p>
    <w:p>
      <w:pPr>
        <w:spacing w:before="0" w:after="60" w:line="300" w:lineRule="auto"/>
        <w:jc w:val="left"/>
        <w:keepLines w:val="1"/>
      </w:pPr>
      <w:r>
        <w:rPr>
          <w:rFonts w:ascii="Calibri" w:hAnsi="Calibri" w:eastAsia="Calibri"/>
          <w:b/>
          <w:i w:val="0"/>
          <w:color w:val="1F4D78"/>
          <w:sz w:val="23"/>
        </w:rPr>
        <w:t>Who approves the final plan or design?</w:t>
      </w:r>
    </w:p>
    <w:p>
      <w:pPr>
        <w:spacing w:before="0" w:after="140" w:line="300" w:lineRule="auto"/>
        <w:jc w:val="left"/>
      </w:pPr>
      <w:r>
        <w:rPr>
          <w:rFonts w:ascii="Calibri" w:hAnsi="Calibri" w:eastAsia="Calibri"/>
          <w:b w:val="0"/>
          <w:i w:val="0"/>
          <w:color w:val="162236"/>
          <w:sz w:val="21"/>
        </w:rPr>
        <w:t>The treating clinician or responsible professional team must review and approve the clinical direction. Image3DConversion supports digital planning and workflow preparation within the agreed scope.</w:t>
      </w:r>
    </w:p>
    <w:p>
      <w:pPr>
        <w:spacing w:before="0" w:after="60" w:line="300" w:lineRule="auto"/>
        <w:jc w:val="left"/>
        <w:keepLines w:val="1"/>
      </w:pPr>
      <w:r>
        <w:rPr>
          <w:rFonts w:ascii="Calibri" w:hAnsi="Calibri" w:eastAsia="Calibri"/>
          <w:b/>
          <w:i w:val="0"/>
          <w:color w:val="1F4D78"/>
          <w:sz w:val="23"/>
        </w:rPr>
        <w:t>What if I am not sure whether my case is guided, design-only or design-to-delivery?</w:t>
      </w:r>
    </w:p>
    <w:p>
      <w:pPr>
        <w:spacing w:before="0" w:after="140" w:line="300" w:lineRule="auto"/>
        <w:jc w:val="left"/>
      </w:pPr>
      <w:r>
        <w:rPr>
          <w:rFonts w:ascii="Calibri" w:hAnsi="Calibri" w:eastAsia="Calibri"/>
          <w:b w:val="0"/>
          <w:i w:val="0"/>
          <w:color w:val="162236"/>
          <w:sz w:val="21"/>
        </w:rPr>
        <w:t>Use the public discussion route with a non-identifying workflow summary. The team can help route the enquiry before clinical records are submitted.</w:t>
      </w:r>
    </w:p>
    <w:p>
      <w:pPr>
        <w:pStyle w:val="Heading2"/>
        <w:keepNext w:val="1"/>
        <w:keepLines w:val="1"/>
      </w:pPr>
      <w:r>
        <w:t>Section 3 — Guided surgery and full-arch planning</w:t>
      </w:r>
    </w:p>
    <w:p>
      <w:pPr>
        <w:spacing w:before="0" w:after="60" w:line="300" w:lineRule="auto"/>
        <w:jc w:val="left"/>
        <w:keepLines w:val="1"/>
      </w:pPr>
      <w:r>
        <w:rPr>
          <w:rFonts w:ascii="Calibri" w:hAnsi="Calibri" w:eastAsia="Calibri"/>
          <w:b/>
          <w:i w:val="0"/>
          <w:color w:val="1F4D78"/>
          <w:sz w:val="23"/>
        </w:rPr>
        <w:t>Do you support single and multiple implant guided workflows?</w:t>
      </w:r>
    </w:p>
    <w:p>
      <w:pPr>
        <w:spacing w:before="0" w:after="140" w:line="300" w:lineRule="auto"/>
        <w:jc w:val="left"/>
      </w:pPr>
      <w:r>
        <w:rPr>
          <w:rFonts w:ascii="Calibri" w:hAnsi="Calibri" w:eastAsia="Calibri"/>
          <w:b w:val="0"/>
          <w:i w:val="0"/>
          <w:color w:val="162236"/>
          <w:sz w:val="21"/>
        </w:rPr>
        <w:t>Yes, Image3DConversion can support routine and multi-implant guided workflows when the required diagnostic records and planning objectives are available.</w:t>
      </w:r>
    </w:p>
    <w:p>
      <w:pPr>
        <w:spacing w:before="0" w:after="60" w:line="300" w:lineRule="auto"/>
        <w:jc w:val="left"/>
        <w:keepLines w:val="1"/>
      </w:pPr>
      <w:r>
        <w:rPr>
          <w:rFonts w:ascii="Calibri" w:hAnsi="Calibri" w:eastAsia="Calibri"/>
          <w:b/>
          <w:i w:val="0"/>
          <w:color w:val="1F4D78"/>
          <w:sz w:val="23"/>
        </w:rPr>
        <w:t>Do you support full-arch or stackable guide workflows?</w:t>
      </w:r>
    </w:p>
    <w:p>
      <w:pPr>
        <w:spacing w:before="0" w:after="140" w:line="300" w:lineRule="auto"/>
        <w:jc w:val="left"/>
      </w:pPr>
      <w:r>
        <w:rPr>
          <w:rFonts w:ascii="Calibri" w:hAnsi="Calibri" w:eastAsia="Calibri"/>
          <w:b w:val="0"/>
          <w:i w:val="0"/>
          <w:color w:val="162236"/>
          <w:sz w:val="21"/>
        </w:rPr>
        <w:t>Yes, full-arch workflows may involve prosthetic reference, bone reduction, implant sequence, MUA direction and staged guide coordination. Case-specific scope should be confirmed before starting.</w:t>
      </w:r>
    </w:p>
    <w:p>
      <w:pPr>
        <w:spacing w:before="0" w:after="60" w:line="300" w:lineRule="auto"/>
        <w:jc w:val="left"/>
        <w:keepLines w:val="1"/>
      </w:pPr>
      <w:r>
        <w:rPr>
          <w:rFonts w:ascii="Calibri" w:hAnsi="Calibri" w:eastAsia="Calibri"/>
          <w:b/>
          <w:i w:val="0"/>
          <w:color w:val="1F4D78"/>
          <w:sz w:val="23"/>
        </w:rPr>
        <w:t>Do you support zygoma or pterygoid planning workflows?</w:t>
      </w:r>
    </w:p>
    <w:p>
      <w:pPr>
        <w:spacing w:before="0" w:after="140" w:line="300" w:lineRule="auto"/>
        <w:jc w:val="left"/>
      </w:pPr>
      <w:r>
        <w:rPr>
          <w:rFonts w:ascii="Calibri" w:hAnsi="Calibri" w:eastAsia="Calibri"/>
          <w:b w:val="0"/>
          <w:i w:val="0"/>
          <w:color w:val="162236"/>
          <w:sz w:val="21"/>
        </w:rPr>
        <w:t>Advanced workflows can be discussed where appropriate professional leadership and diagnostic records are available. These cases require especially clear responsibility, review and approval boundaries.</w:t>
      </w:r>
    </w:p>
    <w:p>
      <w:pPr>
        <w:pStyle w:val="Heading2"/>
        <w:keepNext w:val="1"/>
        <w:keepLines w:val="1"/>
      </w:pPr>
      <w:r>
        <w:t>Section 4 — Design-only workflow</w:t>
      </w:r>
    </w:p>
    <w:p>
      <w:pPr>
        <w:spacing w:before="0" w:after="60" w:line="300" w:lineRule="auto"/>
        <w:jc w:val="left"/>
        <w:keepLines w:val="1"/>
      </w:pPr>
      <w:r>
        <w:rPr>
          <w:rFonts w:ascii="Calibri" w:hAnsi="Calibri" w:eastAsia="Calibri"/>
          <w:b/>
          <w:i w:val="0"/>
          <w:color w:val="1F4D78"/>
          <w:sz w:val="23"/>
        </w:rPr>
        <w:t>What does design-only mean?</w:t>
      </w:r>
    </w:p>
    <w:p>
      <w:pPr>
        <w:spacing w:before="0" w:after="140" w:line="300" w:lineRule="auto"/>
        <w:jc w:val="left"/>
      </w:pPr>
      <w:r>
        <w:rPr>
          <w:rFonts w:ascii="Calibri" w:hAnsi="Calibri" w:eastAsia="Calibri"/>
          <w:b w:val="0"/>
          <w:i w:val="0"/>
          <w:color w:val="162236"/>
          <w:sz w:val="21"/>
        </w:rPr>
        <w:t>Design-only means Image3DConversion supports planning or design output while the practice, lab or partner manages local production and final clinical use.</w:t>
      </w:r>
    </w:p>
    <w:p>
      <w:pPr>
        <w:spacing w:before="0" w:after="60" w:line="300" w:lineRule="auto"/>
        <w:jc w:val="left"/>
        <w:keepLines w:val="1"/>
      </w:pPr>
      <w:r>
        <w:rPr>
          <w:rFonts w:ascii="Calibri" w:hAnsi="Calibri" w:eastAsia="Calibri"/>
          <w:b/>
          <w:i w:val="0"/>
          <w:color w:val="1F4D78"/>
          <w:sz w:val="23"/>
        </w:rPr>
        <w:t>What files can be delivered?</w:t>
      </w:r>
    </w:p>
    <w:p>
      <w:pPr>
        <w:spacing w:before="0" w:after="140" w:line="300" w:lineRule="auto"/>
        <w:jc w:val="left"/>
      </w:pPr>
      <w:r>
        <w:rPr>
          <w:rFonts w:ascii="Calibri" w:hAnsi="Calibri" w:eastAsia="Calibri"/>
          <w:b w:val="0"/>
          <w:i w:val="0"/>
          <w:color w:val="162236"/>
          <w:sz w:val="21"/>
        </w:rPr>
        <w:t>The file output depends on the agreed workflow. It may include production-ready design files where scope, record quality and review requirements are confirmed.</w:t>
      </w:r>
    </w:p>
    <w:p>
      <w:pPr>
        <w:spacing w:before="0" w:after="60" w:line="300" w:lineRule="auto"/>
        <w:jc w:val="left"/>
        <w:keepLines w:val="1"/>
      </w:pPr>
      <w:r>
        <w:rPr>
          <w:rFonts w:ascii="Calibri" w:hAnsi="Calibri" w:eastAsia="Calibri"/>
          <w:b/>
          <w:i w:val="0"/>
          <w:color w:val="1F4D78"/>
          <w:sz w:val="23"/>
        </w:rPr>
        <w:t>Can my local lab handle production?</w:t>
      </w:r>
    </w:p>
    <w:p>
      <w:pPr>
        <w:spacing w:before="0" w:after="140" w:line="300" w:lineRule="auto"/>
        <w:jc w:val="left"/>
      </w:pPr>
      <w:r>
        <w:rPr>
          <w:rFonts w:ascii="Calibri" w:hAnsi="Calibri" w:eastAsia="Calibri"/>
          <w:b w:val="0"/>
          <w:i w:val="0"/>
          <w:color w:val="162236"/>
          <w:sz w:val="21"/>
        </w:rPr>
        <w:t>Yes, if the workflow is structured for local production. The local lab must verify manufacturing settings, material choice, fit, finishing and applicable local requirements.</w:t>
      </w:r>
    </w:p>
    <w:p>
      <w:pPr>
        <w:pStyle w:val="Heading2"/>
        <w:keepNext w:val="1"/>
        <w:keepLines w:val="1"/>
      </w:pPr>
      <w:r>
        <w:t>Section 5 — Design-to-delivery workflow</w:t>
      </w:r>
    </w:p>
    <w:p>
      <w:pPr>
        <w:spacing w:before="0" w:after="60" w:line="300" w:lineRule="auto"/>
        <w:jc w:val="left"/>
        <w:keepLines w:val="1"/>
      </w:pPr>
      <w:r>
        <w:rPr>
          <w:rFonts w:ascii="Calibri" w:hAnsi="Calibri" w:eastAsia="Calibri"/>
          <w:b/>
          <w:i w:val="0"/>
          <w:color w:val="1F4D78"/>
          <w:sz w:val="23"/>
        </w:rPr>
        <w:t>What is design-to-delivery?</w:t>
      </w:r>
    </w:p>
    <w:p>
      <w:pPr>
        <w:spacing w:before="0" w:after="140" w:line="300" w:lineRule="auto"/>
        <w:jc w:val="left"/>
      </w:pPr>
      <w:r>
        <w:rPr>
          <w:rFonts w:ascii="Calibri" w:hAnsi="Calibri" w:eastAsia="Calibri"/>
          <w:b w:val="0"/>
          <w:i w:val="0"/>
          <w:color w:val="162236"/>
          <w:sz w:val="21"/>
        </w:rPr>
        <w:t>Design-to-delivery is a coordinated route where planning, design and production handoff or delivery support are aligned under an agreed scope.</w:t>
      </w:r>
    </w:p>
    <w:p>
      <w:pPr>
        <w:spacing w:before="0" w:after="60" w:line="300" w:lineRule="auto"/>
        <w:jc w:val="left"/>
        <w:keepLines w:val="1"/>
      </w:pPr>
      <w:r>
        <w:rPr>
          <w:rFonts w:ascii="Calibri" w:hAnsi="Calibri" w:eastAsia="Calibri"/>
          <w:b/>
          <w:i w:val="0"/>
          <w:color w:val="1F4D78"/>
          <w:sz w:val="23"/>
        </w:rPr>
        <w:t>Is every case eligible for design-to-delivery?</w:t>
      </w:r>
    </w:p>
    <w:p>
      <w:pPr>
        <w:spacing w:before="0" w:after="140" w:line="300" w:lineRule="auto"/>
        <w:jc w:val="left"/>
      </w:pPr>
      <w:r>
        <w:rPr>
          <w:rFonts w:ascii="Calibri" w:hAnsi="Calibri" w:eastAsia="Calibri"/>
          <w:b w:val="0"/>
          <w:i w:val="0"/>
          <w:color w:val="162236"/>
          <w:sz w:val="21"/>
        </w:rPr>
        <w:t>No. Eligibility depends on case type, location, production route, available records, operational capacity and confirmed scope.</w:t>
      </w:r>
    </w:p>
    <w:p>
      <w:pPr>
        <w:spacing w:before="0" w:after="60" w:line="300" w:lineRule="auto"/>
        <w:jc w:val="left"/>
        <w:keepLines w:val="1"/>
      </w:pPr>
      <w:r>
        <w:rPr>
          <w:rFonts w:ascii="Calibri" w:hAnsi="Calibri" w:eastAsia="Calibri"/>
          <w:b/>
          <w:i w:val="0"/>
          <w:color w:val="1F4D78"/>
          <w:sz w:val="23"/>
        </w:rPr>
        <w:t>Can revisions be requested?</w:t>
      </w:r>
    </w:p>
    <w:p>
      <w:pPr>
        <w:spacing w:before="0" w:after="140" w:line="300" w:lineRule="auto"/>
        <w:jc w:val="left"/>
      </w:pPr>
      <w:r>
        <w:rPr>
          <w:rFonts w:ascii="Calibri" w:hAnsi="Calibri" w:eastAsia="Calibri"/>
          <w:b w:val="0"/>
          <w:i w:val="0"/>
          <w:color w:val="162236"/>
          <w:sz w:val="21"/>
        </w:rPr>
        <w:t>Yes, revision handling should be part of the agreed review workflow. Revision limits, turnaround and approval steps should be confirmed for the selected route.</w:t>
      </w:r>
    </w:p>
    <w:p>
      <w:pPr>
        <w:pStyle w:val="Heading2"/>
        <w:keepNext w:val="1"/>
        <w:keepLines w:val="1"/>
      </w:pPr>
      <w:r>
        <w:t>Section 6 — Global practices and partnerships</w:t>
      </w:r>
    </w:p>
    <w:p>
      <w:pPr>
        <w:spacing w:before="0" w:after="60" w:line="300" w:lineRule="auto"/>
        <w:jc w:val="left"/>
        <w:keepLines w:val="1"/>
      </w:pPr>
      <w:r>
        <w:rPr>
          <w:rFonts w:ascii="Calibri" w:hAnsi="Calibri" w:eastAsia="Calibri"/>
          <w:b/>
          <w:i w:val="0"/>
          <w:color w:val="1F4D78"/>
          <w:sz w:val="23"/>
        </w:rPr>
        <w:t>Can international practices work with Image3DConversion?</w:t>
      </w:r>
    </w:p>
    <w:p>
      <w:pPr>
        <w:spacing w:before="0" w:after="140" w:line="300" w:lineRule="auto"/>
        <w:jc w:val="left"/>
      </w:pPr>
      <w:r>
        <w:rPr>
          <w:rFonts w:ascii="Calibri" w:hAnsi="Calibri" w:eastAsia="Calibri"/>
          <w:b w:val="0"/>
          <w:i w:val="0"/>
          <w:color w:val="162236"/>
          <w:sz w:val="21"/>
        </w:rPr>
        <w:t>Yes, international workflows can be discussed for planning support, design-only files, local production models or coordinated delivery routes where scope is feasible.</w:t>
      </w:r>
    </w:p>
    <w:p>
      <w:pPr>
        <w:spacing w:before="0" w:after="60" w:line="300" w:lineRule="auto"/>
        <w:jc w:val="left"/>
        <w:keepLines w:val="1"/>
      </w:pPr>
      <w:r>
        <w:rPr>
          <w:rFonts w:ascii="Calibri" w:hAnsi="Calibri" w:eastAsia="Calibri"/>
          <w:b/>
          <w:i w:val="0"/>
          <w:color w:val="1F4D78"/>
          <w:sz w:val="23"/>
        </w:rPr>
        <w:t>How do time zones and communication work?</w:t>
      </w:r>
    </w:p>
    <w:p>
      <w:pPr>
        <w:spacing w:before="0" w:after="140" w:line="300" w:lineRule="auto"/>
        <w:jc w:val="left"/>
      </w:pPr>
      <w:r>
        <w:rPr>
          <w:rFonts w:ascii="Calibri" w:hAnsi="Calibri" w:eastAsia="Calibri"/>
          <w:b w:val="0"/>
          <w:i w:val="0"/>
          <w:color w:val="162236"/>
          <w:sz w:val="21"/>
        </w:rPr>
        <w:t>Global cases should use clear written instructions, agreed review channels and timezone-aware communication. Exact response expectations should be confirmed for the workflow.</w:t>
      </w:r>
    </w:p>
    <w:p>
      <w:pPr>
        <w:spacing w:before="0" w:after="60" w:line="300" w:lineRule="auto"/>
        <w:jc w:val="left"/>
        <w:keepLines w:val="1"/>
      </w:pPr>
      <w:r>
        <w:rPr>
          <w:rFonts w:ascii="Calibri" w:hAnsi="Calibri" w:eastAsia="Calibri"/>
          <w:b/>
          <w:i w:val="0"/>
          <w:color w:val="1F4D78"/>
          <w:sz w:val="23"/>
        </w:rPr>
        <w:t>Do you offer white-label workflow support?</w:t>
      </w:r>
    </w:p>
    <w:p>
      <w:pPr>
        <w:spacing w:before="0" w:after="140" w:line="300" w:lineRule="auto"/>
        <w:jc w:val="left"/>
      </w:pPr>
      <w:r>
        <w:rPr>
          <w:rFonts w:ascii="Calibri" w:hAnsi="Calibri" w:eastAsia="Calibri"/>
          <w:b w:val="0"/>
          <w:i w:val="0"/>
          <w:color w:val="162236"/>
          <w:sz w:val="21"/>
        </w:rPr>
        <w:t>White-label partnerships can be discussed for labs, DSOs, implant companies and education groups. The scope, brand visibility, responsibility boundary and operating model must be defined before work begins.</w:t>
      </w:r>
    </w:p>
    <w:p>
      <w:pPr>
        <w:pStyle w:val="Heading2"/>
        <w:keepNext w:val="1"/>
        <w:keepLines w:val="1"/>
      </w:pPr>
      <w:r>
        <w:t>Section 7 — Case Portal</w:t>
      </w:r>
    </w:p>
    <w:p>
      <w:pPr>
        <w:spacing w:before="0" w:after="60" w:line="300" w:lineRule="auto"/>
        <w:jc w:val="left"/>
        <w:keepLines w:val="1"/>
      </w:pPr>
      <w:r>
        <w:rPr>
          <w:rFonts w:ascii="Calibri" w:hAnsi="Calibri" w:eastAsia="Calibri"/>
          <w:b/>
          <w:i w:val="0"/>
          <w:color w:val="1F4D78"/>
          <w:sz w:val="23"/>
        </w:rPr>
        <w:t>What is the Case Portal for?</w:t>
      </w:r>
    </w:p>
    <w:p>
      <w:pPr>
        <w:spacing w:before="0" w:after="140" w:line="300" w:lineRule="auto"/>
        <w:jc w:val="left"/>
      </w:pPr>
      <w:r>
        <w:rPr>
          <w:rFonts w:ascii="Calibri" w:hAnsi="Calibri" w:eastAsia="Calibri"/>
          <w:b w:val="0"/>
          <w:i w:val="0"/>
          <w:color w:val="162236"/>
          <w:sz w:val="21"/>
        </w:rPr>
        <w:t>The Case Portal is the authenticated environment for active case submission, record exchange, status visibility, review, revision, approval and deliverable access.</w:t>
      </w:r>
    </w:p>
    <w:p>
      <w:pPr>
        <w:spacing w:before="0" w:after="60" w:line="300" w:lineRule="auto"/>
        <w:jc w:val="left"/>
        <w:keepLines w:val="1"/>
      </w:pPr>
      <w:r>
        <w:rPr>
          <w:rFonts w:ascii="Calibri" w:hAnsi="Calibri" w:eastAsia="Calibri"/>
          <w:b/>
          <w:i w:val="0"/>
          <w:color w:val="1F4D78"/>
          <w:sz w:val="23"/>
        </w:rPr>
        <w:t>Can I save and resume a case?</w:t>
      </w:r>
    </w:p>
    <w:p>
      <w:pPr>
        <w:spacing w:before="0" w:after="140" w:line="300" w:lineRule="auto"/>
        <w:jc w:val="left"/>
      </w:pPr>
      <w:r>
        <w:rPr>
          <w:rFonts w:ascii="Calibri" w:hAnsi="Calibri" w:eastAsia="Calibri"/>
          <w:b w:val="0"/>
          <w:i w:val="0"/>
          <w:color w:val="162236"/>
          <w:sz w:val="21"/>
        </w:rPr>
        <w:t>The portal workflow should support draft, save, exit and resume behaviour where configured for the user and case route.</w:t>
      </w:r>
    </w:p>
    <w:p>
      <w:pPr>
        <w:spacing w:before="0" w:after="60" w:line="300" w:lineRule="auto"/>
        <w:jc w:val="left"/>
        <w:keepLines w:val="1"/>
      </w:pPr>
      <w:r>
        <w:rPr>
          <w:rFonts w:ascii="Calibri" w:hAnsi="Calibri" w:eastAsia="Calibri"/>
          <w:b/>
          <w:i w:val="0"/>
          <w:color w:val="1F4D78"/>
          <w:sz w:val="23"/>
        </w:rPr>
        <w:t>What statuses should the portal show?</w:t>
      </w:r>
    </w:p>
    <w:p>
      <w:pPr>
        <w:spacing w:before="0" w:after="140" w:line="300" w:lineRule="auto"/>
        <w:jc w:val="left"/>
      </w:pPr>
      <w:r>
        <w:rPr>
          <w:rFonts w:ascii="Calibri" w:hAnsi="Calibri" w:eastAsia="Calibri"/>
          <w:b w:val="0"/>
          <w:i w:val="0"/>
          <w:color w:val="162236"/>
          <w:sz w:val="21"/>
        </w:rPr>
        <w:t>The portal should show clear case-status visibility according to the approved workflow. Public FAQ wording should not add new statuses or change the established portal architecture.</w:t>
      </w:r>
    </w:p>
    <w:p>
      <w:pPr>
        <w:pStyle w:val="Heading2"/>
        <w:keepNext w:val="1"/>
        <w:keepLines w:val="1"/>
      </w:pPr>
      <w:r>
        <w:t>Section 8 — Pricing and discussion</w:t>
      </w:r>
    </w:p>
    <w:p>
      <w:pPr>
        <w:spacing w:before="0" w:after="60" w:line="300" w:lineRule="auto"/>
        <w:jc w:val="left"/>
        <w:keepLines w:val="1"/>
      </w:pPr>
      <w:r>
        <w:rPr>
          <w:rFonts w:ascii="Calibri" w:hAnsi="Calibri" w:eastAsia="Calibri"/>
          <w:b/>
          <w:i w:val="0"/>
          <w:color w:val="1F4D78"/>
          <w:sz w:val="23"/>
        </w:rPr>
        <w:t>Where can I see pricing?</w:t>
      </w:r>
    </w:p>
    <w:p>
      <w:pPr>
        <w:spacing w:before="0" w:after="140" w:line="300" w:lineRule="auto"/>
        <w:jc w:val="left"/>
      </w:pPr>
      <w:r>
        <w:rPr>
          <w:rFonts w:ascii="Calibri" w:hAnsi="Calibri" w:eastAsia="Calibri"/>
          <w:b w:val="0"/>
          <w:i w:val="0"/>
          <w:color w:val="162236"/>
          <w:sz w:val="21"/>
        </w:rPr>
        <w:t>Pricing depends on workflow type, case complexity, delivery scope, region and current operational approval. Public pricing should be published only when the current approved pricing sheet supports it.</w:t>
      </w:r>
    </w:p>
    <w:p>
      <w:pPr>
        <w:spacing w:before="0" w:after="60" w:line="300" w:lineRule="auto"/>
        <w:jc w:val="left"/>
        <w:keepLines w:val="1"/>
      </w:pPr>
      <w:r>
        <w:rPr>
          <w:rFonts w:ascii="Calibri" w:hAnsi="Calibri" w:eastAsia="Calibri"/>
          <w:b/>
          <w:i w:val="0"/>
          <w:color w:val="1F4D78"/>
          <w:sz w:val="23"/>
        </w:rPr>
        <w:t>What should I do if I am unsure where my case fits?</w:t>
      </w:r>
    </w:p>
    <w:p>
      <w:pPr>
        <w:spacing w:before="0" w:after="140" w:line="300" w:lineRule="auto"/>
        <w:jc w:val="left"/>
      </w:pPr>
      <w:r>
        <w:rPr>
          <w:rFonts w:ascii="Calibri" w:hAnsi="Calibri" w:eastAsia="Calibri"/>
          <w:b w:val="0"/>
          <w:i w:val="0"/>
          <w:color w:val="162236"/>
          <w:sz w:val="21"/>
        </w:rPr>
        <w:t>Send a general enquiry through Discuss a Case. The team can help identify the right workflow before clinical records are submitted.</w:t>
      </w:r>
    </w:p>
    <w:p>
      <w:pPr>
        <w:pStyle w:val="Heading2"/>
        <w:keepNext w:val="1"/>
        <w:keepLines w:val="1"/>
      </w:pPr>
      <w:r>
        <w:t>Section 9 — Final CTA band</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Still unsure where your case fits?</w:t>
      </w:r>
    </w:p>
    <w:p>
      <w:pPr>
        <w:spacing w:before="0" w:after="80"/>
        <w:keepNext w:val="1"/>
      </w:pPr>
      <w:r>
        <w:rPr>
          <w:rFonts w:ascii="Calibri" w:hAnsi="Calibri" w:eastAsia="Calibri"/>
          <w:b/>
          <w:color w:val="2E74B5"/>
          <w:sz w:val="19"/>
        </w:rPr>
        <w:t>CTA BODY</w:t>
      </w:r>
    </w:p>
    <w:p>
      <w:pPr>
        <w:spacing w:before="0" w:after="100" w:line="300" w:lineRule="auto"/>
        <w:jc w:val="left"/>
        <w:keepLines w:val="1"/>
      </w:pPr>
      <w:r>
        <w:rPr>
          <w:rFonts w:ascii="Calibri" w:hAnsi="Calibri" w:eastAsia="Calibri"/>
          <w:b w:val="0"/>
          <w:i w:val="0"/>
          <w:color w:val="162236"/>
          <w:sz w:val="24"/>
        </w:rPr>
        <w:t>Send a general enquiry and the team will guide you to the right workflow before clinical records are submitted.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a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Open Case Portal</w:t>
      </w:r>
    </w:p>
    <w:p>
      <w:pPr>
        <w:pStyle w:val="Heading1"/>
        <w:pageBreakBefore w:val="1"/>
        <w:keepNext w:val="1"/>
        <w:keepLines w:val="1"/>
      </w:pPr>
      <w:r>
        <w:t>3. Attention architecture</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800"/>
        <w:gridCol w:w="3600"/>
        <w:gridCol w:w="3600"/>
      </w:tblGrid>
      <w:tr>
        <w:trPr>
          <w:tblHeader w:val="true"/>
          <w:cantSplit/>
        </w:trPr>
        <w:tc>
          <w:tcPr>
            <w:tcW w:type="dxa" w:w="1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Layer</w:t>
            </w:r>
          </w:p>
        </w:tc>
        <w:tc>
          <w:tcPr>
            <w:tcW w:type="dxa" w:w="3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Purpose</w:t>
            </w:r>
          </w:p>
        </w:tc>
        <w:tc>
          <w:tcPr>
            <w:tcW w:type="dxa" w:w="3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Attention rule</w:t>
            </w:r>
          </w:p>
        </w:tc>
      </w:tr>
      <w:tr>
        <w:trPr>
          <w:cantSplit/>
        </w:trP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Clarify the page promise immediately.</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one direct H1 and two visible CTAs.</w:t>
            </w:r>
          </w:p>
        </w:tc>
      </w:tr>
      <w:tr>
        <w:trPr>
          <w:cantSplit/>
        </w:trP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Top five questions</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Remove the highest-friction doubts first.</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Keep visible above category browsing.</w:t>
            </w:r>
          </w:p>
        </w:tc>
      </w:tr>
      <w:tr>
        <w:trPr>
          <w:cantSplit/>
        </w:trP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Category groups</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Let visitors self-select by workflow type.</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accordions or anchors, not a wall of questions.</w:t>
            </w:r>
          </w:p>
        </w:tc>
      </w:tr>
      <w:tr>
        <w:trPr>
          <w:cantSplit/>
        </w:trP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boundary</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Protect clinical intake and case handling.</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Repeat clearly where upload/tracking questions appear.</w:t>
            </w:r>
          </w:p>
        </w:tc>
      </w:tr>
      <w:tr>
        <w:trPr>
          <w:cantSplit/>
        </w:trP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Final CTA</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Convert uncertainty into a professional enquiry.</w:t>
            </w:r>
          </w:p>
        </w:tc>
        <w:tc>
          <w:tcPr>
            <w:tcW w:type="dxa" w:w="3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Discuss a Case as the main route.</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4. Design and visual direction</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Element</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Direction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Overall feel</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Precise, calm, fast and premium. The page should feel like the practice has found the correct desk.</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Colour system</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Blue + White only. Use pale blue FAQ cards, white background and dark-blue section hierarchy.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 visual</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 clean question-and-route interface over a subtle 3D implant planning model or portal-style question cards.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FAQ behaviour</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Top five questions open or highly visible. Category questions may use accordion behaviour with anchor navigation.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Mobile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Sticky category selector or compact jump list. Keep answers short enough to scan on phone.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Avoid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Dense support-center layouts, generic chatbot visuals, public upload widgets, dark gradients, exaggerated certainty language or medical emergency tone.</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5. Navigation and CTA routing</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3200"/>
        <w:gridCol w:w="3500"/>
      </w:tblGrid>
      <w:tr>
        <w:trPr>
          <w:tblHeader w:val="true"/>
          <w:cantSplit/>
        </w:trPr>
        <w:tc>
          <w:tcPr>
            <w:tcW w:type="dxa" w:w="2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CTA / link</w:t>
            </w:r>
          </w:p>
        </w:tc>
        <w:tc>
          <w:tcPr>
            <w:tcW w:type="dxa" w:w="3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3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Purpose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 a Case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/discuss-a-case/</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Primary route for uncertainty and non-identifying professional enquiry.</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Open Case Portal</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/case-portal/</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Returning users and ready active-case workflow.</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Prepare Case Data</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/case-data-diagnostic-preparation/</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Detailed record-preparation guidance.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Design-Only Workflow</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/design-only-workflow/</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 local-production and file-output questions.</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Design-to-Delivery Workflow</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/design-to-delivery-workflow/</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 coordinated production-handoff questions.</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 Practice Workflows</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/global-practice-workflows/</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 international collaboration questions.</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White-Label Partnership</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/white-label-workflow-partnership/</w:t>
            </w:r>
          </w:p>
        </w:tc>
        <w:tc>
          <w:tcPr>
            <w:tcW w:type="dxa" w:w="3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Route labs, DSOs, implant companies and education partners.</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Publication controls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Control area</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Public FAQ boundary</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Answer general workflow questions only; do not collect patient-identifying details or clinical files on this page.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Clinical authority</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Keep diagnosis, treatment indication, consent, surgery and final clinical approval with the treating clinician or responsible professional team.</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Portal architecture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Do not alter login, role controls, tenant isolation, finance separation, statuses, approvals or authenticated screens.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Pricing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Publish exact prices only from an approved current pricing source.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Timing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Publish turnaround or response expectations only after operations approval for the relevant workflow and market.</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Global claims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Describe available collaboration routes, not universal coverage or regulatory responsibility.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Tone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Confident and helpful. Avoid blame, panic, over-selling or unsupported certainty.</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7. Source alignment</w:t>
      </w:r>
    </w:p>
    <w:p>
      <w:pPr>
        <w:numPr>
          <w:ilvl w:val="0"/>
          <w:numId w:val="11"/>
        </w:numPr>
        <w:spacing w:after="80" w:line="300" w:lineRule="auto"/>
      </w:pPr>
      <w:hyperlink r:id="rId11">
        <w:r>
          <w:rPr>
            <w:rFonts w:ascii="Calibri" w:hAnsi="Calibri"/>
            <w:color w:val="2E74B5"/>
            <w:u w:val="single"/>
          </w:rPr>
          <w:t>Master Content Strategy</w:t>
        </w:r>
      </w:hyperlink>
    </w:p>
    <w:p>
      <w:pPr>
        <w:numPr>
          <w:ilvl w:val="0"/>
          <w:numId w:val="12"/>
        </w:numPr>
        <w:spacing w:after="80" w:line="300" w:lineRule="auto"/>
      </w:pPr>
      <w:hyperlink r:id="rId12">
        <w:r>
          <w:rPr>
            <w:rFonts w:ascii="Calibri" w:hAnsi="Calibri"/>
            <w:color w:val="2E74B5"/>
            <w:u w:val="single"/>
          </w:rPr>
          <w:t>Blueprint 01</w:t>
        </w:r>
      </w:hyperlink>
    </w:p>
    <w:p>
      <w:pPr>
        <w:numPr>
          <w:ilvl w:val="0"/>
          <w:numId w:val="13"/>
        </w:numPr>
        <w:spacing w:after="80" w:line="300" w:lineRule="auto"/>
      </w:pPr>
      <w:hyperlink r:id="rId13">
        <w:r>
          <w:rPr>
            <w:rFonts w:ascii="Calibri" w:hAnsi="Calibri"/>
            <w:color w:val="2E74B5"/>
            <w:u w:val="single"/>
          </w:rPr>
          <w:t>Google people-first content guidance</w:t>
        </w:r>
      </w:hyperlink>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IMPLEMENTATION NOTE  </w:t>
      </w:r>
      <w:r>
        <w:rPr>
          <w:rFonts w:ascii="Calibri" w:hAnsi="Calibri" w:eastAsia="Calibri"/>
          <w:b w:val="0"/>
          <w:color w:val="162236"/>
          <w:sz w:val="22"/>
        </w:rPr>
        <w:t>This document contains publishable visitor copy and internal handoff rules. In implementation, only the final FAQ copy should be published. Strategy notes, controls and developer safeguards remain internal.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FAQ + PRACTICE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Image3DConversion_Master_Content_Strategy_v1.0.docx" TargetMode="External"/><Relationship Id="rId12" Type="http://schemas.openxmlformats.org/officeDocument/2006/relationships/hyperlink" Target="Image3DConversion_Blueprint_01_Homepage_Global_Shell.md" TargetMode="External"/><Relationship Id="rId13" Type="http://schemas.openxmlformats.org/officeDocument/2006/relationships/hyperlink" Target="https://developers.google.com/search/docs/fundamentals/creating-helpful-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