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 w:line="300" w:lineRule="auto"/>
        <w:jc w:val="left"/>
      </w:pPr>
      <w:r>
        <w:rPr>
          <w:rFonts w:ascii="Calibri" w:hAnsi="Calibri" w:eastAsia="Calibri"/>
          <w:b/>
          <w:i w:val="0"/>
          <w:color w:val="2E74B5"/>
          <w:sz w:val="19"/>
        </w:rPr>
        <w:t>CONTENT + EXPERIENCE SPECIFICATION</w:t>
      </w:r>
    </w:p>
    <w:p>
      <w:pPr>
        <w:spacing w:before="0" w:after="120" w:line="240" w:lineRule="auto"/>
      </w:pPr>
      <w:r>
        <w:rPr>
          <w:rFonts w:ascii="Calibri" w:hAnsi="Calibri" w:eastAsia="Calibri"/>
          <w:b/>
          <w:color w:val="162236"/>
          <w:sz w:val="56"/>
        </w:rPr>
        <w:t>Image3DConversion</w:t>
        <w:br/>
      </w:r>
      <w:r>
        <w:rPr>
          <w:rFonts w:ascii="Calibri" w:hAnsi="Calibri" w:eastAsia="Calibri"/>
          <w:b/>
          <w:color w:val="2E74B5"/>
          <w:sz w:val="56"/>
        </w:rPr>
        <w:t>Full-Arch Stackable Workflow</w:t>
      </w:r>
    </w:p>
    <w:p>
      <w:pPr>
        <w:spacing w:before="0" w:after="320" w:line="300" w:lineRule="auto"/>
        <w:jc w:val="left"/>
      </w:pPr>
      <w:r>
        <w:rPr>
          <w:rFonts w:ascii="Calibri" w:hAnsi="Calibri" w:eastAsia="Calibri"/>
          <w:b w:val="0"/>
          <w:i w:val="0"/>
          <w:color w:val="5F6B7A"/>
          <w:sz w:val="26"/>
        </w:rPr>
        <w:t>Final page copy, SEO hierarchy, design psychology, mobile behaviour, Case Portal alignment and implementation controls.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Version: </w:t>
      </w:r>
      <w:r>
        <w:rPr>
          <w:rFonts w:ascii="Calibri" w:hAnsi="Calibri" w:eastAsia="Calibri"/>
          <w:color w:val="162236"/>
          <w:sz w:val="21"/>
        </w:rPr>
        <w:t>1.0 · 27 July 2026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Status: </w:t>
      </w:r>
      <w:r>
        <w:rPr>
          <w:rFonts w:ascii="Calibri" w:hAnsi="Calibri" w:eastAsia="Calibri"/>
          <w:color w:val="162236"/>
          <w:sz w:val="21"/>
        </w:rPr>
        <w:t>Prepared for Founder approval and design/development handoff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Public URL: </w:t>
      </w:r>
      <w:r>
        <w:rPr>
          <w:rFonts w:ascii="Calibri" w:hAnsi="Calibri" w:eastAsia="Calibri"/>
          <w:color w:val="162236"/>
          <w:sz w:val="21"/>
        </w:rPr>
        <w:t>https://www.image3dconversion.com/full-arch-stackable-workflow/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action: </w:t>
      </w:r>
      <w:r>
        <w:rPr>
          <w:rFonts w:ascii="Calibri" w:hAnsi="Calibri" w:eastAsia="Calibri"/>
          <w:color w:val="162236"/>
          <w:sz w:val="21"/>
        </w:rPr>
        <w:t>Start a Full-Arch Case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THE PAGE DECISION  </w:t>
      </w:r>
      <w:r>
        <w:rPr>
          <w:rFonts w:ascii="Calibri" w:hAnsi="Calibri" w:eastAsia="Calibri"/>
          <w:b w:val="0"/>
          <w:color w:val="162236"/>
          <w:sz w:val="22"/>
        </w:rPr>
        <w:t>This page presents stackable guides as one coordinated full-arch sequence, not a collection of disconnected templates. The prosthetic endpoint, fixed reference, bone reduction, implant positions, MUA relationship and provisional transfer must be understood together.</w:t>
      </w:r>
    </w:p>
    <w:p>
      <w:pPr>
        <w:pStyle w:val="Heading2"/>
        <w:keepNext w:val="1"/>
        <w:keepLines w:val="1"/>
      </w:pPr>
      <w:r>
        <w:t>The job of this page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Help dentists recognise when a terminal-dentition or edentulous arch may need a coordinated stackable workflow.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Explain why the prosthetic endpoint and a stable reference system come before individual guide components.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Make the transitions between reduction, implant, MUA and provisional stages visible and reviewable.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Show the full-arch records and clinical decisions required before design or production begins.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Offer one secure case-start route and one discussion route for cases that are not ready to submit.</w:t>
      </w:r>
    </w:p>
    <w:p>
      <w:r>
        <w:br w:type="page"/>
      </w:r>
    </w:p>
    <w:p>
      <w:pPr>
        <w:pStyle w:val="Heading1"/>
        <w:keepNext w:val="1"/>
        <w:keepLines w:val="1"/>
      </w:pPr>
      <w:r>
        <w:t>1. Page strategy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Decision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Approved direction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Primary audience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Clinicians and full-arch teams planning terminal-dentition or edentulous fixed implant rehabilitation.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Visitor question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Can this team coordinate the prosthetic, surgical and provisional stages around one reviewed reference system?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Emotional shift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Many moving parts -&gt; one visible sequence with named checks and approval gates.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Primary conversion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Authenticated start of a Full-Arch Stackable Workflow case.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Secondary conversion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View full-arch requirements or discuss the case before uploading records.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Clinical boundary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The treating clinician retains diagnosis, indication, final treatment plan, approval, surgery and intraoperative judgement.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Message hierarchy</w:t>
      </w:r>
    </w:p>
    <w:p>
      <w:pPr>
        <w:numPr>
          <w:ilvl w:val="0"/>
          <w:numId w:val="1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Sequence. </w:t>
      </w:r>
      <w:r>
        <w:rPr>
          <w:rFonts w:ascii="Calibri" w:hAnsi="Calibri" w:eastAsia="Calibri"/>
          <w:color w:val="162236"/>
          <w:sz w:val="22"/>
        </w:rPr>
        <w:t>Show that full-arch planning succeeds or fails across connected transitions, not inside one isolated guide.</w:t>
      </w:r>
    </w:p>
    <w:p>
      <w:pPr>
        <w:numPr>
          <w:ilvl w:val="0"/>
          <w:numId w:val="1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Endpoint. </w:t>
      </w:r>
      <w:r>
        <w:rPr>
          <w:rFonts w:ascii="Calibri" w:hAnsi="Calibri" w:eastAsia="Calibri"/>
          <w:color w:val="162236"/>
          <w:sz w:val="22"/>
        </w:rPr>
        <w:t>Begin with the intended tooth position, smile, occlusion and prosthetic form.</w:t>
      </w:r>
    </w:p>
    <w:p>
      <w:pPr>
        <w:numPr>
          <w:ilvl w:val="0"/>
          <w:numId w:val="1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Foundation. </w:t>
      </w:r>
      <w:r>
        <w:rPr>
          <w:rFonts w:ascii="Calibri" w:hAnsi="Calibri" w:eastAsia="Calibri"/>
          <w:color w:val="162236"/>
          <w:sz w:val="22"/>
        </w:rPr>
        <w:t>Explain the stable reference that carries the approved relationship across stages.</w:t>
      </w:r>
    </w:p>
    <w:p>
      <w:pPr>
        <w:numPr>
          <w:ilvl w:val="0"/>
          <w:numId w:val="1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Components. </w:t>
      </w:r>
      <w:r>
        <w:rPr>
          <w:rFonts w:ascii="Calibri" w:hAnsi="Calibri" w:eastAsia="Calibri"/>
          <w:color w:val="162236"/>
          <w:sz w:val="22"/>
        </w:rPr>
        <w:t>Show bone-reduction, implant, MUA and provisional modules as case-dependent parts of one system.</w:t>
      </w:r>
    </w:p>
    <w:p>
      <w:pPr>
        <w:numPr>
          <w:ilvl w:val="0"/>
          <w:numId w:val="1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Control. </w:t>
      </w:r>
      <w:r>
        <w:rPr>
          <w:rFonts w:ascii="Calibri" w:hAnsi="Calibri" w:eastAsia="Calibri"/>
          <w:color w:val="162236"/>
          <w:sz w:val="22"/>
        </w:rPr>
        <w:t>Make cross-stage review and clinician approval explicit.</w:t>
      </w:r>
    </w:p>
    <w:p>
      <w:pPr>
        <w:numPr>
          <w:ilvl w:val="0"/>
          <w:numId w:val="1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Readiness. </w:t>
      </w:r>
      <w:r>
        <w:rPr>
          <w:rFonts w:ascii="Calibri" w:hAnsi="Calibri" w:eastAsia="Calibri"/>
          <w:color w:val="162236"/>
          <w:sz w:val="22"/>
        </w:rPr>
        <w:t>Show the records, components and decisions required before production.</w:t>
      </w:r>
    </w:p>
    <w:p>
      <w:pPr>
        <w:numPr>
          <w:ilvl w:val="0"/>
          <w:numId w:val="1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Action. </w:t>
      </w:r>
      <w:r>
        <w:rPr>
          <w:rFonts w:ascii="Calibri" w:hAnsi="Calibri" w:eastAsia="Calibri"/>
          <w:color w:val="162236"/>
          <w:sz w:val="22"/>
        </w:rPr>
        <w:t>Start securely or discuss the workflow before submission.</w:t>
      </w:r>
    </w:p>
    <w:p>
      <w:pPr>
        <w:pStyle w:val="Heading2"/>
        <w:keepNext w:val="1"/>
        <w:keepLines w:val="1"/>
      </w:pPr>
      <w:r>
        <w:t>Language rules</w:t>
      </w:r>
    </w:p>
    <w:p>
      <w:pPr>
        <w:numPr>
          <w:ilvl w:val="0"/>
          <w:numId w:val="12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Say </w:t>
      </w:r>
      <w:r>
        <w:rPr>
          <w:rFonts w:ascii="Calibri" w:hAnsi="Calibri" w:eastAsia="Calibri"/>
          <w:color w:val="162236"/>
          <w:sz w:val="22"/>
        </w:rPr>
        <w:t>"coordinated sequence," "stable reference," "prosthetic endpoint," "case-specific modules" and "clinician-approved workflow."</w:t>
      </w:r>
    </w:p>
    <w:p>
      <w:pPr>
        <w:numPr>
          <w:ilvl w:val="0"/>
          <w:numId w:val="12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Avoid </w:t>
      </w:r>
      <w:r>
        <w:rPr>
          <w:rFonts w:ascii="Calibri" w:hAnsi="Calibri" w:eastAsia="Calibri"/>
          <w:color w:val="162236"/>
          <w:sz w:val="22"/>
        </w:rPr>
        <w:t>"perfect fit," "zero deviation," "guaranteed immediate loading," "passive fit guaranteed" and "fail-safe stack."</w:t>
      </w:r>
    </w:p>
    <w:p>
      <w:pPr>
        <w:numPr>
          <w:ilvl w:val="0"/>
          <w:numId w:val="12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Use </w:t>
      </w:r>
      <w:r>
        <w:rPr>
          <w:rFonts w:ascii="Calibri" w:hAnsi="Calibri" w:eastAsia="Calibri"/>
          <w:color w:val="162236"/>
          <w:sz w:val="22"/>
        </w:rPr>
        <w:t>"MUA positioning or orientation support" only when the confirmed component system and operating scope support it.</w:t>
      </w:r>
    </w:p>
    <w:p>
      <w:pPr>
        <w:numPr>
          <w:ilvl w:val="0"/>
          <w:numId w:val="12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Describe </w:t>
      </w:r>
      <w:r>
        <w:rPr>
          <w:rFonts w:ascii="Calibri" w:hAnsi="Calibri" w:eastAsia="Calibri"/>
          <w:color w:val="162236"/>
          <w:sz w:val="22"/>
        </w:rPr>
        <w:t>bone reduction, implant placement and provisional transfer as planned stages, not assured clinical outcomes.</w:t>
      </w:r>
    </w:p>
    <w:p>
      <w:pPr>
        <w:numPr>
          <w:ilvl w:val="0"/>
          <w:numId w:val="12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Keep </w:t>
      </w:r>
      <w:r>
        <w:rPr>
          <w:rFonts w:ascii="Calibri" w:hAnsi="Calibri" w:eastAsia="Calibri"/>
          <w:color w:val="162236"/>
          <w:sz w:val="22"/>
        </w:rPr>
        <w:t>implant systems, guided kits, fixation concepts, provisional components and manufacturing routes conditional until verified.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CLINICAL ACCURACY CONTROL  </w:t>
      </w:r>
      <w:r>
        <w:rPr>
          <w:rFonts w:ascii="Calibri" w:hAnsi="Calibri" w:eastAsia="Calibri"/>
          <w:b w:val="0"/>
          <w:color w:val="162236"/>
          <w:sz w:val="22"/>
        </w:rPr>
        <w:t>A stackable system can organise several steps around a shared reference, but every physical and digital transfer can introduce deviation. The page must require verification of seating, fixation, access, component compatibility and the clinical situation at each stage.</w:t>
      </w:r>
    </w:p>
    <w:p>
      <w:pPr>
        <w:pStyle w:val="Heading1"/>
        <w:keepNext w:val="1"/>
        <w:keepLines w:val="1"/>
      </w:pPr>
      <w:r>
        <w:t>2. SEO and search intent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SEO title: </w:t>
      </w:r>
      <w:r>
        <w:rPr>
          <w:rFonts w:ascii="Calibri" w:hAnsi="Calibri" w:eastAsia="Calibri"/>
          <w:color w:val="162236"/>
          <w:sz w:val="21"/>
        </w:rPr>
        <w:t>Full-Arch Stackable Guide Workflow | Image3DConversion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Meta description: </w:t>
      </w:r>
      <w:r>
        <w:rPr>
          <w:rFonts w:ascii="Calibri" w:hAnsi="Calibri" w:eastAsia="Calibri"/>
          <w:color w:val="162236"/>
          <w:sz w:val="21"/>
        </w:rPr>
        <w:t>Coordinate prosthetic planning, bone reduction, implant placement, MUA orientation and provisional transfer through a reviewed full-arch stackable workflow.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H1: </w:t>
      </w:r>
      <w:r>
        <w:rPr>
          <w:rFonts w:ascii="Calibri" w:hAnsi="Calibri" w:eastAsia="Calibri"/>
          <w:color w:val="162236"/>
          <w:sz w:val="21"/>
        </w:rPr>
        <w:t>One reference. Every full-arch step aligned.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Slug: </w:t>
      </w:r>
      <w:r>
        <w:rPr>
          <w:rFonts w:ascii="Calibri" w:hAnsi="Calibri" w:eastAsia="Calibri"/>
          <w:color w:val="162236"/>
          <w:sz w:val="21"/>
        </w:rPr>
        <w:t>/full-arch-stackable-workflow/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phrase: </w:t>
      </w:r>
      <w:r>
        <w:rPr>
          <w:rFonts w:ascii="Calibri" w:hAnsi="Calibri" w:eastAsia="Calibri"/>
          <w:color w:val="162236"/>
          <w:sz w:val="21"/>
        </w:rPr>
        <w:t>full arch stackable surgical guide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Supporting phrases: </w:t>
      </w:r>
      <w:r>
        <w:rPr>
          <w:rFonts w:ascii="Calibri" w:hAnsi="Calibri" w:eastAsia="Calibri"/>
          <w:color w:val="162236"/>
          <w:sz w:val="21"/>
        </w:rPr>
        <w:t>stackable guide design; full arch guided implant planning; bone reduction guide; immediate provisional digital workflow</w:t>
      </w:r>
    </w:p>
    <w:p>
      <w:pPr>
        <w:pStyle w:val="Heading2"/>
        <w:keepNext w:val="1"/>
        <w:keepLines w:val="1"/>
      </w:pPr>
      <w:r>
        <w:t>Search intent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  <w:t>The visitor already understands full-arch implant treatment. They are comparing workflow partners, checking whether a stackable approach fits the presentation, and looking for evidence that the prosthetic plan, reduction, implant positions, components and provisional handoff will be coordinated before surgery.</w:t>
      </w:r>
    </w:p>
    <w:p>
      <w:pPr>
        <w:pStyle w:val="Heading2"/>
        <w:keepNext w:val="1"/>
        <w:keepLines w:val="1"/>
      </w:pPr>
      <w:r>
        <w:t>Recommended heading hierarchy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Level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Visitor-facing heading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H1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One reference. Every full-arch step aligned.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H2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Full-arch planning depends on the whole sequence.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H2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Plan the prosthesis before the components.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H2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A fixed foundation carries the workflow forward.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H2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From full-arch records to an approved sequence.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H2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Review every transition before production.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H2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Full-arch cases need full-arch records.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H2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Choose the delivery scope.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H2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See one verified case from setup to surgery pack.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H2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Questions before you start?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H2</w:t>
            </w:r>
          </w:p>
        </w:tc>
        <w:tc>
          <w:tcPr>
            <w:tcW w:type="dxa" w:w="8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Ready to coordinate your full-arch case?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Internal links</w:t>
      </w:r>
    </w:p>
    <w:p>
      <w:pPr>
        <w:numPr>
          <w:ilvl w:val="0"/>
          <w:numId w:val="13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Parent </w:t>
      </w:r>
      <w:r>
        <w:rPr>
          <w:rFonts w:ascii="Calibri" w:hAnsi="Calibri" w:eastAsia="Calibri"/>
          <w:color w:val="162236"/>
          <w:sz w:val="22"/>
        </w:rPr>
        <w:t>Clinical Workflow Solutions.</w:t>
      </w:r>
    </w:p>
    <w:p>
      <w:pPr>
        <w:numPr>
          <w:ilvl w:val="0"/>
          <w:numId w:val="13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Foundation </w:t>
      </w:r>
      <w:r>
        <w:rPr>
          <w:rFonts w:ascii="Calibri" w:hAnsi="Calibri" w:eastAsia="Calibri"/>
          <w:color w:val="162236"/>
          <w:sz w:val="22"/>
        </w:rPr>
        <w:t>Guided Implant Workflow and How It Works.</w:t>
      </w:r>
    </w:p>
    <w:p>
      <w:pPr>
        <w:numPr>
          <w:ilvl w:val="0"/>
          <w:numId w:val="13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Preparation </w:t>
      </w:r>
      <w:r>
        <w:rPr>
          <w:rFonts w:ascii="Calibri" w:hAnsi="Calibri" w:eastAsia="Calibri"/>
          <w:color w:val="162236"/>
          <w:sz w:val="22"/>
        </w:rPr>
        <w:t>Full-Arch Case Requirements.</w:t>
      </w:r>
    </w:p>
    <w:p>
      <w:pPr>
        <w:numPr>
          <w:ilvl w:val="0"/>
          <w:numId w:val="13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Related </w:t>
      </w:r>
      <w:r>
        <w:rPr>
          <w:rFonts w:ascii="Calibri" w:hAnsi="Calibri" w:eastAsia="Calibri"/>
          <w:color w:val="162236"/>
          <w:sz w:val="22"/>
        </w:rPr>
        <w:t>Immediate-Loading Prosthetic Workflow and Zygoma &amp; Pterygoid Planning Workflow.</w:t>
      </w:r>
    </w:p>
    <w:p>
      <w:pPr>
        <w:numPr>
          <w:ilvl w:val="0"/>
          <w:numId w:val="13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Decision </w:t>
      </w:r>
      <w:r>
        <w:rPr>
          <w:rFonts w:ascii="Calibri" w:hAnsi="Calibri" w:eastAsia="Calibri"/>
          <w:color w:val="162236"/>
          <w:sz w:val="22"/>
        </w:rPr>
        <w:t>Discuss a Complex Case.</w:t>
      </w:r>
    </w:p>
    <w:p>
      <w:pPr>
        <w:numPr>
          <w:ilvl w:val="0"/>
          <w:numId w:val="13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Action </w:t>
      </w:r>
      <w:r>
        <w:rPr>
          <w:rFonts w:ascii="Calibri" w:hAnsi="Calibri" w:eastAsia="Calibri"/>
          <w:color w:val="162236"/>
          <w:sz w:val="22"/>
        </w:rPr>
        <w:t>Image3DConversion Case Portal.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SEO RESTRAINT  </w:t>
      </w:r>
      <w:r>
        <w:rPr>
          <w:rFonts w:ascii="Calibri" w:hAnsi="Calibri" w:eastAsia="Calibri"/>
          <w:b w:val="0"/>
          <w:color w:val="162236"/>
          <w:sz w:val="22"/>
        </w:rPr>
        <w:t>Use the primary phrase in the title, opening copy and one descriptive heading or caption. The page should rank because it answers a specialist workflow question clearly, not because "stackable guide" is repeated in every section.</w:t>
      </w:r>
    </w:p>
    <w:p>
      <w:pPr>
        <w:pStyle w:val="Heading1"/>
        <w:keepNext w:val="1"/>
        <w:keepLines w:val="1"/>
      </w:pPr>
      <w:r>
        <w:t>3. Navigation and CTA behaviour</w:t>
      </w:r>
    </w:p>
    <w:p>
      <w:pPr>
        <w:pStyle w:val="Heading2"/>
        <w:keepNext w:val="1"/>
        <w:keepLines w:val="1"/>
      </w:pPr>
      <w:r>
        <w:t>Desktop header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/>
          <w:i w:val="0"/>
          <w:color w:val="162236"/>
          <w:sz w:val="23"/>
        </w:rPr>
        <w:t>Logo | Clinical Workflows | How It Works | Case Requirements | About | Discuss a Complex Case | Start a Case</w:t>
      </w:r>
    </w:p>
    <w:p>
      <w:pPr>
        <w:pStyle w:val="Heading2"/>
        <w:keepNext w:val="1"/>
        <w:keepLines w:val="1"/>
      </w:pPr>
      <w:r>
        <w:t>Returning-user utility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Already working with us? Open the Case Portal.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200"/>
        <w:gridCol w:w="2460"/>
        <w:gridCol w:w="470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Visible action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Destination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Behaviour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Start a Full-Arch Case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Image3DConversion Case Portal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Authenticate if needed, then open a new case with Full-Arch Stackable Workflow already selected.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See Full-Arch Requirements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Requirements section on this page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Scroll to the concise record checklist and link to the complete Case Requirements page.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Discuss a Full-Arch Case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Professional workflow discussion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Collect professional contact and workflow-fit information only. Never accept patient records in the public form.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Open the Case Portal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Portal login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Return established users to their case list or intended full-arch action after authentication.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SECURE-DATA BOUNDARY  </w:t>
      </w:r>
      <w:r>
        <w:rPr>
          <w:rFonts w:ascii="Calibri" w:hAnsi="Calibri" w:eastAsia="Calibri"/>
          <w:b w:val="0"/>
          <w:color w:val="162236"/>
          <w:sz w:val="22"/>
        </w:rPr>
        <w:t>The public discussion form may collect professional contact details and a non-identifying workflow summary. DICOM, scans, photographs and patient identifiers enter only through the authenticated Case Portal.</w:t>
      </w:r>
    </w:p>
    <w:p>
      <w:pPr>
        <w:pStyle w:val="Heading1"/>
        <w:keepNext w:val="1"/>
        <w:keepLines w:val="1"/>
      </w:pPr>
      <w:r>
        <w:t>4. Final visitor-facing page copy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/>
          <w:color w:val="5F6B7A"/>
          <w:sz w:val="20"/>
        </w:rPr>
        <w:t>The copy below is publish-ready except where a section is explicitly controlled by an evidence, clinical or operations gate.</w:t>
      </w:r>
    </w:p>
    <w:p>
      <w:pPr>
        <w:pStyle w:val="Heading2"/>
        <w:keepNext w:val="1"/>
        <w:keepLines w:val="1"/>
      </w:pPr>
      <w:r>
        <w:t>Section 1 - Hero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EYEBROW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FULL-ARCH DIGITAL PLANNING &amp; STACKABLE GUIDE WORKFLOW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H1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One reference. Every full-arch step aligned.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SUPPORT COPY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For terminal-dentition and edentulous arches, we coordinate the prosthetic endpoint, planned reduction, implant positions, MUA relationship, stackable guide sequence and provisional transfer within the confirmed case scope.</w:t>
      </w:r>
    </w:p>
    <w:p>
      <w:pPr>
        <w:spacing w:before="0" w:after="100" w:line="300" w:lineRule="auto"/>
        <w:ind w:left="158" w:right="86"/>
        <w:shd w:fill="E8EEF5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CTA: </w:t>
      </w:r>
      <w:r>
        <w:rPr>
          <w:rFonts w:ascii="Calibri" w:hAnsi="Calibri" w:eastAsia="Calibri"/>
          <w:color w:val="162236"/>
          <w:sz w:val="21"/>
        </w:rPr>
        <w:t>Start a Full-Arch Case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1F4D78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Secondary CTA: </w:t>
      </w:r>
      <w:r>
        <w:rPr>
          <w:rFonts w:ascii="Calibri" w:hAnsi="Calibri" w:eastAsia="Calibri"/>
          <w:color w:val="162236"/>
          <w:sz w:val="21"/>
        </w:rPr>
        <w:t>See Full-Arch Requirements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/>
          <w:color w:val="5F6B7A"/>
          <w:sz w:val="21"/>
        </w:rPr>
        <w:t>Utility line: Already working with us? Open the Case Portal.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5F6B7A"/>
          <w:sz w:val="19"/>
        </w:rPr>
        <w:t>Professional note: Services are provided to dental professionals and authorised workflow partners.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Replace complexity with a single organising idea: one approved relationship carried through multiple full-arch stages.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Show one genuine full-arch case as aligned transparent layers: prosthetic setup, reduction plane, implant plan, MUA axes and stackable components. White remains dominant; master blue identifies the shared reference.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Show the H1, two support lines, primary CTA and one clean exploded-sequence image before the secondary action.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Do not use an invented jaw, generic implant animation or a component sequence that does not belong to the same verified case.</w:t>
      </w:r>
    </w:p>
    <w:p>
      <w:pPr>
        <w:pStyle w:val="Heading2"/>
        <w:keepNext w:val="1"/>
        <w:keepLines w:val="1"/>
      </w:pPr>
      <w:r>
        <w:t>Section 2 - Workflow fit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H2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Full-arch planning depends on the whole sequence.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OPENING COPY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A stackable workflow may be considered when several surgical and prosthetic stages need to preserve a common reference. The final design depends on the existing dentition, anatomy, restorative objective, fixation strategy, implant system and planned provisional pathway.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Terminal dentition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Coordinate planned extractions, the prosthetic endpoint, any required reduction and the transition to implant placement.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Completely edentulous arch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Establish a reproducible reference and fixation concept where tooth support is not available.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Restorative-space correction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Relate the proposed bone platform to tooth position, prosthetic material space, lip support and the intended FP1, FP2 or FP3 concept.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Immediate provisional coordination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Plan the relationship between implant positions, restorative components and the selected provisional transfer or pickup method.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NOT EVERY FULL-ARCH CASE NEEDS THE SAME STACK  </w:t>
      </w:r>
      <w:r>
        <w:rPr>
          <w:rFonts w:ascii="Calibri" w:hAnsi="Calibri" w:eastAsia="Calibri"/>
          <w:b w:val="0"/>
          <w:color w:val="162236"/>
          <w:sz w:val="22"/>
        </w:rPr>
        <w:t>Some cases require fewer modules, a different support or fixation concept, conventional surgical steps or another advanced workflow. Discuss the case if the sequence is not yet defined.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Help experienced clinicians recognise the operational problem the workflow solves without suggesting that one template architecture fits every arch.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Use four distinctly different full-arch presentations from real cases. Let the anatomy and treatment objective carry the meaning; avoid generic line icons.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Stack the four presentations vertically. Keep the case condition, planning question and image together.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FP1, FP2 and FP3 labels require a short tooltip or linked glossary; do not assume every visitor uses the terminology identically.</w:t>
      </w:r>
    </w:p>
    <w:p>
      <w:pPr>
        <w:pStyle w:val="Heading2"/>
        <w:keepNext w:val="1"/>
        <w:keepLines w:val="1"/>
      </w:pPr>
      <w:r>
        <w:t>Section 3 - Prosthetic endpoint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H2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Plan the prosthesis before the components.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BODY COPY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The planned tooth position gives the full-arch sequence its destination. Smile, occlusion, restorative space, implant emergence and access must be considered before the individual guide modules are finalised.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Facial and dental reference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Use the available smile, midline, lip and tooth-display information to frame the intended prosthetic position.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Occlusal relationship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Establish the relevant opposing-arch and jaw-relation records for the planned restoration and provisional pathway.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Restorative envelope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Evaluate the available prosthetic volume, gingival transition and proposed tooth-to-ridge relationship.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Implant and MUA relationship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Coordinate proposed implant positions, restorative access and component orientation with the intended prosthetic design.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THE DESIGN ORDER  </w:t>
      </w:r>
      <w:r>
        <w:rPr>
          <w:rFonts w:ascii="Calibri" w:hAnsi="Calibri" w:eastAsia="Calibri"/>
          <w:b w:val="0"/>
          <w:color w:val="162236"/>
          <w:sz w:val="22"/>
        </w:rPr>
        <w:t>Prosthetic endpoint -&gt; anatomical and restorative constraints -&gt; reduction and implant plan -&gt; guide and provisional components.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Make restoration-led planning tangible. The visitor should see why a prosthetic setup is not an optional decoration added after implant placement.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Use one facially referenced setup followed by a cross-section through tooth position, restorative space, ridge and implant/MUA axis.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Show the design order as a four-stage vertical story, not a compressed horizontal diagram.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Do not imply that photographs alone establish a definitive jaw relation or prosthetic plan.</w:t>
      </w:r>
    </w:p>
    <w:p>
      <w:pPr>
        <w:pStyle w:val="Heading2"/>
        <w:pageBreakBefore w:val="1"/>
        <w:keepNext w:val="1"/>
        <w:keepLines w:val="1"/>
      </w:pPr>
      <w:r>
        <w:t>Section 4 - Shared reference system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H2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A fixed foundation carries the workflow forward.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BODY COPY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Stackable systems use a base, index or other verified reference to relate selected modules to the approved plan. The exact component sequence is designed around the case and must be checked clinically at every transition.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Reference and fixation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The base or index establishes the relationship used by the following modules, with seating and fixation planned for the presentation.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Bone-reduction module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Where reduction is planned, the guide communicates the approved level and contour within the selected surgical approach.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Implant-placement module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The osteotomy and implant sequence follows the confirmed implant system, guided kit, access and support conditions.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MUA orientation module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Where supported, the workflow relates selected multi-unit abutments and restorative access to the planned implant and prosthetic positions.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Provisional transfer module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The agreed index, carrier, pickup or conversion concept helps connect the provisional plan to the surgical reference.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CASE-SPECIFIC, NOT CATALOGUE-FIXED  </w:t>
      </w:r>
      <w:r>
        <w:rPr>
          <w:rFonts w:ascii="Calibri" w:hAnsi="Calibri" w:eastAsia="Calibri"/>
          <w:b w:val="0"/>
          <w:color w:val="162236"/>
          <w:sz w:val="22"/>
        </w:rPr>
        <w:t>A case may use all, some or none of these modules. The final sequence is confirmed only after records, components, surgical approach and production scope are reviewed.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Explain the architecture in plain language while keeping the shared reference—not the number of printed parts—as the source of value.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Use a labelled exploded view from one real system, then show each module seated on the same base. Use blue only to trace the common reference.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Allow tap-to-focus on each module, but keep the complete sequence visible as a static fallback.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Labels must match the actual case and delivered component names. Do not use one vendor's proprietary terminology as a universal category.</w:t>
      </w:r>
    </w:p>
    <w:p>
      <w:pPr>
        <w:pStyle w:val="Heading2"/>
        <w:pageBreakBefore w:val="1"/>
        <w:keepNext w:val="1"/>
        <w:keepLines w:val="1"/>
      </w:pPr>
      <w:r>
        <w:t>Section 5 - Workflow sequence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H2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From full-arch records to an approved sequence.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INTRO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Every case moves through visible decisions. Production begins only after the records are usable, the restorative and surgical relationships are reviewed, and the treating clinician approves the final sequence.</w:t>
      </w:r>
    </w:p>
    <w:p>
      <w:pPr>
        <w:numPr>
          <w:ilvl w:val="0"/>
          <w:numId w:val="14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Define the endpoint. </w:t>
      </w:r>
      <w:r>
        <w:rPr>
          <w:rFonts w:ascii="Calibri" w:hAnsi="Calibri" w:eastAsia="Calibri"/>
          <w:color w:val="162236"/>
          <w:sz w:val="22"/>
        </w:rPr>
        <w:t>Share the intended prosthetic concept, tooth position, occlusal objective, arch, loading intention and planned surgical approach.</w:t>
      </w:r>
    </w:p>
    <w:p>
      <w:pPr>
        <w:numPr>
          <w:ilvl w:val="0"/>
          <w:numId w:val="14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Validate the full-arch records. </w:t>
      </w:r>
      <w:r>
        <w:rPr>
          <w:rFonts w:ascii="Calibri" w:hAnsi="Calibri" w:eastAsia="Calibri"/>
          <w:color w:val="162236"/>
          <w:sz w:val="22"/>
        </w:rPr>
        <w:t>We check whether the submitted DICOM, scans, bite, restorative references and component information are complete and usable for the selected scope.</w:t>
      </w:r>
    </w:p>
    <w:p>
      <w:pPr>
        <w:numPr>
          <w:ilvl w:val="0"/>
          <w:numId w:val="14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Create the shared case view. </w:t>
      </w:r>
      <w:r>
        <w:rPr>
          <w:rFonts w:ascii="Calibri" w:hAnsi="Calibri" w:eastAsia="Calibri"/>
          <w:color w:val="162236"/>
          <w:sz w:val="22"/>
        </w:rPr>
        <w:t>Anatomy, surface records and the prosthetic setup are aligned so reduction, implants and restorative access can be considered together.</w:t>
      </w:r>
    </w:p>
    <w:p>
      <w:pPr>
        <w:numPr>
          <w:ilvl w:val="0"/>
          <w:numId w:val="14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Design the reference and stages. </w:t>
      </w:r>
      <w:r>
        <w:rPr>
          <w:rFonts w:ascii="Calibri" w:hAnsi="Calibri" w:eastAsia="Calibri"/>
          <w:color w:val="162236"/>
          <w:sz w:val="22"/>
        </w:rPr>
        <w:t>The fixation concept and case-specific modules are developed around the reviewed treatment sequence.</w:t>
      </w:r>
    </w:p>
    <w:p>
      <w:pPr>
        <w:numPr>
          <w:ilvl w:val="0"/>
          <w:numId w:val="14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Coordinate implants, MUAs and provisional transfer. </w:t>
      </w:r>
      <w:r>
        <w:rPr>
          <w:rFonts w:ascii="Calibri" w:hAnsi="Calibri" w:eastAsia="Calibri"/>
          <w:color w:val="162236"/>
          <w:sz w:val="22"/>
        </w:rPr>
        <w:t>Where included, the planned component and provisional relationships are checked against the confirmed system and restorative design.</w:t>
      </w:r>
    </w:p>
    <w:p>
      <w:pPr>
        <w:numPr>
          <w:ilvl w:val="0"/>
          <w:numId w:val="14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Review the transitions. </w:t>
      </w:r>
      <w:r>
        <w:rPr>
          <w:rFonts w:ascii="Calibri" w:hAnsi="Calibri" w:eastAsia="Calibri"/>
          <w:color w:val="162236"/>
          <w:sz w:val="22"/>
        </w:rPr>
        <w:t>The clinician inspects the setup, reduction concept, implant positions, component notes, seating sequence and provisional pathway.</w:t>
      </w:r>
    </w:p>
    <w:p>
      <w:pPr>
        <w:numPr>
          <w:ilvl w:val="0"/>
          <w:numId w:val="14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Approve and deliver. </w:t>
      </w:r>
      <w:r>
        <w:rPr>
          <w:rFonts w:ascii="Calibri" w:hAnsi="Calibri" w:eastAsia="Calibri"/>
          <w:color w:val="162236"/>
          <w:sz w:val="22"/>
        </w:rPr>
        <w:t>After final approval, the case enters the agreed design-only or production-and-delivery scope.</w:t>
      </w:r>
    </w:p>
    <w:p>
      <w:pPr>
        <w:spacing w:before="0" w:after="100" w:line="300" w:lineRule="auto"/>
        <w:ind w:left="158" w:right="86"/>
        <w:shd w:fill="E8EEF5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CTA: </w:t>
      </w:r>
      <w:r>
        <w:rPr>
          <w:rFonts w:ascii="Calibri" w:hAnsi="Calibri" w:eastAsia="Calibri"/>
          <w:color w:val="162236"/>
          <w:sz w:val="21"/>
        </w:rPr>
        <w:t>Start a Full-Arch Case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1F4D78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Secondary CTA: </w:t>
      </w:r>
      <w:r>
        <w:rPr>
          <w:rFonts w:ascii="Calibri" w:hAnsi="Calibri" w:eastAsia="Calibri"/>
          <w:color w:val="162236"/>
          <w:sz w:val="21"/>
        </w:rPr>
        <w:t>See How It Works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Turn a complicated full-arch process into a controlled progression with one unmistakable approval gate.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Use seven wide stages connected vertically on mobile and across two desktop rows. Highlight only the active stage in master blue.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Use one stage per visual block with a short state label and the decision required at that point.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Published stage names must match real portal and operational notifications. If a distinct prosthetic-setup approval exists, expose it rather than hiding it inside a generic review state.</w:t>
      </w:r>
    </w:p>
    <w:p>
      <w:pPr>
        <w:pStyle w:val="Heading2"/>
        <w:pageBreakBefore w:val="1"/>
        <w:keepNext w:val="1"/>
        <w:keepLines w:val="1"/>
      </w:pPr>
      <w:r>
        <w:t>Section 6 - Cross-stage review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H2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Review every transition before production.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BODY COPY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Full-arch approval is more than accepting implant positions. The treating clinician reviews how the stages relate, where verification is required and what must remain adaptable during surgery.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INTERFACE LABEL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FULL-ARCH SEQUENCE READY FOR REVIEW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INTERFACE MESSAGE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Review the prosthetic setup, planned reduction, implant and MUA relationships, fixation concept, guide transitions and provisional pathway before production.</w:t>
      </w:r>
    </w:p>
    <w:p>
      <w:pPr>
        <w:spacing w:before="0" w:after="100" w:line="300" w:lineRule="auto"/>
        <w:ind w:left="158" w:right="86"/>
        <w:shd w:fill="E8EEF5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CTA: </w:t>
      </w:r>
      <w:r>
        <w:rPr>
          <w:rFonts w:ascii="Calibri" w:hAnsi="Calibri" w:eastAsia="Calibri"/>
          <w:color w:val="162236"/>
          <w:sz w:val="21"/>
        </w:rPr>
        <w:t>Approve Sequence for Production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1F4D78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Secondary CTA: </w:t>
      </w:r>
      <w:r>
        <w:rPr>
          <w:rFonts w:ascii="Calibri" w:hAnsi="Calibri" w:eastAsia="Calibri"/>
          <w:color w:val="162236"/>
          <w:sz w:val="21"/>
        </w:rPr>
        <w:t>Request Changes</w:t>
      </w:r>
    </w:p>
    <w:p>
      <w:pPr>
        <w:pStyle w:val="Heading3"/>
        <w:keepNext w:val="1"/>
        <w:keepLines w:val="1"/>
      </w:pPr>
      <w:r>
        <w:t>Review prompts visible beside the sequence</w:t>
      </w:r>
    </w:p>
    <w:p>
      <w:pPr>
        <w:numPr>
          <w:ilvl w:val="0"/>
          <w:numId w:val="15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Arch, starting condition and planned surgical approach.</w:t>
      </w:r>
    </w:p>
    <w:p>
      <w:pPr>
        <w:numPr>
          <w:ilvl w:val="0"/>
          <w:numId w:val="15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Prosthetic setup, transition line and restorative-space objective.</w:t>
      </w:r>
    </w:p>
    <w:p>
      <w:pPr>
        <w:numPr>
          <w:ilvl w:val="0"/>
          <w:numId w:val="15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Reference seating, fixation position and order of use.</w:t>
      </w:r>
    </w:p>
    <w:p>
      <w:pPr>
        <w:numPr>
          <w:ilvl w:val="0"/>
          <w:numId w:val="15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Planned reduction level and relationship to the prosthetic design.</w:t>
      </w:r>
    </w:p>
    <w:p>
      <w:pPr>
        <w:numPr>
          <w:ilvl w:val="0"/>
          <w:numId w:val="15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Implant positions, dimensions, guided protocol and anatomical considerations.</w:t>
      </w:r>
    </w:p>
    <w:p>
      <w:pPr>
        <w:numPr>
          <w:ilvl w:val="0"/>
          <w:numId w:val="15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MUA selection or orientation notes where included in the confirmed scope.</w:t>
      </w:r>
    </w:p>
    <w:p>
      <w:pPr>
        <w:numPr>
          <w:ilvl w:val="0"/>
          <w:numId w:val="15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Provisional indexing, pickup or conversion pathway where included.</w:t>
      </w:r>
    </w:p>
    <w:p>
      <w:pPr>
        <w:numPr>
          <w:ilvl w:val="0"/>
          <w:numId w:val="15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Case-specific verification points, limitations and decisions still required.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APPROVAL MEANING  </w:t>
      </w:r>
      <w:r>
        <w:rPr>
          <w:rFonts w:ascii="Calibri" w:hAnsi="Calibri" w:eastAsia="Calibri"/>
          <w:b w:val="0"/>
          <w:color w:val="162236"/>
          <w:sz w:val="22"/>
        </w:rPr>
        <w:t>Approval records the clinician's decision to produce the displayed version and confirmed scope. It does not guarantee seating, transfer accuracy, component fit, primary stability, immediate loading or the clinical outcome.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Make the invisible handoffs visible. Trust rises when the system shows what must be verified instead of presenting the stack as automatic.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Show a de-identified sequence-review screen with the selected plan version, stage thumbnails, notes and one clear approval action.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Place unresolved notes and the plan-version label above the approval control. Separate approval and revision actions physically.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Approval must reference the exact plan version and production scope. Changes after approval require a visible reapproval rule.</w:t>
      </w:r>
    </w:p>
    <w:p>
      <w:pPr>
        <w:pStyle w:val="Heading2"/>
        <w:keepNext w:val="1"/>
        <w:keepLines w:val="1"/>
      </w:pPr>
      <w:r>
        <w:t>Section 7 - Full-arch requirements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H2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Full-arch cases need full-arch records.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INTRO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The exact requirement depends on the presentation and intended workflow. These are the records and decisions most stackable full-arch cases begin with.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CBCT data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Original DICOM series covering the required anatomy, captured according to the current imaging and patient-positioning instructions for the case.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Complete-arch surface records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Intraoral, model, denture or verified reference scans for the involved arch and relevant tissues, in the accepted file formats.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Opposing arch and jaw relation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The bite, occlusal relationship, vertical-dimension reference and any records needed to position the proposed restoration.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Prosthetic reference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Approved or review-ready tooth setup, diagnostic wax-up, existing prosthesis, denture, provisional or other clear restorative objective.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Facial and smile references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De-identified clinical photographs or approved facial records required for the selected prosthetic-planning scope.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Implant, guided-kit and MUA details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The intended implant system, guided instrumentation, component family, restorative interface and items available to the surgical team.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Surgical and provisional brief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Planned extractions, flap approach, reduction intention, loading intention, fixation considerations, provisional route and known constraints.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Physical verification where required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Some workflows may require a verified prosthesis, index, scan appliance, model or other reference. The operations team confirms this before design begins.</w:t>
      </w:r>
    </w:p>
    <w:p>
      <w:pPr>
        <w:spacing w:before="0" w:after="100" w:line="300" w:lineRule="auto"/>
        <w:ind w:left="158" w:right="86"/>
        <w:shd w:fill="E8EEF5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CTA: </w:t>
      </w:r>
      <w:r>
        <w:rPr>
          <w:rFonts w:ascii="Calibri" w:hAnsi="Calibri" w:eastAsia="Calibri"/>
          <w:color w:val="162236"/>
          <w:sz w:val="21"/>
        </w:rPr>
        <w:t>View Complete Full-Arch Requirements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1F4D78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Secondary CTA: </w:t>
      </w:r>
      <w:r>
        <w:rPr>
          <w:rFonts w:ascii="Calibri" w:hAnsi="Calibri" w:eastAsia="Calibri"/>
          <w:color w:val="162236"/>
          <w:sz w:val="21"/>
        </w:rPr>
        <w:t>Start a Full-Arch Case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PATIENT-DATA BOUNDARY  </w:t>
      </w:r>
      <w:r>
        <w:rPr>
          <w:rFonts w:ascii="Calibri" w:hAnsi="Calibri" w:eastAsia="Calibri"/>
          <w:b w:val="0"/>
          <w:color w:val="162236"/>
          <w:sz w:val="22"/>
        </w:rPr>
        <w:t>Do not email or attach patient records through this public page. Start the case in the authenticated Case Portal and follow the current full-arch upload instructions.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Set a professional entry threshold. Full-arch visitors should feel prepared, not surprised by missing records after submission.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Use eight real record previews from one de-identified case, grouped as anatomy, surface, occlusion, prosthetic, components and brief.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Use concise expandable requirement blocks; keep the reason each record matters visible in the collapsed state.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Exact scan protocols, file formats, capture methods and upload limits come only from the current full-arch operations standard.</w:t>
      </w:r>
    </w:p>
    <w:p>
      <w:pPr>
        <w:pStyle w:val="Heading2"/>
        <w:keepNext w:val="1"/>
        <w:keepLines w:val="1"/>
      </w:pPr>
      <w:r>
        <w:t>Section 8 - Delivery scopes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H2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Choose the delivery scope.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Design-only stackable workflow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Receive the agreed planning and ready-to-produce component files for your validated manufacturing route. The file list and production responsibilities are confirmed before work begins.</w:t>
      </w:r>
      <w:r>
        <w:rPr>
          <w:rFonts w:ascii="Calibri" w:hAnsi="Calibri" w:eastAsia="Calibri"/>
          <w:b/>
          <w:color w:val="2E74B5"/>
          <w:sz w:val="19"/>
        </w:rPr>
        <w:t xml:space="preserve">  Link label: Start a Design-Only Full-Arch Case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Design-to-delivery stackable workflow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Coordinate planning, component design, the confirmed production scope and delivery through one visible case journey.</w:t>
      </w:r>
      <w:r>
        <w:rPr>
          <w:rFonts w:ascii="Calibri" w:hAnsi="Calibri" w:eastAsia="Calibri"/>
          <w:b/>
          <w:color w:val="2E74B5"/>
          <w:sz w:val="19"/>
        </w:rPr>
        <w:t xml:space="preserve">  Link label: Start a Full-Arch Case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White-label full-arch partnership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Add full-arch planning and stackable-design capacity behind your laboratory, practice group, implant system or overseas workflow.</w:t>
      </w:r>
      <w:r>
        <w:rPr>
          <w:rFonts w:ascii="Calibri" w:hAnsi="Calibri" w:eastAsia="Calibri"/>
          <w:b/>
          <w:color w:val="2E74B5"/>
          <w:sz w:val="19"/>
        </w:rPr>
        <w:t xml:space="preserve">  Link label: Discuss a Partnership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OPERATIONS GATE  </w:t>
      </w:r>
      <w:r>
        <w:rPr>
          <w:rFonts w:ascii="Calibri" w:hAnsi="Calibri" w:eastAsia="Calibri"/>
          <w:b w:val="0"/>
          <w:color w:val="162236"/>
          <w:sz w:val="22"/>
        </w:rPr>
        <w:t>Do not publish a fixed component bundle, provisional material, printing method, production location, delivery region, price or turnaround until operations verifies it for the selected scope.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Allow experienced teams to choose their production independence without reducing the page to a component catalogue.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Three wide cards using the same case family. Differentiate scopes through titles and deliverables, never through extra brand colours.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Lead each card with the deliverable and responsibility split. Keep conditions outside tooltips.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The selected scope must persist into case intake, quotation, approvals, deliverables and status notifications.</w:t>
      </w:r>
    </w:p>
    <w:p>
      <w:pPr>
        <w:pStyle w:val="Heading2"/>
        <w:keepNext w:val="1"/>
        <w:keepLines w:val="1"/>
      </w:pPr>
      <w:r>
        <w:t>Section 9 - Case evidence module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H2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See one verified case from setup to surgery pack.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INTRO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The strongest proof is one connected full-arch case showing the starting condition, prosthetic decision, shared reference, planned transitions and delivered scope.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1700"/>
        <w:gridCol w:w="4180"/>
        <w:gridCol w:w="348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Evidence frame</w:t>
            </w:r>
          </w:p>
        </w:tc>
        <w:tc>
          <w:tcPr>
            <w:tcW w:type="dxa" w:w="4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Visible caption pattern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Required proof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1. Starting condition</w:t>
            </w:r>
          </w:p>
        </w:tc>
        <w:tc>
          <w:tcPr>
            <w:tcW w:type="dxa" w:w="4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What the treating clinician needed the full-arch workflow to coordinate.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Approved, de-identified case brief.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2. Prosthetic endpoint</w:t>
            </w:r>
          </w:p>
        </w:tc>
        <w:tc>
          <w:tcPr>
            <w:tcW w:type="dxa" w:w="4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How tooth position, restorative space or transition shaped the plan.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Real approved setup and confirmed caption.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3. Shared reference</w:t>
            </w:r>
          </w:p>
        </w:tc>
        <w:tc>
          <w:tcPr>
            <w:tcW w:type="dxa" w:w="4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How seating and fixation were designed for the sequence.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Actual base/index design and review note.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4. Surgical stages</w:t>
            </w:r>
          </w:p>
        </w:tc>
        <w:tc>
          <w:tcPr>
            <w:tcW w:type="dxa" w:w="4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Which reduction and implant modules were included and why.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Real stage files and scope confirmation.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5. MUA and provisional pathway</w:t>
            </w:r>
          </w:p>
        </w:tc>
        <w:tc>
          <w:tcPr>
            <w:tcW w:type="dxa" w:w="4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How the planned restorative components related to the provisional route.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Verified component and provisional plan.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6. Delivered scope</w:t>
            </w:r>
          </w:p>
        </w:tc>
        <w:tc>
          <w:tcPr>
            <w:tcW w:type="dxa" w:w="4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What guides, files or production assets were supplied.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Real final surgery pack and accurate inventory.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PUBLICATION GATE  </w:t>
      </w:r>
      <w:r>
        <w:rPr>
          <w:rFonts w:ascii="Calibri" w:hAnsi="Calibri" w:eastAsia="Calibri"/>
          <w:b w:val="0"/>
          <w:color w:val="162236"/>
          <w:sz w:val="22"/>
        </w:rPr>
        <w:t>Publish this module only when one complete case has written permission, verified clinical authorship, fully de-identified assets and captions approved by the relevant clinician and operations owner.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Prove coordination rather than impress with disconnected screenshots. The visitor should see the same reference surviving every stage.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Use a six-frame sequence from one arch. A thin master-blue line identifies the shared reference across all frames.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Use a vertical case story with the stage and caption always visible. Detailed images may expand on tap.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Do not infer a patient outcome from a design or delivered guide. Outcome content requires separate evidence, consent and clinical attribution.</w:t>
      </w:r>
    </w:p>
    <w:p>
      <w:pPr>
        <w:pStyle w:val="Heading2"/>
        <w:keepNext w:val="1"/>
        <w:keepLines w:val="1"/>
      </w:pPr>
      <w:r>
        <w:t>Section 10 - Boundaries and reassurance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H2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A coordinated workflow still requires clinical verification.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What Image3DConversion coordinates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Data checks for the selected workflow, prosthetic and planning preparation, case-specific guide design, review communication and the agreed file or production-delivery scope.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What the treating clinician decides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Diagnosis, indication, restorative and surgical plan, implant and component choices, approval, intraoperative verification, surgery, loading decision and any required change.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What remains case-dependent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Reference and fixation design, number of modules, reduction plan, component compatibility, provisional route, manufacturing method, turnaround, delivery and clinical execution.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AT SURGERY  </w:t>
      </w:r>
      <w:r>
        <w:rPr>
          <w:rFonts w:ascii="Calibri" w:hAnsi="Calibri" w:eastAsia="Calibri"/>
          <w:b w:val="0"/>
          <w:color w:val="162236"/>
          <w:sz w:val="22"/>
        </w:rPr>
        <w:t>The surgical team verifies the patient, records, guide version, seating, fixation, access, planned sequence and components before and during use. The website must not turn these checks into a hidden disclaimer.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Reassure through competent boundaries. This positions the company as a serious workflow partner rather than a manufacturer promising certainty.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Use three white panels with blue dividers, followed by one concise surgical-verification strip.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Keep each responsibility statement short and visible; avoid a dense legal accordion.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Clinical and legal review may refine wording, but the division of responsibility must remain understandable to a clinician.</w:t>
      </w:r>
    </w:p>
    <w:p>
      <w:pPr>
        <w:pStyle w:val="Heading2"/>
        <w:keepNext w:val="1"/>
        <w:keepLines w:val="1"/>
      </w:pPr>
      <w:r>
        <w:t>Section 11 - FAQ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What makes a full-arch guide stackable?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A stackable workflow uses a shared base, index or verified reference so selected surgical and prosthetic modules relate to the same approved plan. The exact architecture varies by case.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Does every full-arch case require bone reduction?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No. Reduction is a clinical and restorative decision based on the presentation and intended prosthesis. A reduction module is included only when it belongs to the approved plan.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Can one base remain in place through every stage?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That depends on the design, fixation, access, surgical approach and intraoperative conditions. The planned sequence and required verification are confirmed case by case.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Can extraction, reduction, implant placement and MUA orientation be coordinated?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They can be coordinated where the case records, selected components, surgical plan and confirmed workflow scope support those stages.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Can the immediate provisional be included?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A provisional design, index, carrier, pickup or conversion pathway may be coordinated within a confirmed scope. Immediate loading remains a clinical decision and is never guaranteed by the guide workflow.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Can you work with my implant system and guided kit?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Compatibility depends on the current planning library, guided instrumentation, MUA and restorative components, production route and items available to the practice. Confirm them at case start.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Can I approve the prosthetic setup before the surgical sequence?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Where the operating workflow supports a separate setup review, the prosthetic endpoint should be confirmed before the final component sequence enters production.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What happens if the plan changes after approval?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A change may affect several related components. The revised scope, version, fee or delivery impact must be shown before production continues and may require renewed approval.</w:t>
      </w:r>
    </w:p>
    <w:p>
      <w:pPr>
        <w:spacing w:before="80" w:after="40"/>
        <w:keepNext w:val="1"/>
      </w:pPr>
      <w:r>
        <w:rPr>
          <w:rFonts w:ascii="Calibri" w:hAnsi="Calibri" w:eastAsia="Calibri"/>
          <w:b/>
          <w:color w:val="1F4D78"/>
          <w:sz w:val="23"/>
        </w:rPr>
        <w:t>Where should I upload the full-arch records?</w:t>
      </w:r>
    </w:p>
    <w:p>
      <w:pPr>
        <w:spacing w:before="0" w:after="100" w:line="300" w:lineRule="auto"/>
        <w:ind w:left="173" w:right="115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color w:val="162236"/>
          <w:sz w:val="21"/>
        </w:rPr>
        <w:t>Use the authenticated Image3DConversion Case Portal. Do not send DICOM, scans, photographs or patient identifiers through the public discussion form.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Resolve the questions that most often interrupt a specialist case start: architecture, reduction, fixation, immediate provisional, compatibility, approvals and data transfer.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Use an accessible accordion with the first question open. White background, blue active rule and no decorative FAQ illustration.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Keep complete answers in page HTML and make the tap area generous. Do not make visitors open every item to understand the workflow boundary.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Review the answers whenever full-arch scope, components, approval policy or production capability changes.</w:t>
      </w:r>
    </w:p>
    <w:p>
      <w:pPr>
        <w:pStyle w:val="Heading2"/>
        <w:keepNext w:val="1"/>
        <w:keepLines w:val="1"/>
      </w:pPr>
      <w:r>
        <w:t>Section 12 - Final action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H2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Ready to coordinate your full-arch case?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BODY COPY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Prepare the intended prosthetic endpoint, available full-arch records and component information. Start securely in the Case Portal, or discuss the workflow first if the sequence is not yet defined.</w:t>
      </w:r>
    </w:p>
    <w:p>
      <w:pPr>
        <w:spacing w:before="0" w:after="100" w:line="300" w:lineRule="auto"/>
        <w:ind w:left="158" w:right="86"/>
        <w:shd w:fill="E8EEF5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CTA: </w:t>
      </w:r>
      <w:r>
        <w:rPr>
          <w:rFonts w:ascii="Calibri" w:hAnsi="Calibri" w:eastAsia="Calibri"/>
          <w:color w:val="162236"/>
          <w:sz w:val="21"/>
        </w:rPr>
        <w:t>Start a Full-Arch Case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1F4D78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Secondary CTA: </w:t>
      </w:r>
      <w:r>
        <w:rPr>
          <w:rFonts w:ascii="Calibri" w:hAnsi="Calibri" w:eastAsia="Calibri"/>
          <w:color w:val="162236"/>
          <w:sz w:val="21"/>
        </w:rPr>
        <w:t>Discuss a Full-Arch Case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/>
          <w:color w:val="5F6B7A"/>
          <w:sz w:val="21"/>
        </w:rPr>
        <w:t>Returning user link: Open the Case Portal.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Close with the two safe routes: begin a prepared case or clarify the sequence before uploading records.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Finish on white with a large blue heading and one solid-blue primary button. Avoid a dark promotional footer banner.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Use two full-width actions with clear separation. The primary case start appears first.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Preserve the selected workflow and intended destination through login or account creation.</w:t>
      </w:r>
    </w:p>
    <w:p>
      <w:pPr>
        <w:pStyle w:val="Heading1"/>
        <w:keepNext w:val="1"/>
        <w:keepLines w:val="1"/>
      </w:pPr>
      <w:r>
        <w:t>5. Design psychology and visual system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1450"/>
        <w:gridCol w:w="2260"/>
        <w:gridCol w:w="3950"/>
        <w:gridCol w:w="1700"/>
      </w:tblGrid>
      <w:tr>
        <w:trPr>
          <w:tblHeader w:val="true"/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Page stage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Visitor state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Design response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Desired action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Hero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Can they handle the sequence?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One case, aligned layers, one organising claim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Stay or start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Workflow fit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Does my arch belong here?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Four recognisable full-arch conditions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Self-select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Endpoint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Where does planning begin?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Prosthetic target shown before components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Value the order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Reference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How do stages remain related?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Exploded stack around one fixed foundation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Understand architecture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Sequence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What happens next?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Seven named stages with approval gate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Accept the process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Review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What must I check?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Cross-stage relationships and version shown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Trust the control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Requirements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Am I ready?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Full-arch preparation threshold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Prepare records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Evidence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Can they prove coordination?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One verified case from setup to delivery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Inspect proof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Final action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What do I do now?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Secure start or professional discussion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Convert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Founder-approved two-colour direction</w:t>
      </w:r>
    </w:p>
    <w:p>
      <w:pPr>
        <w:numPr>
          <w:ilvl w:val="0"/>
          <w:numId w:val="16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Brand colours - </w:t>
      </w:r>
      <w:r>
        <w:rPr>
          <w:rFonts w:ascii="Calibri" w:hAnsi="Calibri" w:eastAsia="Calibri"/>
          <w:color w:val="162236"/>
          <w:sz w:val="22"/>
        </w:rPr>
        <w:t>Image3DConversion Blue and White only.</w:t>
      </w:r>
    </w:p>
    <w:p>
      <w:pPr>
        <w:numPr>
          <w:ilvl w:val="0"/>
          <w:numId w:val="16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Dominant field - </w:t>
      </w:r>
      <w:r>
        <w:rPr>
          <w:rFonts w:ascii="Calibri" w:hAnsi="Calibri" w:eastAsia="Calibri"/>
          <w:color w:val="162236"/>
          <w:sz w:val="22"/>
        </w:rPr>
        <w:t>White. The page must feel clinical, precise and spacious rather than dark, metallic or technology-theatre led.</w:t>
      </w:r>
    </w:p>
    <w:p>
      <w:pPr>
        <w:numPr>
          <w:ilvl w:val="0"/>
          <w:numId w:val="16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Derived values - </w:t>
      </w:r>
      <w:r>
        <w:rPr>
          <w:rFonts w:ascii="Calibri" w:hAnsi="Calibri" w:eastAsia="Calibri"/>
          <w:color w:val="162236"/>
          <w:sz w:val="22"/>
        </w:rPr>
        <w:t>Pale backgrounds, deeper text values, transparency and gradients derive only from the approved master blue.</w:t>
      </w:r>
    </w:p>
    <w:p>
      <w:pPr>
        <w:numPr>
          <w:ilvl w:val="0"/>
          <w:numId w:val="16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Excluded accents - </w:t>
      </w:r>
      <w:r>
        <w:rPr>
          <w:rFonts w:ascii="Calibri" w:hAnsi="Calibri" w:eastAsia="Calibri"/>
          <w:color w:val="162236"/>
          <w:sz w:val="22"/>
        </w:rPr>
        <w:t>No lime, neon cyan, gold, purple, black-led theme or unrelated highlight colour.</w:t>
      </w:r>
    </w:p>
    <w:p>
      <w:pPr>
        <w:numPr>
          <w:ilvl w:val="0"/>
          <w:numId w:val="16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Portal exception - </w:t>
      </w:r>
      <w:r>
        <w:rPr>
          <w:rFonts w:ascii="Calibri" w:hAnsi="Calibri" w:eastAsia="Calibri"/>
          <w:color w:val="162236"/>
          <w:sz w:val="22"/>
        </w:rPr>
        <w:t>Green, amber and red appear only as functional success, caution and error states.</w:t>
      </w:r>
    </w:p>
    <w:p>
      <w:pPr>
        <w:numPr>
          <w:ilvl w:val="0"/>
          <w:numId w:val="16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Production gate - </w:t>
      </w:r>
      <w:r>
        <w:rPr>
          <w:rFonts w:ascii="Calibri" w:hAnsi="Calibri" w:eastAsia="Calibri"/>
          <w:color w:val="162236"/>
          <w:sz w:val="22"/>
        </w:rPr>
        <w:t>Extract the exact master-blue HEX from the approved original logo/vector. #2E74B5 remains a wireframe token.</w:t>
      </w:r>
    </w:p>
    <w:p>
      <w:pPr>
        <w:pStyle w:val="Heading2"/>
        <w:keepNext w:val="1"/>
        <w:keepLines w:val="1"/>
      </w:pPr>
      <w:r>
        <w:t>Layout and component direction</w:t>
      </w:r>
    </w:p>
    <w:p>
      <w:pPr>
        <w:numPr>
          <w:ilvl w:val="0"/>
          <w:numId w:val="17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Grid - </w:t>
      </w:r>
      <w:r>
        <w:rPr>
          <w:rFonts w:ascii="Calibri" w:hAnsi="Calibri" w:eastAsia="Calibri"/>
          <w:color w:val="162236"/>
          <w:sz w:val="22"/>
        </w:rPr>
        <w:t>12-column desktop grid with a 1,200-1,280 px content maximum; single-column reading order on mobile.</w:t>
      </w:r>
    </w:p>
    <w:p>
      <w:pPr>
        <w:numPr>
          <w:ilvl w:val="0"/>
          <w:numId w:val="17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Typography - </w:t>
      </w:r>
      <w:r>
        <w:rPr>
          <w:rFonts w:ascii="Calibri" w:hAnsi="Calibri" w:eastAsia="Calibri"/>
          <w:color w:val="162236"/>
          <w:sz w:val="22"/>
        </w:rPr>
        <w:t>Bricolage Grotesque 600 for display headings and Lato 400/700 for body and interface copy, subject to licensed webfont delivery.</w:t>
      </w:r>
    </w:p>
    <w:p>
      <w:pPr>
        <w:numPr>
          <w:ilvl w:val="0"/>
          <w:numId w:val="17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Type scale - </w:t>
      </w:r>
      <w:r>
        <w:rPr>
          <w:rFonts w:ascii="Calibri" w:hAnsi="Calibri" w:eastAsia="Calibri"/>
          <w:color w:val="162236"/>
          <w:sz w:val="22"/>
        </w:rPr>
        <w:t>H1 approximately 54-62 px desktop and 38-42 px mobile; body 18 px desktop and 17 px mobile.</w:t>
      </w:r>
    </w:p>
    <w:p>
      <w:pPr>
        <w:numPr>
          <w:ilvl w:val="0"/>
          <w:numId w:val="17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Buttons - </w:t>
      </w:r>
      <w:r>
        <w:rPr>
          <w:rFonts w:ascii="Calibri" w:hAnsi="Calibri" w:eastAsia="Calibri"/>
          <w:color w:val="162236"/>
          <w:sz w:val="22"/>
        </w:rPr>
        <w:t>Minimum 48 px high; primary solid master blue, secondary blue outline and utility actions as text links.</w:t>
      </w:r>
    </w:p>
    <w:p>
      <w:pPr>
        <w:numPr>
          <w:ilvl w:val="0"/>
          <w:numId w:val="17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Sequence graphics - </w:t>
      </w:r>
      <w:r>
        <w:rPr>
          <w:rFonts w:ascii="Calibri" w:hAnsi="Calibri" w:eastAsia="Calibri"/>
          <w:color w:val="162236"/>
          <w:sz w:val="22"/>
        </w:rPr>
        <w:t>Use real component silhouettes and case geometry. A single blue reference line may connect the stages.</w:t>
      </w:r>
    </w:p>
    <w:p>
      <w:pPr>
        <w:numPr>
          <w:ilvl w:val="0"/>
          <w:numId w:val="17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Spacing - </w:t>
      </w:r>
      <w:r>
        <w:rPr>
          <w:rFonts w:ascii="Calibri" w:hAnsi="Calibri" w:eastAsia="Calibri"/>
          <w:color w:val="162236"/>
          <w:sz w:val="22"/>
        </w:rPr>
        <w:t>Use 88-104 px between major desktop sections and 56-72 px on mobile.</w:t>
      </w:r>
    </w:p>
    <w:p>
      <w:pPr>
        <w:numPr>
          <w:ilvl w:val="0"/>
          <w:numId w:val="17"/>
        </w:numPr>
        <w:spacing w:before="0" w:after="8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Motion - </w:t>
      </w:r>
      <w:r>
        <w:rPr>
          <w:rFonts w:ascii="Calibri" w:hAnsi="Calibri" w:eastAsia="Calibri"/>
          <w:color w:val="162236"/>
          <w:sz w:val="22"/>
        </w:rPr>
        <w:t>If used, motion should reveal the order of seating or transition. Provide a complete static view and respect reduced motion.</w:t>
      </w:r>
    </w:p>
    <w:p>
      <w:pPr>
        <w:pStyle w:val="Heading2"/>
        <w:keepNext w:val="1"/>
        <w:keepLines w:val="1"/>
      </w:pPr>
      <w:r>
        <w:t>Image shot list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1600"/>
        <w:gridCol w:w="4540"/>
        <w:gridCol w:w="322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Asset</w:t>
            </w:r>
          </w:p>
        </w:tc>
        <w:tc>
          <w:tcPr>
            <w:tcW w:type="dxa" w:w="4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What to show</w:t>
            </w:r>
          </w:p>
        </w:tc>
        <w:tc>
          <w:tcPr>
            <w:tcW w:type="dxa" w:w="3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Avoid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Hero</w:t>
            </w:r>
          </w:p>
        </w:tc>
        <w:tc>
          <w:tcPr>
            <w:tcW w:type="dxa" w:w="4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One real full-arch case with prosthetic, surgical and provisional layers</w:t>
            </w:r>
          </w:p>
        </w:tc>
        <w:tc>
          <w:tcPr>
            <w:tcW w:type="dxa" w:w="3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Generic jaw, invented implant geometry, unrelated component collage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Workflow fit</w:t>
            </w:r>
          </w:p>
        </w:tc>
        <w:tc>
          <w:tcPr>
            <w:tcW w:type="dxa" w:w="4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Terminal dentition, edentulous arch, reduction need and provisional coordination</w:t>
            </w:r>
          </w:p>
        </w:tc>
        <w:tc>
          <w:tcPr>
            <w:tcW w:type="dxa" w:w="3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Four interchangeable software screens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Endpoint</w:t>
            </w:r>
          </w:p>
        </w:tc>
        <w:tc>
          <w:tcPr>
            <w:tcW w:type="dxa" w:w="4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Facial reference, tooth setup, restorative space and access</w:t>
            </w:r>
          </w:p>
        </w:tc>
        <w:tc>
          <w:tcPr>
            <w:tcW w:type="dxa" w:w="3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Stock smile presented as the patient outcome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Reference system</w:t>
            </w:r>
          </w:p>
        </w:tc>
        <w:tc>
          <w:tcPr>
            <w:tcW w:type="dxa" w:w="4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Real base/index and case-specific modules from one stack</w:t>
            </w:r>
          </w:p>
        </w:tc>
        <w:tc>
          <w:tcPr>
            <w:tcW w:type="dxa" w:w="3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Vendor catalogue image without case context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Review</w:t>
            </w:r>
          </w:p>
        </w:tc>
        <w:tc>
          <w:tcPr>
            <w:tcW w:type="dxa" w:w="4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De-identified versioned sequence with unresolved notes visible</w:t>
            </w:r>
          </w:p>
        </w:tc>
        <w:tc>
          <w:tcPr>
            <w:tcW w:type="dxa" w:w="3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Patient name, ID, DOB or hidden warning state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Requirements</w:t>
            </w:r>
          </w:p>
        </w:tc>
        <w:tc>
          <w:tcPr>
            <w:tcW w:type="dxa" w:w="4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Actual DICOM, scans, bite, setup and component references</w:t>
            </w:r>
          </w:p>
        </w:tc>
        <w:tc>
          <w:tcPr>
            <w:tcW w:type="dxa" w:w="3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Decorative file icons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Evidence</w:t>
            </w:r>
          </w:p>
        </w:tc>
        <w:tc>
          <w:tcPr>
            <w:tcW w:type="dxa" w:w="4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One consented case from starting condition to delivered pack</w:t>
            </w:r>
          </w:p>
        </w:tc>
        <w:tc>
          <w:tcPr>
            <w:tcW w:type="dxa" w:w="3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Disconnected before-and-after montage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Suggested alt-text patterns</w:t>
      </w:r>
    </w:p>
    <w:p>
      <w:pPr>
        <w:numPr>
          <w:ilvl w:val="0"/>
          <w:numId w:val="18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Full-arch prosthetic setup aligned with the proposed reduction plane and implant positions.</w:t>
      </w:r>
    </w:p>
    <w:p>
      <w:pPr>
        <w:numPr>
          <w:ilvl w:val="0"/>
          <w:numId w:val="18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Exploded stackable guide sequence showing the fixed reference, reduction and implant-placement modules.</w:t>
      </w:r>
    </w:p>
    <w:p>
      <w:pPr>
        <w:numPr>
          <w:ilvl w:val="0"/>
          <w:numId w:val="18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Cross-section showing restorative space, proposed bone platform, implant position and MUA axis.</w:t>
      </w:r>
    </w:p>
    <w:p>
      <w:pPr>
        <w:numPr>
          <w:ilvl w:val="0"/>
          <w:numId w:val="18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De-identified review screen showing the full-arch plan version and stage-specific notes.</w:t>
      </w:r>
    </w:p>
    <w:p>
      <w:pPr>
        <w:numPr>
          <w:ilvl w:val="0"/>
          <w:numId w:val="18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Six-stage full-arch case sequence from starting records to the delivered surgery pack.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IMAGE INTEGRITY  </w:t>
      </w:r>
      <w:r>
        <w:rPr>
          <w:rFonts w:ascii="Calibri" w:hAnsi="Calibri" w:eastAsia="Calibri"/>
          <w:b w:val="0"/>
          <w:color w:val="162236"/>
          <w:sz w:val="22"/>
        </w:rPr>
        <w:t>Do not use generative imagery to represent a real patient, real anatomy, a real plan, guide seating, component fit or treatment outcome.</w:t>
      </w:r>
    </w:p>
    <w:p>
      <w:pPr>
        <w:pStyle w:val="Heading1"/>
        <w:keepNext w:val="1"/>
        <w:keepLines w:val="1"/>
      </w:pPr>
      <w:r>
        <w:t>6. Mobile, accessibility and interaction</w:t>
      </w:r>
    </w:p>
    <w:p>
      <w:pPr>
        <w:pStyle w:val="Heading2"/>
        <w:keepNext w:val="1"/>
        <w:keepLines w:val="1"/>
      </w:pPr>
      <w:r>
        <w:t>Mobile reading order</w:t>
      </w:r>
    </w:p>
    <w:p>
      <w:pPr>
        <w:numPr>
          <w:ilvl w:val="0"/>
          <w:numId w:val="19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Hero meaning. </w:t>
      </w:r>
      <w:r>
        <w:rPr>
          <w:rFonts w:ascii="Calibri" w:hAnsi="Calibri" w:eastAsia="Calibri"/>
          <w:color w:val="162236"/>
          <w:sz w:val="22"/>
        </w:rPr>
        <w:t>Eyebrow, H1, support copy and primary action.</w:t>
      </w:r>
    </w:p>
    <w:p>
      <w:pPr>
        <w:numPr>
          <w:ilvl w:val="0"/>
          <w:numId w:val="19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Case recognition. </w:t>
      </w:r>
      <w:r>
        <w:rPr>
          <w:rFonts w:ascii="Calibri" w:hAnsi="Calibri" w:eastAsia="Calibri"/>
          <w:color w:val="162236"/>
          <w:sz w:val="22"/>
        </w:rPr>
        <w:t>Four full-arch presentations before component detail.</w:t>
      </w:r>
    </w:p>
    <w:p>
      <w:pPr>
        <w:numPr>
          <w:ilvl w:val="0"/>
          <w:numId w:val="19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Planning order. </w:t>
      </w:r>
      <w:r>
        <w:rPr>
          <w:rFonts w:ascii="Calibri" w:hAnsi="Calibri" w:eastAsia="Calibri"/>
          <w:color w:val="162236"/>
          <w:sz w:val="22"/>
        </w:rPr>
        <w:t>Prosthetic endpoint before shared reference and modules.</w:t>
      </w:r>
    </w:p>
    <w:p>
      <w:pPr>
        <w:numPr>
          <w:ilvl w:val="0"/>
          <w:numId w:val="19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Workflow control. </w:t>
      </w:r>
      <w:r>
        <w:rPr>
          <w:rFonts w:ascii="Calibri" w:hAnsi="Calibri" w:eastAsia="Calibri"/>
          <w:color w:val="162236"/>
          <w:sz w:val="22"/>
        </w:rPr>
        <w:t>Seven stages followed by cross-stage review.</w:t>
      </w:r>
    </w:p>
    <w:p>
      <w:pPr>
        <w:numPr>
          <w:ilvl w:val="0"/>
          <w:numId w:val="19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Readiness. </w:t>
      </w:r>
      <w:r>
        <w:rPr>
          <w:rFonts w:ascii="Calibri" w:hAnsi="Calibri" w:eastAsia="Calibri"/>
          <w:color w:val="162236"/>
          <w:sz w:val="22"/>
        </w:rPr>
        <w:t>Full-arch requirements and complete-checklist link.</w:t>
      </w:r>
    </w:p>
    <w:p>
      <w:pPr>
        <w:numPr>
          <w:ilvl w:val="0"/>
          <w:numId w:val="19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Scope and proof. </w:t>
      </w:r>
      <w:r>
        <w:rPr>
          <w:rFonts w:ascii="Calibri" w:hAnsi="Calibri" w:eastAsia="Calibri"/>
          <w:color w:val="162236"/>
          <w:sz w:val="22"/>
        </w:rPr>
        <w:t>Delivery options, then the verified case module if available.</w:t>
      </w:r>
    </w:p>
    <w:p>
      <w:pPr>
        <w:numPr>
          <w:ilvl w:val="0"/>
          <w:numId w:val="19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Questions and action. </w:t>
      </w:r>
      <w:r>
        <w:rPr>
          <w:rFonts w:ascii="Calibri" w:hAnsi="Calibri" w:eastAsia="Calibri"/>
          <w:color w:val="162236"/>
          <w:sz w:val="22"/>
        </w:rPr>
        <w:t>FAQ followed by secure case start and discussion routes.</w:t>
      </w:r>
    </w:p>
    <w:p>
      <w:pPr>
        <w:pStyle w:val="Heading2"/>
        <w:keepNext w:val="1"/>
        <w:keepLines w:val="1"/>
      </w:pPr>
      <w:r>
        <w:t>Interaction requirements</w:t>
      </w:r>
    </w:p>
    <w:p>
      <w:pPr>
        <w:numPr>
          <w:ilvl w:val="0"/>
          <w:numId w:val="2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Keep one primary mobile CTA visible after the hero; shorten the label to Start Full-Arch Case only if necessary.</w:t>
      </w:r>
    </w:p>
    <w:p>
      <w:pPr>
        <w:numPr>
          <w:ilvl w:val="0"/>
          <w:numId w:val="2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Use at least 48 px tap targets and obvious keyboard focus states.</w:t>
      </w:r>
    </w:p>
    <w:p>
      <w:pPr>
        <w:numPr>
          <w:ilvl w:val="0"/>
          <w:numId w:val="2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Do not use colour alone to distinguish stage, approval, warning or error states.</w:t>
      </w:r>
    </w:p>
    <w:p>
      <w:pPr>
        <w:numPr>
          <w:ilvl w:val="0"/>
          <w:numId w:val="2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Use real buttons for case actions and links for navigation.</w:t>
      </w:r>
    </w:p>
    <w:p>
      <w:pPr>
        <w:numPr>
          <w:ilvl w:val="0"/>
          <w:numId w:val="2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Any exploded-stack interaction must have a complete, readable static alternative.</w:t>
      </w:r>
    </w:p>
    <w:p>
      <w:pPr>
        <w:numPr>
          <w:ilvl w:val="0"/>
          <w:numId w:val="2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Accordions expose their state to assistive technology and remain usable without precise pointer control.</w:t>
      </w:r>
    </w:p>
    <w:p>
      <w:pPr>
        <w:numPr>
          <w:ilvl w:val="0"/>
          <w:numId w:val="2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All informative images require meaningful alt text; decorative layers use empty alt attributes.</w:t>
      </w:r>
    </w:p>
    <w:p>
      <w:pPr>
        <w:numPr>
          <w:ilvl w:val="0"/>
          <w:numId w:val="2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Maintain WCAG AA contrast after the master blue and derived values are finalised.</w:t>
      </w:r>
    </w:p>
    <w:p>
      <w:pPr>
        <w:numPr>
          <w:ilvl w:val="0"/>
          <w:numId w:val="2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Respect reduced motion and never auto-play a looping surgical animation.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CONTENT EQUIVALENCE  </w:t>
      </w:r>
      <w:r>
        <w:rPr>
          <w:rFonts w:ascii="Calibri" w:hAnsi="Calibri" w:eastAsia="Calibri"/>
          <w:b w:val="0"/>
          <w:color w:val="162236"/>
          <w:sz w:val="22"/>
        </w:rPr>
        <w:t>Mobile must contain the same indexable headings, copy, captions, requirements and links as desktop. Simplify layout, not meaning.</w:t>
      </w:r>
    </w:p>
    <w:p>
      <w:pPr>
        <w:pStyle w:val="Heading1"/>
        <w:keepNext w:val="1"/>
        <w:keepLines w:val="1"/>
      </w:pPr>
      <w:r>
        <w:t>7. Developer and SEO handoff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Control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Implementation requirement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Canonical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Self-referencing canonical on /full-arch-stackable-workflow/.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Indexing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Index, follow after content, case evidence and portal destinations pass acceptance.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Headings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One H1; H2 sections in the published order; card labels use H3 only when structurally appropriate.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Breadcrumbs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Home &gt; Clinical Workflow Solutions &gt; Full-Arch Stackable Workflow.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Structured data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Use BreadcrumbList and only visible, accurate Service information. Do not invent FAQ rich-result eligibility.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Open Graph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Use the real hero sequence, final title and concise description; no stock or generated clinical asset.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Images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Responsive AVIF/WebP where supported, explicit dimensions, lazy-load below the fold and meaningful alt text.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Performance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Do not make a heavy exploded-stack animation the Largest Contentful Paint element.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Forms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No clinical upload on the public page. The discussion form accepts professional contact and a non-identifying workflow summary only.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Portal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Carry workflow=full-arch-stackable into the authenticated case-start route and restore the intended action after login.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Recommended analytics events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550"/>
        <w:gridCol w:w="3250"/>
        <w:gridCol w:w="3560"/>
      </w:tblGrid>
      <w:tr>
        <w:trPr>
          <w:tblHeader w:val="true"/>
          <w:cantSplit/>
        </w:trP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Event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Trigger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Useful property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full_arch_case_start_click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Primary case CTA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placement; device; logged_in_state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full_arch_requirements_view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Requirements anchor or page link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source_section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full_arch_discussion_click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Discussion CTA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source_section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full_arch_module_expand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Module detail interaction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module_name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full_arch_scope_select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Scope card CTA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scope_name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full_arch_portal_open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Returning-user portal link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source_section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full_arch_faq_open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FAQ expansion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question_id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/>
          <w:color w:val="5F6B7A"/>
          <w:sz w:val="20"/>
        </w:rPr>
        <w:t>Analytics must not include patient names, clinical file names, case notes, DICOM metadata, plan values or other patient-level content.</w:t>
      </w:r>
    </w:p>
    <w:p>
      <w:pPr>
        <w:pStyle w:val="Heading1"/>
        <w:keepNext w:val="1"/>
        <w:keepLines w:val="1"/>
      </w:pPr>
      <w:r>
        <w:t>8. Case Portal alignment</w:t>
      </w:r>
    </w:p>
    <w:p>
      <w:pPr>
        <w:pStyle w:val="Heading2"/>
        <w:keepNext w:val="1"/>
        <w:keepLines w:val="1"/>
      </w:pPr>
      <w:r>
        <w:t>Case-start handoff</w:t>
      </w:r>
    </w:p>
    <w:p>
      <w:pPr>
        <w:numPr>
          <w:ilvl w:val="0"/>
          <w:numId w:val="2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Preserve intent. </w:t>
      </w:r>
      <w:r>
        <w:rPr>
          <w:rFonts w:ascii="Calibri" w:hAnsi="Calibri" w:eastAsia="Calibri"/>
          <w:color w:val="162236"/>
          <w:sz w:val="22"/>
        </w:rPr>
        <w:t>The website CTA sends workflow=full-arch-stackable into the portal.</w:t>
      </w:r>
    </w:p>
    <w:p>
      <w:pPr>
        <w:numPr>
          <w:ilvl w:val="0"/>
          <w:numId w:val="2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Authenticate safely. </w:t>
      </w:r>
      <w:r>
        <w:rPr>
          <w:rFonts w:ascii="Calibri" w:hAnsi="Calibri" w:eastAsia="Calibri"/>
          <w:color w:val="162236"/>
          <w:sz w:val="22"/>
        </w:rPr>
        <w:t>A signed-out user logs in or creates the appropriate professional account, then returns to the intended case start.</w:t>
      </w:r>
    </w:p>
    <w:p>
      <w:pPr>
        <w:numPr>
          <w:ilvl w:val="0"/>
          <w:numId w:val="2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Confirm presentation and scope. </w:t>
      </w:r>
      <w:r>
        <w:rPr>
          <w:rFonts w:ascii="Calibri" w:hAnsi="Calibri" w:eastAsia="Calibri"/>
          <w:color w:val="162236"/>
          <w:sz w:val="22"/>
        </w:rPr>
        <w:t>The portal records arch, dentition status, intended workflow and design-only or design-to-delivery scope.</w:t>
      </w:r>
    </w:p>
    <w:p>
      <w:pPr>
        <w:numPr>
          <w:ilvl w:val="0"/>
          <w:numId w:val="2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Collect the prosthetic objective. </w:t>
      </w:r>
      <w:r>
        <w:rPr>
          <w:rFonts w:ascii="Calibri" w:hAnsi="Calibri" w:eastAsia="Calibri"/>
          <w:color w:val="162236"/>
          <w:sz w:val="22"/>
        </w:rPr>
        <w:t>Structured fields capture the restorative concept, available setup and loading intention before upload.</w:t>
      </w:r>
    </w:p>
    <w:p>
      <w:pPr>
        <w:numPr>
          <w:ilvl w:val="0"/>
          <w:numId w:val="2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Collect surgical and component details. </w:t>
      </w:r>
      <w:r>
        <w:rPr>
          <w:rFonts w:ascii="Calibri" w:hAnsi="Calibri" w:eastAsia="Calibri"/>
          <w:color w:val="162236"/>
          <w:sz w:val="22"/>
        </w:rPr>
        <w:t>Record planned extractions, reduction intention, implant system, guided kit, MUA family, fixation considerations and provisional pathway.</w:t>
      </w:r>
    </w:p>
    <w:p>
      <w:pPr>
        <w:numPr>
          <w:ilvl w:val="0"/>
          <w:numId w:val="2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Validate the records. </w:t>
      </w:r>
      <w:r>
        <w:rPr>
          <w:rFonts w:ascii="Calibri" w:hAnsi="Calibri" w:eastAsia="Calibri"/>
          <w:color w:val="162236"/>
          <w:sz w:val="22"/>
        </w:rPr>
        <w:t>Show what is received, missing or unreadable without implying a diagnosis or suitability decision.</w:t>
      </w:r>
    </w:p>
    <w:p>
      <w:pPr>
        <w:numPr>
          <w:ilvl w:val="0"/>
          <w:numId w:val="21"/>
        </w:numPr>
        <w:spacing w:before="0" w:after="100" w:line="300" w:lineRule="auto"/>
        <w:keepLines w:val="1"/>
      </w:pPr>
      <w:r>
        <w:rPr>
          <w:rFonts w:ascii="Calibri" w:hAnsi="Calibri" w:eastAsia="Calibri"/>
          <w:b/>
          <w:color w:val="162236"/>
          <w:sz w:val="22"/>
        </w:rPr>
        <w:t xml:space="preserve">Route through versioned review. </w:t>
      </w:r>
      <w:r>
        <w:rPr>
          <w:rFonts w:ascii="Calibri" w:hAnsi="Calibri" w:eastAsia="Calibri"/>
          <w:color w:val="162236"/>
          <w:sz w:val="22"/>
        </w:rPr>
        <w:t>Use the same setup, sequence, revision and approval language promised on the public page.</w:t>
      </w:r>
    </w:p>
    <w:p>
      <w:pPr>
        <w:pStyle w:val="Heading2"/>
        <w:keepNext w:val="1"/>
        <w:keepLines w:val="1"/>
      </w:pPr>
      <w:r>
        <w:t>Minimum full-arch intake fields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1900"/>
        <w:gridCol w:w="3800"/>
        <w:gridCol w:w="36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 group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Examples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Behaviour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Case objective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Arch; terminal dentition/edentulous; FP concept; loading intention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Use structured choices plus a concise clinical brief.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Prosthetic reference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Existing prosthesis; denture; wax-up; setup; provisional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Show missing/reference-needs-review states.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Surgical sequence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Extractions; reduction; flap approach; fixation considerations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Do not assume all modules from one selection.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Implant system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Implant family; guided kit; planned dimensions where known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Validate against current compatibility data.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MUA and components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Component family; restorative interface; availability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Allow Not yet confirmed without inventing a default.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Provisional pathway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Design; index; carrier; pickup; conversion; external lab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Display scope and responsibility clearly.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Target timing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Proposed surgery date and delivery destination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Treat as planning information, not a promised completion date.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Shared terminology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Public page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Portal term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Rule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Start a Full-Arch Case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Start a Case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Full-Arch Stackable Workflow is preselected.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Records received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Files Received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Receipt is not the same as usability or clinical review.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Records usable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Data Check Complete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Use only after the operating team completes the stated check.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Prosthetic setup ready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Setup Ready for Review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Expose the exact version and unresolved notes.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Sequence ready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Full-Arch Sequence Ready for Review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Show the component stages and confirmed scope.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Request changes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Changes Requested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Preserve version history and indicate affected components.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Approve sequence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Approved for Production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Record the approved version, scope and decision time.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Delivered scope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Delivered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Specify files, guides, provisional assets or shipment according to scope.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DO NOT OVER-PROMISE  </w:t>
      </w:r>
      <w:r>
        <w:rPr>
          <w:rFonts w:ascii="Calibri" w:hAnsi="Calibri" w:eastAsia="Calibri"/>
          <w:b w:val="0"/>
          <w:color w:val="162236"/>
          <w:sz w:val="22"/>
        </w:rPr>
        <w:t>Public copy and portal states must describe the live operating workflow. If versioned setup review, component-level status, validation or approval controls are not yet implemented, revise the promise before publication.</w:t>
      </w:r>
    </w:p>
    <w:p>
      <w:pPr>
        <w:pStyle w:val="Heading1"/>
        <w:keepNext w:val="1"/>
        <w:keepLines w:val="1"/>
      </w:pPr>
      <w:r>
        <w:t>9. Evidence, clinical and publication controls</w:t>
      </w:r>
    </w:p>
    <w:p>
      <w:pPr>
        <w:pStyle w:val="Heading2"/>
        <w:keepNext w:val="1"/>
        <w:keepLines w:val="1"/>
      </w:pPr>
      <w:r>
        <w:t>Claims that remain blocked</w:t>
      </w:r>
    </w:p>
    <w:p>
      <w:pPr>
        <w:numPr>
          <w:ilvl w:val="0"/>
          <w:numId w:val="2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Perfect accuracy, zero deviation, guaranteed guide fit or guaranteed transfer of the virtual plan.</w:t>
      </w:r>
    </w:p>
    <w:p>
      <w:pPr>
        <w:numPr>
          <w:ilvl w:val="0"/>
          <w:numId w:val="2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Guaranteed passive fit, primary stability, immediate loading, same-day teeth or an assured provisional outcome.</w:t>
      </w:r>
    </w:p>
    <w:p>
      <w:pPr>
        <w:numPr>
          <w:ilvl w:val="0"/>
          <w:numId w:val="2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Universal compatibility with every implant system, guided kit, MUA family, sleeve or restorative component.</w:t>
      </w:r>
    </w:p>
    <w:p>
      <w:pPr>
        <w:numPr>
          <w:ilvl w:val="0"/>
          <w:numId w:val="2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A fixed component bundle, production method, material or workflow claimed to suit every full-arch case.</w:t>
      </w:r>
    </w:p>
    <w:p>
      <w:pPr>
        <w:numPr>
          <w:ilvl w:val="0"/>
          <w:numId w:val="2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Universal 24-hour, 48-hour or surgery-date delivery promises not verified for the confirmed scope.</w:t>
      </w:r>
    </w:p>
    <w:p>
      <w:pPr>
        <w:numPr>
          <w:ilvl w:val="0"/>
          <w:numId w:val="2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Complication reduction, treatment success or patient-outcome claims inferred from design files or guide delivery.</w:t>
      </w:r>
    </w:p>
    <w:p>
      <w:pPr>
        <w:numPr>
          <w:ilvl w:val="0"/>
          <w:numId w:val="2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HIPAA, GDPR, ISO or other compliance language not verified for the live data path and operating entity.</w:t>
      </w:r>
    </w:p>
    <w:p>
      <w:pPr>
        <w:numPr>
          <w:ilvl w:val="0"/>
          <w:numId w:val="2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AI-autonomous planning, automatic bone reduction or autonomous component selection not supported by the actual workflow and governance.</w:t>
      </w:r>
    </w:p>
    <w:p>
      <w:pPr>
        <w:pStyle w:val="Heading2"/>
        <w:keepNext w:val="1"/>
        <w:keepLines w:val="1"/>
      </w:pPr>
      <w:r>
        <w:t>Evidence that may be published after verification</w:t>
      </w:r>
    </w:p>
    <w:p>
      <w:pPr>
        <w:numPr>
          <w:ilvl w:val="0"/>
          <w:numId w:val="23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One complete, consented and de-identified case showing all planned and delivered stages.</w:t>
      </w:r>
    </w:p>
    <w:p>
      <w:pPr>
        <w:numPr>
          <w:ilvl w:val="0"/>
          <w:numId w:val="23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A documented prosthetic-setup and full-sequence approval path that matches the live portal.</w:t>
      </w:r>
    </w:p>
    <w:p>
      <w:pPr>
        <w:numPr>
          <w:ilvl w:val="0"/>
          <w:numId w:val="23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Accurate implant-system, guided-kit, MUA and provisional-component compatibility information.</w:t>
      </w:r>
    </w:p>
    <w:p>
      <w:pPr>
        <w:numPr>
          <w:ilvl w:val="0"/>
          <w:numId w:val="23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Verified manufacturing methods, materials, service regions, production routes and turnaround bands by scope.</w:t>
      </w:r>
    </w:p>
    <w:p>
      <w:pPr>
        <w:numPr>
          <w:ilvl w:val="0"/>
          <w:numId w:val="23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Named clinical and technical review roles that match current operations.</w:t>
      </w:r>
    </w:p>
    <w:p>
      <w:pPr>
        <w:numPr>
          <w:ilvl w:val="0"/>
          <w:numId w:val="23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Defined version control, revision and post-approval change rules.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EVIDENCE POSTURE  </w:t>
      </w:r>
      <w:r>
        <w:rPr>
          <w:rFonts w:ascii="Calibri" w:hAnsi="Calibri" w:eastAsia="Calibri"/>
          <w:b w:val="0"/>
          <w:color w:val="162236"/>
          <w:sz w:val="22"/>
        </w:rPr>
        <w:t>Published literature can explain the concept and limitations of static and stackable guided workflows. It does not validate an Image3DConversion-specific accuracy, fit, timing or outcome claim without company evidence.</w:t>
      </w:r>
    </w:p>
    <w:p>
      <w:pPr>
        <w:pStyle w:val="Heading1"/>
        <w:keepNext w:val="1"/>
        <w:keepLines w:val="1"/>
      </w:pPr>
      <w:r>
        <w:t>10. Release acceptance checklist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H1, SEO title, meta description and canonical URL match this specification.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hero and sequence visuals come from one approved, de-identified real case.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page uses Image3DConversion Blue and White only; all derived values come from the master blue.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exact production blue is extracted from the approved original logo/vector asset.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primary CTA enters the authenticated portal with Full-Arch Stackable Workflow preselected.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No public form accepts patient files, images or identifiers.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page explains that the prosthetic endpoint precedes final component design.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Every displayed module is labelled as case-dependent and belongs to the shown case.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Full-arch requirements match the current operations standard.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Implant-system, guided-kit, MUA and provisional terminology matches current compatibility data.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Setup review, full-sequence review, revision and approval wording matches live portal behaviour.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Approval is attached to a visible plan version and confirmed production scope.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No guaranteed fit, accuracy, immediate loading, passive fit, timing, AI, compliance or outcome claim appears.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evidence module is removed unless a complete case passes consent, de-identification, authorship and caption review.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Desktop and mobile contain equivalent indexable meaning.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Keyboard navigation, focus states, contrast, headings, alt text, accordions and interactive stack controls pass accessibility QA.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Responsive images, dimensions and loading behaviour pass performance QA.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Analytics contain no clinical or patient-level data.</w:t>
      </w:r>
    </w:p>
    <w:p>
      <w:pPr>
        <w:numPr>
          <w:ilvl w:val="0"/>
          <w:numId w:val="24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journey is tested from search landing through authentication and successful full-arch case-start initiation.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RELEASE RULE  </w:t>
      </w:r>
      <w:r>
        <w:rPr>
          <w:rFonts w:ascii="Calibri" w:hAnsi="Calibri" w:eastAsia="Calibri"/>
          <w:b w:val="0"/>
          <w:color w:val="162236"/>
          <w:sz w:val="22"/>
        </w:rPr>
        <w:t>Do not publish because the copy and visuals are finished. Publish when the portal path, compatibility statements, operational scope, evidence and clinical boundaries are all true.</w:t>
      </w:r>
    </w:p>
    <w:p>
      <w:pPr>
        <w:pStyle w:val="Heading2"/>
        <w:pageBreakBefore w:val="1"/>
        <w:keepNext w:val="1"/>
        <w:keepLines w:val="1"/>
      </w:pPr>
      <w:r>
        <w:t>Reference links</w:t>
      </w:r>
    </w:p>
    <w:p>
      <w:pPr>
        <w:numPr>
          <w:ilvl w:val="0"/>
          <w:numId w:val="25"/>
        </w:numPr>
        <w:spacing w:after="80" w:line="300" w:lineRule="auto"/>
      </w:pPr>
      <w:hyperlink r:id="rId11">
        <w:r>
          <w:rPr>
            <w:rFonts w:ascii="Calibri" w:hAnsi="Calibri"/>
            <w:color w:val="2E74B5"/>
            <w:u w:val="single"/>
          </w:rPr>
          <w:t>ITI consensus statement: Computer-Guided Implant Surgery</w:t>
        </w:r>
      </w:hyperlink>
      <w:r>
        <w:rPr>
          <w:rFonts w:ascii="Calibri" w:hAnsi="Calibri" w:eastAsia="Calibri"/>
          <w:color w:val="162236"/>
          <w:sz w:val="21"/>
        </w:rPr>
        <w:t xml:space="preserve"> — static guide definition, prosthetically driven planning and clinical limitations</w:t>
      </w:r>
    </w:p>
    <w:p>
      <w:pPr>
        <w:numPr>
          <w:ilvl w:val="0"/>
          <w:numId w:val="26"/>
        </w:numPr>
        <w:spacing w:after="80" w:line="300" w:lineRule="auto"/>
      </w:pPr>
      <w:hyperlink r:id="rId12">
        <w:r>
          <w:rPr>
            <w:rFonts w:ascii="Calibri" w:hAnsi="Calibri"/>
            <w:color w:val="2E74B5"/>
            <w:u w:val="single"/>
          </w:rPr>
          <w:t>ITI consensus statement: Accuracy of Static Computer-Aided Implant Surgery</w:t>
        </w:r>
      </w:hyperlink>
      <w:r>
        <w:rPr>
          <w:rFonts w:ascii="Calibri" w:hAnsi="Calibri" w:eastAsia="Calibri"/>
          <w:color w:val="162236"/>
          <w:sz w:val="21"/>
        </w:rPr>
        <w:t xml:space="preserve"> — deviation, clinician training, safety-margin and data-alignment guidance</w:t>
      </w:r>
    </w:p>
    <w:p>
      <w:pPr>
        <w:numPr>
          <w:ilvl w:val="0"/>
          <w:numId w:val="27"/>
        </w:numPr>
        <w:spacing w:after="80" w:line="300" w:lineRule="auto"/>
      </w:pPr>
      <w:hyperlink r:id="rId13">
        <w:r>
          <w:rPr>
            <w:rFonts w:ascii="Calibri" w:hAnsi="Calibri"/>
            <w:color w:val="2E74B5"/>
            <w:u w:val="single"/>
          </w:rPr>
          <w:t>Current knowledge about stackable guides: a scoping review</w:t>
        </w:r>
      </w:hyperlink>
      <w:r>
        <w:rPr>
          <w:rFonts w:ascii="Calibri" w:hAnsi="Calibri" w:eastAsia="Calibri"/>
          <w:color w:val="162236"/>
          <w:sz w:val="21"/>
        </w:rPr>
        <w:t xml:space="preserve"> — current terminology, reported workflow architectures and limitations of the evidence base</w:t>
      </w:r>
    </w:p>
    <w:p>
      <w:pPr>
        <w:numPr>
          <w:ilvl w:val="0"/>
          <w:numId w:val="28"/>
        </w:numPr>
        <w:spacing w:after="80" w:line="300" w:lineRule="auto"/>
      </w:pPr>
      <w:hyperlink r:id="rId14">
        <w:r>
          <w:rPr>
            <w:rFonts w:ascii="Calibri" w:hAnsi="Calibri"/>
            <w:color w:val="2E74B5"/>
            <w:u w:val="single"/>
          </w:rPr>
          <w:t>Predictable Full Digital Workflow Using Stackable Surgical Templates for Complete-Arch Implant Rehabilitation</w:t>
        </w:r>
      </w:hyperlink>
      <w:r>
        <w:rPr>
          <w:rFonts w:ascii="Calibri" w:hAnsi="Calibri" w:eastAsia="Calibri"/>
          <w:color w:val="162236"/>
          <w:sz w:val="21"/>
        </w:rPr>
        <w:t xml:space="preserve"> — one contemporary clinical workflow example; not a universal outcome claim</w:t>
      </w:r>
    </w:p>
    <w:p>
      <w:pPr>
        <w:numPr>
          <w:ilvl w:val="0"/>
          <w:numId w:val="29"/>
        </w:numPr>
        <w:spacing w:after="80" w:line="300" w:lineRule="auto"/>
      </w:pPr>
      <w:hyperlink r:id="rId15">
        <w:r>
          <w:rPr>
            <w:rFonts w:ascii="Calibri" w:hAnsi="Calibri"/>
            <w:color w:val="2E74B5"/>
            <w:u w:val="single"/>
          </w:rPr>
          <w:t>Google Search SEO Starter Guide</w:t>
        </w:r>
      </w:hyperlink>
      <w:r>
        <w:rPr>
          <w:rFonts w:ascii="Calibri" w:hAnsi="Calibri" w:eastAsia="Calibri"/>
          <w:color w:val="162236"/>
          <w:sz w:val="21"/>
        </w:rPr>
        <w:t xml:space="preserve"> — titles, descriptions, useful page content, internal links and image guidance</w:t>
      </w:r>
    </w:p>
    <w:p>
      <w:pPr>
        <w:numPr>
          <w:ilvl w:val="0"/>
          <w:numId w:val="30"/>
        </w:numPr>
        <w:spacing w:after="80" w:line="300" w:lineRule="auto"/>
      </w:pPr>
      <w:hyperlink r:id="rId16">
        <w:r>
          <w:rPr>
            <w:rFonts w:ascii="Calibri" w:hAnsi="Calibri"/>
            <w:color w:val="2E74B5"/>
            <w:u w:val="single"/>
          </w:rPr>
          <w:t>Google Search: Introduction to structured data</w:t>
        </w:r>
      </w:hyperlink>
      <w:r>
        <w:rPr>
          <w:rFonts w:ascii="Calibri" w:hAnsi="Calibri" w:eastAsia="Calibri"/>
          <w:color w:val="162236"/>
          <w:sz w:val="21"/>
        </w:rPr>
        <w:t xml:space="preserve"> — visible, accurate and maintainable structured-data guidance</w:t>
      </w:r>
    </w:p>
    <w:p>
      <w:pPr>
        <w:numPr>
          <w:ilvl w:val="0"/>
          <w:numId w:val="31"/>
        </w:numPr>
        <w:spacing w:after="80" w:line="300" w:lineRule="auto"/>
      </w:pPr>
      <w:hyperlink r:id="rId17">
        <w:r>
          <w:rPr>
            <w:rFonts w:ascii="Calibri" w:hAnsi="Calibri"/>
            <w:color w:val="2E74B5"/>
            <w:u w:val="single"/>
          </w:rPr>
          <w:t>Google Search: Breadcrumb structured data</w:t>
        </w:r>
      </w:hyperlink>
      <w:r>
        <w:rPr>
          <w:rFonts w:ascii="Calibri" w:hAnsi="Calibri" w:eastAsia="Calibri"/>
          <w:color w:val="162236"/>
          <w:sz w:val="21"/>
        </w:rPr>
        <w:t xml:space="preserve"> — breadcrumb implementation guidance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5F6B7A"/>
        <w:sz w:val="17"/>
      </w:rPr>
      <w:t>IMAGE3DCONVERSION  /  FULL-ARCH STACKABLE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622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36" w:hanging="259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cademy.iti.org/academy/consensus-database/consensus-statement/-/consensus/computer-guided-implant-surgery/1213" TargetMode="External"/><Relationship Id="rId12" Type="http://schemas.openxmlformats.org/officeDocument/2006/relationships/hyperlink" Target="https://academy.iti.org/academy/consensus-database/consensus-statement/-/consensus/accuracy-of-static-computer-aided-implant-surgery/1820" TargetMode="External"/><Relationship Id="rId13" Type="http://schemas.openxmlformats.org/officeDocument/2006/relationships/hyperlink" Target="https://pmc.ncbi.nlm.nih.gov/articles/PMC11143148/" TargetMode="External"/><Relationship Id="rId14" Type="http://schemas.openxmlformats.org/officeDocument/2006/relationships/hyperlink" Target="https://pmc.ncbi.nlm.nih.gov/articles/PMC11593087/" TargetMode="External"/><Relationship Id="rId15" Type="http://schemas.openxmlformats.org/officeDocument/2006/relationships/hyperlink" Target="https://developers.google.com/search/docs/fundamentals/seo-starter-guide" TargetMode="External"/><Relationship Id="rId16" Type="http://schemas.openxmlformats.org/officeDocument/2006/relationships/hyperlink" Target="https://developers.google.com/search/docs/appearance/structured-data/intro-structured-data" TargetMode="External"/><Relationship Id="rId17" Type="http://schemas.openxmlformats.org/officeDocument/2006/relationships/hyperlink" Target="https://developers.google.com/search/docs/appearance/structured-data/breadcrum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Image3DConversion Full-Arch Stackable Workflow Content &amp; Design Psychology Specification</dc:title>
  <dc:subject>Release 1 service-page copy, SEO, design psychology, Case Portal alignment and developer handoff</dc:subject>
  <dc:creator>Image3DConversion</dc:creator>
  <cp:keywords>Image3DConversion, full-arch stackable workflow, stackable surgical guide, bone reduction guide, full-arch implant planning, SEO</cp:keywords>
  <dc:description>Prepared for Founder approval and implementation handoff.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