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Global Practice Workflows</w:t>
      </w:r>
    </w:p>
    <w:p>
      <w:pPr>
        <w:spacing w:before="0" w:after="320" w:line="300" w:lineRule="auto"/>
        <w:jc w:val="left"/>
      </w:pPr>
      <w:r>
        <w:rPr>
          <w:rFonts w:ascii="Calibri" w:hAnsi="Calibri" w:eastAsia="Calibri"/>
          <w:b w:val="0"/>
          <w:i w:val="0"/>
          <w:color w:val="5F6B7A"/>
          <w:sz w:val="26"/>
        </w:rPr>
        <w:t>Final page copy, SEO hierarchy, design psychology, 3D visual direction, international-practice positioning, mobile behaviour, Case Portal alignment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https://www.image3dconversion.com/global-practice-workflows/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Discuss Global Workflow</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page gives international practices a credible route into Image3DConversion. It must attract global dentists, labs and workflow partners through operating clarity, not vague worldwide claims, and it must keep patient outcome, clinician approval, data routing and local responsibility visible.</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Explain how practices outside the primary local market can work with Image3DConversion through structured digital workflows.</w:t>
      </w:r>
    </w:p>
    <w:p>
      <w:pPr>
        <w:numPr>
          <w:ilvl w:val="0"/>
          <w:numId w:val="10"/>
        </w:numPr>
        <w:spacing w:before="0" w:after="80" w:line="300" w:lineRule="auto"/>
        <w:keepLines w:val="1"/>
      </w:pPr>
      <w:r>
        <w:rPr>
          <w:rFonts w:ascii="Calibri" w:hAnsi="Calibri" w:eastAsia="Calibri"/>
          <w:color w:val="162236"/>
          <w:sz w:val="22"/>
        </w:rPr>
        <w:t>Begin with the patient smile and prosthetic endpoint before discussing files, time zones, production routes or delivery.</w:t>
      </w:r>
    </w:p>
    <w:p>
      <w:pPr>
        <w:numPr>
          <w:ilvl w:val="0"/>
          <w:numId w:val="10"/>
        </w:numPr>
        <w:spacing w:before="0" w:after="80" w:line="300" w:lineRule="auto"/>
        <w:keepLines w:val="1"/>
      </w:pPr>
      <w:r>
        <w:rPr>
          <w:rFonts w:ascii="Calibri" w:hAnsi="Calibri" w:eastAsia="Calibri"/>
          <w:color w:val="162236"/>
          <w:sz w:val="22"/>
        </w:rPr>
        <w:t>Show global fit through design-only, design-to-delivery, local-production and white-label operating options.</w:t>
      </w:r>
    </w:p>
    <w:p>
      <w:pPr>
        <w:numPr>
          <w:ilvl w:val="0"/>
          <w:numId w:val="10"/>
        </w:numPr>
        <w:spacing w:before="0" w:after="80" w:line="300" w:lineRule="auto"/>
        <w:keepLines w:val="1"/>
      </w:pPr>
      <w:r>
        <w:rPr>
          <w:rFonts w:ascii="Calibri" w:hAnsi="Calibri" w:eastAsia="Calibri"/>
          <w:color w:val="162236"/>
          <w:sz w:val="22"/>
        </w:rPr>
        <w:t>Clarify responsibility across clinician approval, local surgery, production choice, communication and revision cycles.</w:t>
      </w:r>
    </w:p>
    <w:p>
      <w:pPr>
        <w:numPr>
          <w:ilvl w:val="0"/>
          <w:numId w:val="10"/>
        </w:numPr>
        <w:spacing w:before="0" w:after="80" w:line="300" w:lineRule="auto"/>
        <w:keepLines w:val="1"/>
      </w:pPr>
      <w:r>
        <w:rPr>
          <w:rFonts w:ascii="Calibri" w:hAnsi="Calibri" w:eastAsia="Calibri"/>
          <w:color w:val="162236"/>
          <w:sz w:val="22"/>
        </w:rPr>
        <w:t>Make global collaboration feel premium, orderly and safe without using generic flags, exaggerated scale claims or unsupported regulatory language.</w:t>
      </w:r>
    </w:p>
    <w:p>
      <w:pPr>
        <w:numPr>
          <w:ilvl w:val="0"/>
          <w:numId w:val="10"/>
        </w:numPr>
        <w:spacing w:before="0" w:after="80" w:line="300" w:lineRule="auto"/>
        <w:keepLines w:val="1"/>
      </w:pPr>
      <w:r>
        <w:rPr>
          <w:rFonts w:ascii="Calibri" w:hAnsi="Calibri" w:eastAsia="Calibri"/>
          <w:color w:val="162236"/>
          <w:sz w:val="22"/>
        </w:rPr>
        <w:t>Route clinical records and patient-identifying files only through the authenticated Image3DConversion Case Portal.</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/global-practice-workflows/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 follow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Global Digital Implant Planning Workflows | Image3DConversion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Work with Image3DConversion across borders through digital implant planning, design-only files, coordinated delivery options and clinician-reviewed guided workflow support.</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Global practices need more than file exchange.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global digital implant planning workflow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international surgical guide design service; dental implant planning India global; design-only dental guide files; remote implant planning workflow; white label surgical guide partner</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Global Workflow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Compare Ways to Work</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The page should answer a global visitor's question: can this team collaborate with my practice across distance while preserving the planned patient outcome, my clinical authority, and a clear production route?</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GLOBAL PRACTICE WORKFLOWS</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Global practices need more than file exchange.</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Image3DConversion helps dental practices, labs and authorised workflow partners collaborate across borders through structured digital implant planning and guided workflow support. The work begins with the smile and prosthetic objective, then aligns function, biology, anatomy, review, approval and the agreed route to design files or delivery.</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For dental professionals and authorised workflow partners. Diagnosis, indication, patient consent, clinical approval and final delivery decisions remain with the responsible treating team.</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Global Workflow</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Compare Ways to Work</w:t>
      </w:r>
    </w:p>
    <w:p>
      <w:pPr>
        <w:pStyle w:val="Heading2"/>
        <w:keepNext w:val="1"/>
        <w:keepLines w:val="1"/>
      </w:pPr>
      <w:r>
        <w:t>Section 1 — Distance should not weaken the treatment direction</w:t>
      </w:r>
    </w:p>
    <w:p>
      <w:pPr>
        <w:spacing w:before="0" w:after="100" w:line="300" w:lineRule="auto"/>
        <w:jc w:val="left"/>
      </w:pPr>
      <w:r>
        <w:rPr>
          <w:rFonts w:ascii="Calibri" w:hAnsi="Calibri" w:eastAsia="Calibri"/>
          <w:b/>
          <w:i w:val="0"/>
          <w:color w:val="1F4D78"/>
          <w:sz w:val="30"/>
        </w:rPr>
        <w:t>The patient still sees the smile first.</w:t>
      </w:r>
    </w:p>
    <w:p>
      <w:pPr>
        <w:spacing w:before="0" w:after="120" w:line="300" w:lineRule="auto"/>
        <w:jc w:val="left"/>
      </w:pPr>
      <w:r>
        <w:rPr>
          <w:rFonts w:ascii="Calibri" w:hAnsi="Calibri" w:eastAsia="Calibri"/>
          <w:b w:val="0"/>
          <w:i w:val="0"/>
          <w:color w:val="162236"/>
          <w:sz w:val="23"/>
        </w:rPr>
        <w:t>For an international practice, the challenge is not only sending DICOM, STL and photographs. The challenge is keeping the aesthetic objective, prosthetic space, implant plan, guide design, review notes and production route connected across time zones, teams and local systems.</w:t>
      </w:r>
    </w:p>
    <w:p>
      <w:pPr>
        <w:spacing w:before="0" w:after="120" w:line="300" w:lineRule="auto"/>
        <w:jc w:val="left"/>
      </w:pPr>
      <w:r>
        <w:rPr>
          <w:rFonts w:ascii="Calibri" w:hAnsi="Calibri" w:eastAsia="Calibri"/>
          <w:b w:val="0"/>
          <w:i w:val="0"/>
          <w:color w:val="162236"/>
          <w:sz w:val="23"/>
        </w:rPr>
        <w:t>Global workflow support should make distance feel organised, not risky. It should help the treating team know what to share, what will be reviewed, what remains local, and what must be approved before any production or clinical use.</w:t>
      </w:r>
    </w:p>
    <w:p>
      <w:pPr>
        <w:spacing w:before="0" w:after="60" w:line="300" w:lineRule="auto"/>
        <w:jc w:val="left"/>
        <w:keepNext w:val="1"/>
        <w:keepLines w:val="1"/>
      </w:pPr>
      <w:r>
        <w:rPr>
          <w:rFonts w:ascii="Calibri" w:hAnsi="Calibri" w:eastAsia="Calibri"/>
          <w:b w:val="0"/>
          <w:i/>
          <w:color w:val="5F6B7A"/>
          <w:sz w:val="19"/>
        </w:rPr>
        <w:t>Psychological job: Build confidence that global collaboration can be structured, professional and clinically respectful. The visitor should feel that Image3DConversion understands cross-border handoffs.</w:t>
      </w:r>
    </w:p>
    <w:p>
      <w:pPr>
        <w:spacing w:before="0" w:after="60" w:line="300" w:lineRule="auto"/>
        <w:jc w:val="left"/>
        <w:keepNext w:val="1"/>
        <w:keepLines w:val="1"/>
      </w:pPr>
      <w:r>
        <w:rPr>
          <w:rFonts w:ascii="Calibri" w:hAnsi="Calibri" w:eastAsia="Calibri"/>
          <w:b w:val="0"/>
          <w:i w:val="0"/>
          <w:color w:val="5F6B7A"/>
          <w:sz w:val="19"/>
        </w:rPr>
        <w:t>Visual direction: Use a blue-white 3D scene: patient smile and prosthetic arch in the foreground, digital records and planning layers moving through clean global connection lines behind it.</w:t>
      </w:r>
    </w:p>
    <w:p>
      <w:pPr>
        <w:spacing w:before="0" w:after="60" w:line="300" w:lineRule="auto"/>
        <w:jc w:val="left"/>
        <w:keepNext w:val="1"/>
        <w:keepLines w:val="1"/>
      </w:pPr>
      <w:r>
        <w:rPr>
          <w:rFonts w:ascii="Calibri" w:hAnsi="Calibri" w:eastAsia="Calibri"/>
          <w:b w:val="0"/>
          <w:i w:val="0"/>
          <w:color w:val="5F6B7A"/>
          <w:sz w:val="19"/>
        </w:rPr>
        <w:t>Mobile: Stack as four cards: Outcome, Records, Review, Route.</w:t>
      </w:r>
    </w:p>
    <w:p>
      <w:pPr>
        <w:spacing w:before="0" w:after="140" w:line="300" w:lineRule="auto"/>
        <w:jc w:val="left"/>
        <w:keepLines w:val="1"/>
      </w:pPr>
      <w:r>
        <w:rPr>
          <w:rFonts w:ascii="Calibri" w:hAnsi="Calibri" w:eastAsia="Calibri"/>
          <w:b w:val="0"/>
          <w:i w:val="0"/>
          <w:color w:val="5F6B7A"/>
          <w:sz w:val="19"/>
        </w:rPr>
        <w:t>Implementation: Do not use generic flags as the primary visual proof. Show workflow continuity first, geography second.</w:t>
      </w:r>
    </w:p>
    <w:p>
      <w:pPr>
        <w:pStyle w:val="Heading2"/>
        <w:keepNext w:val="1"/>
        <w:keepLines w:val="1"/>
      </w:pPr>
      <w:r>
        <w:t>Section 2 — Ways global practices can work with Image3DConversion</w:t>
      </w:r>
    </w:p>
    <w:p>
      <w:pPr>
        <w:spacing w:before="0" w:after="120" w:line="300" w:lineRule="auto"/>
        <w:jc w:val="left"/>
      </w:pPr>
      <w:r>
        <w:rPr>
          <w:rFonts w:ascii="Calibri" w:hAnsi="Calibri" w:eastAsia="Calibri"/>
          <w:b w:val="0"/>
          <w:i w:val="0"/>
          <w:color w:val="162236"/>
          <w:sz w:val="23"/>
        </w:rPr>
        <w:t>The right model depends on the practice's local capability, production route, implant system, timeline and case complexity. The page should make the choice simple without forcing every visitor into one route.</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000"/>
      </w:tblGrid>
      <w:tr>
        <w:trPr>
          <w:tblHeader w:val="true"/>
          <w:cantSplit/>
        </w:trPr>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Working model</w:t>
            </w:r>
          </w:p>
        </w:tc>
        <w:tc>
          <w:tcPr>
            <w:tcW w:type="dxa" w:w="6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Best fit</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Design-only</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Practices or labs that want review-ready design files and already have trusted local printing, milling or lab capacity.</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Design-to-delivery</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Practices that want planning, guide/prosthetic design and production handoff coordinated through one agreed workflow.</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Local production support</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Teams that prefer to keep fabrication local while using Image3DConversion for planning, design notes and production-ready digital outputs.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Advanced case collaboration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Full-arch, immediate-loading, zygoma, pterygoid or sequential workflows where cross-border review discipline matters.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White-label partnership</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Labs, DSOs, implant companies or training ecosystems that need behind-the-scenes digital planning and guide workflow support.</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Education-to-service pathway</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International clinicians who learn guided workflows through education and later need a reliable case-support route.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3 — What makes a global workflow workable</w:t>
      </w:r>
    </w:p>
    <w:p>
      <w:pPr>
        <w:numPr>
          <w:ilvl w:val="0"/>
          <w:numId w:val="11"/>
        </w:numPr>
        <w:spacing w:before="0" w:after="80" w:line="300" w:lineRule="auto"/>
        <w:keepLines w:val="1"/>
      </w:pPr>
      <w:r>
        <w:rPr>
          <w:rFonts w:ascii="Calibri" w:hAnsi="Calibri" w:eastAsia="Calibri"/>
          <w:color w:val="162236"/>
          <w:sz w:val="22"/>
        </w:rPr>
        <w:t>The practice begins with the patient outcome and clinical objective, not only a file-transfer request.</w:t>
      </w:r>
    </w:p>
    <w:p>
      <w:pPr>
        <w:numPr>
          <w:ilvl w:val="0"/>
          <w:numId w:val="11"/>
        </w:numPr>
        <w:spacing w:before="0" w:after="80" w:line="300" w:lineRule="auto"/>
        <w:keepLines w:val="1"/>
      </w:pPr>
      <w:r>
        <w:rPr>
          <w:rFonts w:ascii="Calibri" w:hAnsi="Calibri" w:eastAsia="Calibri"/>
          <w:color w:val="162236"/>
          <w:sz w:val="22"/>
        </w:rPr>
        <w:t>Clinical records are complete enough for meaningful digital review.</w:t>
      </w:r>
    </w:p>
    <w:p>
      <w:pPr>
        <w:numPr>
          <w:ilvl w:val="0"/>
          <w:numId w:val="11"/>
        </w:numPr>
        <w:spacing w:before="0" w:after="80" w:line="300" w:lineRule="auto"/>
        <w:keepLines w:val="1"/>
      </w:pPr>
      <w:r>
        <w:rPr>
          <w:rFonts w:ascii="Calibri" w:hAnsi="Calibri" w:eastAsia="Calibri"/>
          <w:color w:val="162236"/>
          <w:sz w:val="22"/>
        </w:rPr>
        <w:t>Time zone, review window, language of communication and preferred response channel are clear.</w:t>
      </w:r>
    </w:p>
    <w:p>
      <w:pPr>
        <w:numPr>
          <w:ilvl w:val="0"/>
          <w:numId w:val="11"/>
        </w:numPr>
        <w:spacing w:before="0" w:after="80" w:line="300" w:lineRule="auto"/>
        <w:keepLines w:val="1"/>
      </w:pPr>
      <w:r>
        <w:rPr>
          <w:rFonts w:ascii="Calibri" w:hAnsi="Calibri" w:eastAsia="Calibri"/>
          <w:color w:val="162236"/>
          <w:sz w:val="22"/>
        </w:rPr>
        <w:t>The production route is agreed: local production, design-to-delivery, or partner workflow.</w:t>
      </w:r>
    </w:p>
    <w:p>
      <w:pPr>
        <w:numPr>
          <w:ilvl w:val="0"/>
          <w:numId w:val="11"/>
        </w:numPr>
        <w:spacing w:before="0" w:after="80" w:line="300" w:lineRule="auto"/>
        <w:keepLines w:val="1"/>
      </w:pPr>
      <w:r>
        <w:rPr>
          <w:rFonts w:ascii="Calibri" w:hAnsi="Calibri" w:eastAsia="Calibri"/>
          <w:color w:val="162236"/>
          <w:sz w:val="22"/>
        </w:rPr>
        <w:t>Implant system, sleeve requirement, prosthetic expectation and material route are confirmed where relevant.</w:t>
      </w:r>
    </w:p>
    <w:p>
      <w:pPr>
        <w:numPr>
          <w:ilvl w:val="0"/>
          <w:numId w:val="11"/>
        </w:numPr>
        <w:spacing w:before="0" w:after="80" w:line="300" w:lineRule="auto"/>
        <w:keepLines w:val="1"/>
      </w:pPr>
      <w:r>
        <w:rPr>
          <w:rFonts w:ascii="Calibri" w:hAnsi="Calibri" w:eastAsia="Calibri"/>
          <w:color w:val="162236"/>
          <w:sz w:val="22"/>
        </w:rPr>
        <w:t>Review material, revision requests and approved files are versioned so the treating team knows what is current.</w:t>
      </w:r>
    </w:p>
    <w:p>
      <w:pPr>
        <w:pStyle w:val="Heading2"/>
        <w:keepNext w:val="1"/>
        <w:keepLines w:val="1"/>
      </w:pPr>
      <w:r>
        <w:t>Section 4 — Global workflow map</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4400"/>
        <w:gridCol w:w="2900"/>
      </w:tblGrid>
      <w:tr>
        <w:trPr>
          <w:tblHeader w:val="true"/>
          <w:cantSplit/>
        </w:trPr>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Stage</w:t>
            </w:r>
          </w:p>
        </w:tc>
        <w:tc>
          <w:tcPr>
            <w:tcW w:type="dxa" w:w="44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Global-practice meaning</w:t>
            </w:r>
          </w:p>
        </w:tc>
        <w:tc>
          <w:tcPr>
            <w:tcW w:type="dxa" w:w="2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Boundary</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1. Outcome</w:t>
            </w:r>
          </w:p>
        </w:tc>
        <w:tc>
          <w:tcPr>
            <w:tcW w:type="dxa" w:w="4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Smile, prosthetic endpoint and patient-facing expectation define the direction.</w:t>
            </w:r>
          </w:p>
        </w:tc>
        <w:tc>
          <w:tcPr>
            <w:tcW w:type="dxa" w:w="2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Not a patient-facing promise; written for dental professionals.</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2. Records</w:t>
            </w:r>
          </w:p>
        </w:tc>
        <w:tc>
          <w:tcPr>
            <w:tcW w:type="dxa" w:w="4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DICOM, STL/IOS, bite, photos and case notes are prepared for review.</w:t>
            </w:r>
          </w:p>
        </w:tc>
        <w:tc>
          <w:tcPr>
            <w:tcW w:type="dxa" w:w="2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Clinical uploads only after authentication inside the Case Portal.</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 Review</w:t>
            </w:r>
          </w:p>
        </w:tc>
        <w:tc>
          <w:tcPr>
            <w:tcW w:type="dxa" w:w="4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Planning/design material is shared in a structured review cycle.</w:t>
            </w:r>
          </w:p>
        </w:tc>
        <w:tc>
          <w:tcPr>
            <w:tcW w:type="dxa" w:w="2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 files are not final clinical approval.</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4. Route</w:t>
            </w:r>
          </w:p>
        </w:tc>
        <w:tc>
          <w:tcPr>
            <w:tcW w:type="dxa" w:w="4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Design-only, local production, coordinated delivery or white-label path is selected.</w:t>
            </w:r>
          </w:p>
        </w:tc>
        <w:tc>
          <w:tcPr>
            <w:tcW w:type="dxa" w:w="2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Availability depends on region, case type and operational confirmation.</w:t>
            </w:r>
          </w:p>
        </w:tc>
      </w:tr>
      <w:tr>
        <w:trPr>
          <w:cantSplit/>
        </w:trP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5. Approval</w:t>
            </w:r>
          </w:p>
        </w:tc>
        <w:tc>
          <w:tcPr>
            <w:tcW w:type="dxa" w:w="4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Treating team approves the appropriate planning/design stage before use.</w:t>
            </w:r>
          </w:p>
        </w:tc>
        <w:tc>
          <w:tcPr>
            <w:tcW w:type="dxa" w:w="2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does not replace diagnosis, consent or surgery.</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5 — What global practices should prepare</w:t>
      </w:r>
    </w:p>
    <w:p>
      <w:pPr>
        <w:spacing w:before="0" w:after="120" w:line="300" w:lineRule="auto"/>
        <w:jc w:val="left"/>
      </w:pPr>
      <w:r>
        <w:rPr>
          <w:rFonts w:ascii="Calibri" w:hAnsi="Calibri" w:eastAsia="Calibri"/>
          <w:b w:val="0"/>
          <w:i w:val="0"/>
          <w:color w:val="162236"/>
          <w:sz w:val="23"/>
        </w:rPr>
        <w:t>A global collaboration becomes stronger when the practice shares the right non-public inquiry details first, then uploads clinical records only through the authenticated route after scope is confirmed.</w:t>
      </w:r>
    </w:p>
    <w:p>
      <w:pPr>
        <w:numPr>
          <w:ilvl w:val="0"/>
          <w:numId w:val="12"/>
        </w:numPr>
        <w:spacing w:before="0" w:after="80" w:line="300" w:lineRule="auto"/>
        <w:keepLines w:val="1"/>
      </w:pPr>
      <w:r>
        <w:rPr>
          <w:rFonts w:ascii="Calibri" w:hAnsi="Calibri" w:eastAsia="Calibri"/>
          <w:color w:val="162236"/>
          <w:sz w:val="22"/>
        </w:rPr>
        <w:t>Country, city, clinic or lab identity and responsible professional contact.</w:t>
      </w:r>
    </w:p>
    <w:p>
      <w:pPr>
        <w:numPr>
          <w:ilvl w:val="0"/>
          <w:numId w:val="12"/>
        </w:numPr>
        <w:spacing w:before="0" w:after="80" w:line="300" w:lineRule="auto"/>
        <w:keepLines w:val="1"/>
      </w:pPr>
      <w:r>
        <w:rPr>
          <w:rFonts w:ascii="Calibri" w:hAnsi="Calibri" w:eastAsia="Calibri"/>
          <w:color w:val="162236"/>
          <w:sz w:val="22"/>
        </w:rPr>
        <w:t>Case category: routine implant, full-arch, immediate loading, zygoma/pterygoid, or other advanced workflow.</w:t>
      </w:r>
    </w:p>
    <w:p>
      <w:pPr>
        <w:numPr>
          <w:ilvl w:val="0"/>
          <w:numId w:val="12"/>
        </w:numPr>
        <w:spacing w:before="0" w:after="80" w:line="300" w:lineRule="auto"/>
        <w:keepLines w:val="1"/>
      </w:pPr>
      <w:r>
        <w:rPr>
          <w:rFonts w:ascii="Calibri" w:hAnsi="Calibri" w:eastAsia="Calibri"/>
          <w:color w:val="162236"/>
          <w:sz w:val="22"/>
        </w:rPr>
        <w:t>Preferred working model: design-only, design-to-delivery, local production support or partnership.</w:t>
      </w:r>
    </w:p>
    <w:p>
      <w:pPr>
        <w:numPr>
          <w:ilvl w:val="0"/>
          <w:numId w:val="12"/>
        </w:numPr>
        <w:spacing w:before="0" w:after="80" w:line="300" w:lineRule="auto"/>
        <w:keepLines w:val="1"/>
      </w:pPr>
      <w:r>
        <w:rPr>
          <w:rFonts w:ascii="Calibri" w:hAnsi="Calibri" w:eastAsia="Calibri"/>
          <w:color w:val="162236"/>
          <w:sz w:val="22"/>
        </w:rPr>
        <w:t>Implant system, production capability and local material route where already known.</w:t>
      </w:r>
    </w:p>
    <w:p>
      <w:pPr>
        <w:numPr>
          <w:ilvl w:val="0"/>
          <w:numId w:val="12"/>
        </w:numPr>
        <w:spacing w:before="0" w:after="80" w:line="300" w:lineRule="auto"/>
        <w:keepLines w:val="1"/>
      </w:pPr>
      <w:r>
        <w:rPr>
          <w:rFonts w:ascii="Calibri" w:hAnsi="Calibri" w:eastAsia="Calibri"/>
          <w:color w:val="162236"/>
          <w:sz w:val="22"/>
        </w:rPr>
        <w:t>Expected review timeline and preferred communication window.</w:t>
      </w:r>
    </w:p>
    <w:p>
      <w:pPr>
        <w:numPr>
          <w:ilvl w:val="0"/>
          <w:numId w:val="12"/>
        </w:numPr>
        <w:spacing w:before="0" w:after="80" w:line="300" w:lineRule="auto"/>
        <w:keepLines w:val="1"/>
      </w:pPr>
      <w:r>
        <w:rPr>
          <w:rFonts w:ascii="Calibri" w:hAnsi="Calibri" w:eastAsia="Calibri"/>
          <w:color w:val="162236"/>
          <w:sz w:val="22"/>
        </w:rPr>
        <w:t>Only non-identifying case summary on public inquiry forms; clinical records move through authenticated submission.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GLOBAL BOUNDARY  </w:t>
      </w:r>
      <w:r>
        <w:rPr>
          <w:rFonts w:ascii="Calibri" w:hAnsi="Calibri" w:eastAsia="Calibri"/>
          <w:b w:val="0"/>
          <w:color w:val="162236"/>
          <w:sz w:val="22"/>
        </w:rPr>
        <w:t>The global page should invite workflow discussion before any records are exchanged. Patient-identifying records, DICOM, STL and clinical photographs must be routed through the authenticated Case Portal after the appropriate intake path is confirmed.</w:t>
      </w:r>
    </w:p>
    <w:p>
      <w:pPr>
        <w:pStyle w:val="Heading2"/>
        <w:keepNext w:val="1"/>
        <w:keepLines w:val="1"/>
      </w:pPr>
      <w:r>
        <w:t>Section 6 — Why global practices choose a structured partner</w:t>
      </w:r>
    </w:p>
    <w:p>
      <w:pPr>
        <w:spacing w:before="0" w:after="120" w:line="300" w:lineRule="auto"/>
        <w:jc w:val="left"/>
      </w:pPr>
      <w:r>
        <w:rPr>
          <w:rFonts w:ascii="Calibri" w:hAnsi="Calibri" w:eastAsia="Calibri"/>
          <w:b w:val="0"/>
          <w:i w:val="0"/>
          <w:color w:val="162236"/>
          <w:sz w:val="23"/>
        </w:rPr>
        <w:t>The page should position Image3DConversion as a workflow partner for practices that need dental implant planning intelligence, digital design discipline and clean case coordination across borders.</w:t>
      </w:r>
    </w:p>
    <w:p>
      <w:pPr>
        <w:numPr>
          <w:ilvl w:val="0"/>
          <w:numId w:val="13"/>
        </w:numPr>
        <w:spacing w:before="0" w:after="80" w:line="300" w:lineRule="auto"/>
        <w:keepLines w:val="1"/>
      </w:pPr>
      <w:r>
        <w:rPr>
          <w:rFonts w:ascii="Calibri" w:hAnsi="Calibri" w:eastAsia="Calibri"/>
          <w:color w:val="162236"/>
          <w:sz w:val="22"/>
        </w:rPr>
        <w:t>They want specialist guided-implant workflow thinking without moving all production away from their region.</w:t>
      </w:r>
    </w:p>
    <w:p>
      <w:pPr>
        <w:numPr>
          <w:ilvl w:val="0"/>
          <w:numId w:val="13"/>
        </w:numPr>
        <w:spacing w:before="0" w:after="80" w:line="300" w:lineRule="auto"/>
        <w:keepLines w:val="1"/>
      </w:pPr>
      <w:r>
        <w:rPr>
          <w:rFonts w:ascii="Calibri" w:hAnsi="Calibri" w:eastAsia="Calibri"/>
          <w:color w:val="162236"/>
          <w:sz w:val="22"/>
        </w:rPr>
        <w:t>They need design files, review notes or production handoff to remain aligned to the patient-facing result.</w:t>
      </w:r>
    </w:p>
    <w:p>
      <w:pPr>
        <w:numPr>
          <w:ilvl w:val="0"/>
          <w:numId w:val="13"/>
        </w:numPr>
        <w:spacing w:before="0" w:after="80" w:line="300" w:lineRule="auto"/>
        <w:keepLines w:val="1"/>
      </w:pPr>
      <w:r>
        <w:rPr>
          <w:rFonts w:ascii="Calibri" w:hAnsi="Calibri" w:eastAsia="Calibri"/>
          <w:color w:val="162236"/>
          <w:sz w:val="22"/>
        </w:rPr>
        <w:t>They want case communication that distinguishes drafts, revisions, approvals and production-ready outputs.</w:t>
      </w:r>
    </w:p>
    <w:p>
      <w:pPr>
        <w:numPr>
          <w:ilvl w:val="0"/>
          <w:numId w:val="13"/>
        </w:numPr>
        <w:spacing w:before="0" w:after="80" w:line="300" w:lineRule="auto"/>
        <w:keepLines w:val="1"/>
      </w:pPr>
      <w:r>
        <w:rPr>
          <w:rFonts w:ascii="Calibri" w:hAnsi="Calibri" w:eastAsia="Calibri"/>
          <w:color w:val="162236"/>
          <w:sz w:val="22"/>
        </w:rPr>
        <w:t>They need a partner that can support routine, full-arch and advanced workflows without weakening clinician responsibility.</w:t>
      </w:r>
    </w:p>
    <w:p>
      <w:pPr>
        <w:numPr>
          <w:ilvl w:val="0"/>
          <w:numId w:val="13"/>
        </w:numPr>
        <w:spacing w:before="0" w:after="80" w:line="300" w:lineRule="auto"/>
        <w:keepLines w:val="1"/>
      </w:pPr>
      <w:r>
        <w:rPr>
          <w:rFonts w:ascii="Calibri" w:hAnsi="Calibri" w:eastAsia="Calibri"/>
          <w:color w:val="162236"/>
          <w:sz w:val="22"/>
        </w:rPr>
        <w:t>They want a credible bridge between education, planning, design and execution support.</w:t>
      </w:r>
    </w:p>
    <w:p>
      <w:pPr>
        <w:pStyle w:val="Heading2"/>
        <w:keepNext w:val="1"/>
        <w:keepLines w:val="1"/>
      </w:pPr>
      <w:r>
        <w:t>Section 7 — CTA block</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Want to work with Image3DConversion from outside the local market?</w:t>
      </w:r>
    </w:p>
    <w:p>
      <w:pPr>
        <w:spacing w:before="0" w:after="80"/>
        <w:keepNext w:val="1"/>
      </w:pPr>
      <w:r>
        <w:rPr>
          <w:rFonts w:ascii="Calibri" w:hAnsi="Calibri" w:eastAsia="Calibri"/>
          <w:b/>
          <w:color w:val="2E74B5"/>
          <w:sz w:val="19"/>
        </w:rPr>
        <w:t>CTA BODY</w:t>
      </w:r>
    </w:p>
    <w:p>
      <w:pPr>
        <w:spacing w:before="0" w:after="100" w:line="300" w:lineRule="auto"/>
        <w:jc w:val="left"/>
        <w:keepLines w:val="1"/>
      </w:pPr>
      <w:r>
        <w:rPr>
          <w:rFonts w:ascii="Calibri" w:hAnsi="Calibri" w:eastAsia="Calibri"/>
          <w:b w:val="0"/>
          <w:i w:val="0"/>
          <w:color w:val="162236"/>
          <w:sz w:val="24"/>
        </w:rPr>
        <w:t>Share your practice type, country, case category and preferred working model. The clinical records stay out of the public page until the correct authenticated route is confirmed.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Discuss Global Workflow</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Compare Ways to Work</w:t>
      </w:r>
    </w:p>
    <w:p>
      <w:pPr>
        <w:pStyle w:val="Heading1"/>
        <w:keepNext w:val="1"/>
        <w:keepLines w:val="1"/>
      </w:pPr>
      <w:r>
        <w:t>3. Design psychology and visual layout</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550"/>
        <w:gridCol w:w="355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Section</w:t>
            </w:r>
          </w:p>
        </w:tc>
        <w:tc>
          <w:tcPr>
            <w:tcW w:type="dxa" w:w="35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Psychological job</w:t>
            </w:r>
          </w:p>
        </w:tc>
        <w:tc>
          <w:tcPr>
            <w:tcW w:type="dxa" w:w="35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Visual direction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Tell global visitors that distance can be organised around the patient outcome.</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Patient smile and prosthetic arch in front; translucent planning layers connected to clean global nodes.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Distance problem</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Name the risk of fragmented files, time zones and production assumptions.</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Floating records, planning layer and production route aligned into one blue-white workflow.</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Ways to work</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Let different international visitors self-select without confusion.</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Five cards: Design-only, Design-to-delivery, Local production, Advanced case, White-label.</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map</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Make cross-border responsibility visible.</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Vertical timeline from Outcome to Approval with clinician-control markers.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CTA</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Invite a professional conversation before patient records are shared.</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Clean inquiry panel with country/practice/workflow fields, no clinical upload widget.</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3D DESIGN RULE  </w:t>
      </w:r>
      <w:r>
        <w:rPr>
          <w:rFonts w:ascii="Calibri" w:hAnsi="Calibri" w:eastAsia="Calibri"/>
          <w:b w:val="0"/>
          <w:color w:val="162236"/>
          <w:sz w:val="22"/>
        </w:rPr>
        <w:t>Use depth to show cross-border coordination without making the page look like a logistics company. Visuals must feel clinical, premium and modern, using Image3DConversion Blue + White only. Avoid dark-social-media styling, neon colours, generic flags, unrelated accents or manufacturing-only imagery.</w:t>
      </w:r>
    </w:p>
    <w:p>
      <w:pPr>
        <w:pStyle w:val="Heading1"/>
        <w:keepNext w:val="1"/>
        <w:keepLines w:val="1"/>
      </w:pPr>
      <w:r>
        <w:t>4. Mobile behaviour</w:t>
      </w:r>
    </w:p>
    <w:p>
      <w:pPr>
        <w:numPr>
          <w:ilvl w:val="0"/>
          <w:numId w:val="14"/>
        </w:numPr>
        <w:spacing w:before="0" w:after="80" w:line="300" w:lineRule="auto"/>
        <w:keepLines w:val="1"/>
      </w:pPr>
      <w:r>
        <w:rPr>
          <w:rFonts w:ascii="Calibri" w:hAnsi="Calibri" w:eastAsia="Calibri"/>
          <w:color w:val="162236"/>
          <w:sz w:val="22"/>
        </w:rPr>
        <w:t>Hero sequence must show the smile/outcome before map lines, flags, file-transfer or delivery visuals.</w:t>
      </w:r>
    </w:p>
    <w:p>
      <w:pPr>
        <w:numPr>
          <w:ilvl w:val="0"/>
          <w:numId w:val="14"/>
        </w:numPr>
        <w:spacing w:before="0" w:after="80" w:line="300" w:lineRule="auto"/>
        <w:keepLines w:val="1"/>
      </w:pPr>
      <w:r>
        <w:rPr>
          <w:rFonts w:ascii="Calibri" w:hAnsi="Calibri" w:eastAsia="Calibri"/>
          <w:color w:val="162236"/>
          <w:sz w:val="22"/>
        </w:rPr>
        <w:t>Ways-to-work cards collapse in this order: Design-only, Design-to-delivery, Local production, Advanced case, White-label.</w:t>
      </w:r>
    </w:p>
    <w:p>
      <w:pPr>
        <w:numPr>
          <w:ilvl w:val="0"/>
          <w:numId w:val="14"/>
        </w:numPr>
        <w:spacing w:before="0" w:after="80" w:line="300" w:lineRule="auto"/>
        <w:keepLines w:val="1"/>
      </w:pPr>
      <w:r>
        <w:rPr>
          <w:rFonts w:ascii="Calibri" w:hAnsi="Calibri" w:eastAsia="Calibri"/>
          <w:color w:val="162236"/>
          <w:sz w:val="22"/>
        </w:rPr>
        <w:t>Workflow map becomes a vertical timeline: Outcome, Records, Review, Route, Approval.</w:t>
      </w:r>
    </w:p>
    <w:p>
      <w:pPr>
        <w:numPr>
          <w:ilvl w:val="0"/>
          <w:numId w:val="14"/>
        </w:numPr>
        <w:spacing w:before="0" w:after="80" w:line="300" w:lineRule="auto"/>
        <w:keepLines w:val="1"/>
      </w:pPr>
      <w:r>
        <w:rPr>
          <w:rFonts w:ascii="Calibri" w:hAnsi="Calibri" w:eastAsia="Calibri"/>
          <w:color w:val="162236"/>
          <w:sz w:val="22"/>
        </w:rPr>
        <w:t>Sticky CTA should use Discuss Global Workflow; secondary comparison link can sit beneath the hero and final CTA.</w:t>
      </w:r>
    </w:p>
    <w:p>
      <w:pPr>
        <w:numPr>
          <w:ilvl w:val="0"/>
          <w:numId w:val="14"/>
        </w:numPr>
        <w:spacing w:before="0" w:after="80" w:line="300" w:lineRule="auto"/>
        <w:keepLines w:val="1"/>
      </w:pPr>
      <w:r>
        <w:rPr>
          <w:rFonts w:ascii="Calibri" w:hAnsi="Calibri" w:eastAsia="Calibri"/>
          <w:color w:val="162236"/>
          <w:sz w:val="22"/>
        </w:rPr>
        <w:t>Keep all portal-routing language concise on mobile and keep record exchange inside the authenticated route.</w:t>
      </w:r>
    </w:p>
    <w:p>
      <w:pPr>
        <w:pStyle w:val="Heading1"/>
        <w:keepNext w:val="1"/>
        <w:keepLines w:val="1"/>
      </w:pPr>
      <w:r>
        <w:t>5. CTA routing and internal links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3000"/>
        <w:gridCol w:w="3700"/>
      </w:tblGrid>
      <w:tr>
        <w:trPr>
          <w:tblHeader w:val="true"/>
          <w:cantSplit/>
        </w:trPr>
        <w:tc>
          <w:tcPr>
            <w:tcW w:type="dxa" w:w="2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CTA / link</w:t>
            </w:r>
          </w:p>
        </w:tc>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3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Routing rule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Global Workflow</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Contact / global inquiry page</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Collect professional identity, country, practice type and non-identifying workflow summary only.</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Compare Ways to Work</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#ways-to-work</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Anchor to design-only, design-to-delivery, local production and partnership options.</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Design-Only Workflow</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/design-only-workflow/</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when visitor already has trusted local production.</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Design-to-Delivery</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/design-to-delivery/</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when visitor wants production handoff included in the workflow scope.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Case Data</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/case-data-diagnostic-preparation/</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before authenticated submission for readiness guidance.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Case Portal</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Case Portal</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Authenticate before any clinical record upload or patient-identifying submission.</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Publication controls</w:t>
      </w:r>
    </w:p>
    <w:p>
      <w:pPr>
        <w:numPr>
          <w:ilvl w:val="0"/>
          <w:numId w:val="15"/>
        </w:numPr>
        <w:spacing w:before="0" w:after="80" w:line="300" w:lineRule="auto"/>
        <w:keepLines w:val="1"/>
      </w:pPr>
      <w:r>
        <w:rPr>
          <w:rFonts w:ascii="Calibri" w:hAnsi="Calibri" w:eastAsia="Calibri"/>
          <w:color w:val="162236"/>
          <w:sz w:val="22"/>
        </w:rPr>
        <w:t>Do not promise fixed surgical, prosthetic, timing, fit, shipping, import, customs, payment or regulatory outcomes.</w:t>
      </w:r>
    </w:p>
    <w:p>
      <w:pPr>
        <w:numPr>
          <w:ilvl w:val="0"/>
          <w:numId w:val="15"/>
        </w:numPr>
        <w:spacing w:before="0" w:after="80" w:line="300" w:lineRule="auto"/>
        <w:keepLines w:val="1"/>
      </w:pPr>
      <w:r>
        <w:rPr>
          <w:rFonts w:ascii="Calibri" w:hAnsi="Calibri" w:eastAsia="Calibri"/>
          <w:color w:val="162236"/>
          <w:sz w:val="22"/>
        </w:rPr>
        <w:t>Do not say the workflow is available in every country unless each operating route is verified.</w:t>
      </w:r>
    </w:p>
    <w:p>
      <w:pPr>
        <w:numPr>
          <w:ilvl w:val="0"/>
          <w:numId w:val="15"/>
        </w:numPr>
        <w:spacing w:before="0" w:after="80" w:line="300" w:lineRule="auto"/>
        <w:keepLines w:val="1"/>
      </w:pPr>
      <w:r>
        <w:rPr>
          <w:rFonts w:ascii="Calibri" w:hAnsi="Calibri" w:eastAsia="Calibri"/>
          <w:color w:val="162236"/>
          <w:sz w:val="22"/>
        </w:rPr>
        <w:t>Do not publish material, component, printer, milling or implant-system compatibility without operational confirmation.</w:t>
      </w:r>
    </w:p>
    <w:p>
      <w:pPr>
        <w:numPr>
          <w:ilvl w:val="0"/>
          <w:numId w:val="15"/>
        </w:numPr>
        <w:spacing w:before="0" w:after="80" w:line="300" w:lineRule="auto"/>
        <w:keepLines w:val="1"/>
      </w:pPr>
      <w:r>
        <w:rPr>
          <w:rFonts w:ascii="Calibri" w:hAnsi="Calibri" w:eastAsia="Calibri"/>
          <w:color w:val="162236"/>
          <w:sz w:val="22"/>
        </w:rPr>
        <w:t>Do not let public forms request patient-identifying records or clinical files.</w:t>
      </w:r>
    </w:p>
    <w:p>
      <w:pPr>
        <w:numPr>
          <w:ilvl w:val="0"/>
          <w:numId w:val="15"/>
        </w:numPr>
        <w:spacing w:before="0" w:after="80" w:line="300" w:lineRule="auto"/>
        <w:keepLines w:val="1"/>
      </w:pPr>
      <w:r>
        <w:rPr>
          <w:rFonts w:ascii="Calibri" w:hAnsi="Calibri" w:eastAsia="Calibri"/>
          <w:color w:val="162236"/>
          <w:sz w:val="22"/>
        </w:rPr>
        <w:t>Do not suggest Image3DConversion replaces diagnosis, treatment planning, patient consent or clinician approval.</w:t>
      </w:r>
    </w:p>
    <w:p>
      <w:pPr>
        <w:numPr>
          <w:ilvl w:val="0"/>
          <w:numId w:val="15"/>
        </w:numPr>
        <w:spacing w:before="0" w:after="80" w:line="300" w:lineRule="auto"/>
        <w:keepLines w:val="1"/>
      </w:pPr>
      <w:r>
        <w:rPr>
          <w:rFonts w:ascii="Calibri" w:hAnsi="Calibri" w:eastAsia="Calibri"/>
          <w:color w:val="162236"/>
          <w:sz w:val="22"/>
        </w:rPr>
        <w:t>Use status colours only inside functional portal states; public page branding remains Blue + White.</w:t>
      </w:r>
    </w:p>
    <w:p>
      <w:pPr>
        <w:pStyle w:val="Heading1"/>
        <w:keepNext w:val="1"/>
        <w:keepLines w:val="1"/>
      </w:pPr>
      <w:r>
        <w:t>7. Literature and evidence controls</w:t>
      </w:r>
    </w:p>
    <w:p>
      <w:pPr>
        <w:numPr>
          <w:ilvl w:val="0"/>
          <w:numId w:val="16"/>
        </w:numPr>
        <w:spacing w:after="80" w:line="300" w:lineRule="auto"/>
      </w:pPr>
      <w:hyperlink r:id="rId11">
        <w:r>
          <w:rPr>
            <w:rFonts w:ascii="Calibri" w:hAnsi="Calibri"/>
            <w:color w:val="2E74B5"/>
            <w:u w:val="single"/>
          </w:rPr>
          <w:t>Google Search Central — People-first content</w:t>
        </w:r>
      </w:hyperlink>
    </w:p>
    <w:p>
      <w:pPr>
        <w:numPr>
          <w:ilvl w:val="0"/>
          <w:numId w:val="17"/>
        </w:numPr>
        <w:spacing w:after="80" w:line="300" w:lineRule="auto"/>
      </w:pPr>
      <w:hyperlink r:id="rId12">
        <w:r>
          <w:rPr>
            <w:rFonts w:ascii="Calibri" w:hAnsi="Calibri"/>
            <w:color w:val="2E74B5"/>
            <w:u w:val="single"/>
          </w:rPr>
          <w:t>ITI Consensus Database — Computer-guided implant surgery</w:t>
        </w:r>
      </w:hyperlink>
    </w:p>
    <w:p>
      <w:pPr>
        <w:numPr>
          <w:ilvl w:val="0"/>
          <w:numId w:val="18"/>
        </w:numPr>
        <w:spacing w:after="80" w:line="300" w:lineRule="auto"/>
      </w:pPr>
      <w:hyperlink r:id="rId13">
        <w:r>
          <w:rPr>
            <w:rFonts w:ascii="Calibri" w:hAnsi="Calibri"/>
            <w:color w:val="2E74B5"/>
            <w:u w:val="single"/>
          </w:rPr>
          <w:t>PubMed — Accuracy and safety margins in guided implant placement</w:t>
        </w:r>
      </w:hyperlink>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EVIDENCE RULE  </w:t>
      </w:r>
      <w:r>
        <w:rPr>
          <w:rFonts w:ascii="Calibri" w:hAnsi="Calibri" w:eastAsia="Calibri"/>
          <w:b w:val="0"/>
          <w:color w:val="162236"/>
          <w:sz w:val="22"/>
        </w:rPr>
        <w:t>Published copy may say structured digital workflows support planning, communication, review and coordination. It must not claim fixed accuracy, fit certainty, delivery certainty, immediate-loading certainty, universal regulatory acceptance or freedom from clinical verification.</w:t>
      </w:r>
    </w:p>
    <w:p>
      <w:pPr>
        <w:pStyle w:val="Heading1"/>
        <w:keepNext w:val="1"/>
        <w:keepLines w:val="1"/>
      </w:pPr>
      <w:r>
        <w:t>8. Claude Code implementation notes</w:t>
      </w:r>
    </w:p>
    <w:p>
      <w:pPr>
        <w:numPr>
          <w:ilvl w:val="0"/>
          <w:numId w:val="19"/>
        </w:numPr>
        <w:spacing w:before="0" w:after="80" w:line="300" w:lineRule="auto"/>
        <w:keepLines w:val="1"/>
      </w:pPr>
      <w:r>
        <w:rPr>
          <w:rFonts w:ascii="Calibri" w:hAnsi="Calibri" w:eastAsia="Calibri"/>
          <w:color w:val="162236"/>
          <w:sz w:val="22"/>
        </w:rPr>
        <w:t>Implement as a public workflow page under the global shell created in Blueprint 01.</w:t>
      </w:r>
    </w:p>
    <w:p>
      <w:pPr>
        <w:numPr>
          <w:ilvl w:val="0"/>
          <w:numId w:val="19"/>
        </w:numPr>
        <w:spacing w:before="0" w:after="80" w:line="300" w:lineRule="auto"/>
        <w:keepLines w:val="1"/>
      </w:pPr>
      <w:r>
        <w:rPr>
          <w:rFonts w:ascii="Calibri" w:hAnsi="Calibri" w:eastAsia="Calibri"/>
          <w:color w:val="162236"/>
          <w:sz w:val="22"/>
        </w:rPr>
        <w:t>Use Blue + White only; any depth, glass, glow or gradient effects must derive from Image3DConversion Blue.</w:t>
      </w:r>
    </w:p>
    <w:p>
      <w:pPr>
        <w:numPr>
          <w:ilvl w:val="0"/>
          <w:numId w:val="19"/>
        </w:numPr>
        <w:spacing w:before="0" w:after="80" w:line="300" w:lineRule="auto"/>
        <w:keepLines w:val="1"/>
      </w:pPr>
      <w:r>
        <w:rPr>
          <w:rFonts w:ascii="Calibri" w:hAnsi="Calibri" w:eastAsia="Calibri"/>
          <w:color w:val="162236"/>
          <w:sz w:val="22"/>
        </w:rPr>
        <w:t>Keep the existing Case Portal, authentication, role controls, tenant isolation, status model and navigation architecture untouched.</w:t>
      </w:r>
    </w:p>
    <w:p>
      <w:pPr>
        <w:numPr>
          <w:ilvl w:val="0"/>
          <w:numId w:val="19"/>
        </w:numPr>
        <w:spacing w:before="0" w:after="80" w:line="300" w:lineRule="auto"/>
        <w:keepLines w:val="1"/>
      </w:pPr>
      <w:r>
        <w:rPr>
          <w:rFonts w:ascii="Calibri" w:hAnsi="Calibri" w:eastAsia="Calibri"/>
          <w:color w:val="162236"/>
          <w:sz w:val="22"/>
        </w:rPr>
        <w:t>Add internal links to Design-Only, Design-to-Delivery, Case Data, Immediate-Loading, Full-Arch, White-Label and Case Portal pages.</w:t>
      </w:r>
    </w:p>
    <w:p>
      <w:pPr>
        <w:numPr>
          <w:ilvl w:val="0"/>
          <w:numId w:val="19"/>
        </w:numPr>
        <w:spacing w:before="0" w:after="80" w:line="300" w:lineRule="auto"/>
        <w:keepLines w:val="1"/>
      </w:pPr>
      <w:r>
        <w:rPr>
          <w:rFonts w:ascii="Calibri" w:hAnsi="Calibri" w:eastAsia="Calibri"/>
          <w:color w:val="162236"/>
          <w:sz w:val="22"/>
        </w:rPr>
        <w:t>The public inquiry form may ask for country, practice type, workflow interest and a non-identifying summary only.</w:t>
      </w:r>
    </w:p>
    <w:p>
      <w:pPr>
        <w:numPr>
          <w:ilvl w:val="0"/>
          <w:numId w:val="19"/>
        </w:numPr>
        <w:spacing w:before="0" w:after="80" w:line="300" w:lineRule="auto"/>
        <w:keepLines w:val="1"/>
      </w:pPr>
      <w:r>
        <w:rPr>
          <w:rFonts w:ascii="Calibri" w:hAnsi="Calibri" w:eastAsia="Calibri"/>
          <w:color w:val="162236"/>
          <w:sz w:val="22"/>
        </w:rPr>
        <w:t>Provide desktop and mobile screenshots for review before production deployment.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GLOBAL PRACTICE WORKFLOWS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rPr>
        <w:rFonts w:ascii="Calibri" w:hAnsi="Calibri" w:hint="default"/>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academy.iti.org/academy/consensus-database/consensus-statement/-/consensus/computer-guided-implant-surgery/1213" TargetMode="External"/><Relationship Id="rId13" Type="http://schemas.openxmlformats.org/officeDocument/2006/relationships/hyperlink" Target="https://pubmed.ncbi.nlm.nih.gov/37232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Global Practice Workflows Content &amp; Design Psychology v1.0</dc:title>
  <dc:subject>Publishable page copy and implementation handoff for the Image3DConversion Global Practice Workflows page</dc:subject>
  <dc:creator>OpenAI Codex</dc:creator>
  <cp:keywords>Image3DConversion, global practice workflows, international dental implant planning, surgical guide workflow, design-only dental files, global dental practices</cp:keywords>
  <dc:description>generated by python-docx</dc:description>
  <cp:lastModifiedBy/>
  <cp:revision>1</cp:revision>
  <dcterms:created xsi:type="dcterms:W3CDTF">2013-12-23T23:15:00Z</dcterms:created>
  <dcterms:modified xsi:type="dcterms:W3CDTF">2013-12-23T23:15:00Z</dcterms:modified>
  <cp:category/>
</cp:coreProperties>
</file>