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 w:line="300" w:lineRule="auto"/>
        <w:jc w:val="left"/>
      </w:pPr>
      <w:r>
        <w:rPr>
          <w:rFonts w:ascii="Calibri" w:hAnsi="Calibri" w:eastAsia="Calibri"/>
          <w:b/>
          <w:i w:val="0"/>
          <w:color w:val="2E74B5"/>
          <w:sz w:val="19"/>
        </w:rPr>
        <w:t>CONTENT + EXPERIENCE SPECIFICATION</w:t>
      </w:r>
    </w:p>
    <w:p>
      <w:pPr>
        <w:spacing w:before="0" w:after="120" w:line="240" w:lineRule="auto"/>
      </w:pPr>
      <w:r>
        <w:rPr>
          <w:rFonts w:ascii="Calibri" w:hAnsi="Calibri" w:eastAsia="Calibri"/>
          <w:b/>
          <w:color w:val="162236"/>
          <w:sz w:val="56"/>
        </w:rPr>
        <w:t>Image3DConversion</w:t>
        <w:br/>
      </w:r>
      <w:r>
        <w:rPr>
          <w:rFonts w:ascii="Calibri" w:hAnsi="Calibri" w:eastAsia="Calibri"/>
          <w:b/>
          <w:color w:val="2E74B5"/>
          <w:sz w:val="56"/>
        </w:rPr>
        <w:t>Guided Implant Workflow</w:t>
      </w:r>
    </w:p>
    <w:p>
      <w:pPr>
        <w:spacing w:before="0" w:after="320" w:line="300" w:lineRule="auto"/>
        <w:jc w:val="left"/>
      </w:pPr>
      <w:r>
        <w:rPr>
          <w:rFonts w:ascii="Calibri" w:hAnsi="Calibri" w:eastAsia="Calibri"/>
          <w:b w:val="0"/>
          <w:i w:val="0"/>
          <w:color w:val="5F6B7A"/>
          <w:sz w:val="26"/>
        </w:rPr>
        <w:t>Final page copy, SEO hierarchy, design psychology, mobile behaviour, portal alignment and implementation controls.</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Version: </w:t>
      </w:r>
      <w:r>
        <w:rPr>
          <w:rFonts w:ascii="Calibri" w:hAnsi="Calibri" w:eastAsia="Calibri"/>
          <w:color w:val="162236"/>
          <w:sz w:val="21"/>
        </w:rPr>
        <w:t>1.1 · 27 July 2026</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Status: </w:t>
      </w:r>
      <w:r>
        <w:rPr>
          <w:rFonts w:ascii="Calibri" w:hAnsi="Calibri" w:eastAsia="Calibri"/>
          <w:color w:val="162236"/>
          <w:sz w:val="21"/>
        </w:rPr>
        <w:t>Prepared for Founder approval and design/development handoff</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Public URL: </w:t>
      </w:r>
      <w:r>
        <w:rPr>
          <w:rFonts w:ascii="Calibri" w:hAnsi="Calibri" w:eastAsia="Calibri"/>
          <w:color w:val="162236"/>
          <w:sz w:val="21"/>
        </w:rPr>
        <w:t>https://www.image3dconversion.com/guided-implant-workflow/</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action: </w:t>
      </w:r>
      <w:r>
        <w:rPr>
          <w:rFonts w:ascii="Calibri" w:hAnsi="Calibri" w:eastAsia="Calibri"/>
          <w:color w:val="162236"/>
          <w:sz w:val="21"/>
        </w:rPr>
        <w:t>Start a Guided Implant Case</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THE PAGE DECISION  </w:t>
      </w:r>
      <w:r>
        <w:rPr>
          <w:rFonts w:ascii="Calibri" w:hAnsi="Calibri" w:eastAsia="Calibri"/>
          <w:b w:val="0"/>
          <w:color w:val="162236"/>
          <w:sz w:val="22"/>
        </w:rPr>
        <w:t>This page sells a disciplined workflow, not a piece of plastic. The dentist should understand what the guide is built from, where review happens and why approval comes before production.</w:t>
      </w:r>
    </w:p>
    <w:p>
      <w:pPr>
        <w:pStyle w:val="Heading2"/>
        <w:keepNext w:val="1"/>
        <w:keepLines w:val="1"/>
      </w:pPr>
      <w:r>
        <w:t>The job of this page</w:t>
      </w:r>
    </w:p>
    <w:p>
      <w:pPr>
        <w:numPr>
          <w:ilvl w:val="0"/>
          <w:numId w:val="10"/>
        </w:numPr>
        <w:spacing w:before="0" w:after="80" w:line="300" w:lineRule="auto"/>
        <w:keepLines w:val="1"/>
      </w:pPr>
      <w:r>
        <w:rPr>
          <w:rFonts w:ascii="Calibri" w:hAnsi="Calibri" w:eastAsia="Calibri"/>
          <w:color w:val="162236"/>
          <w:sz w:val="22"/>
        </w:rPr>
        <w:t>Help dentists recognise whether a single or multiple implant case fits this workflow.</w:t>
      </w:r>
    </w:p>
    <w:p>
      <w:pPr>
        <w:numPr>
          <w:ilvl w:val="0"/>
          <w:numId w:val="10"/>
        </w:numPr>
        <w:spacing w:before="0" w:after="80" w:line="300" w:lineRule="auto"/>
        <w:keepLines w:val="1"/>
      </w:pPr>
      <w:r>
        <w:rPr>
          <w:rFonts w:ascii="Calibri" w:hAnsi="Calibri" w:eastAsia="Calibri"/>
          <w:color w:val="162236"/>
          <w:sz w:val="22"/>
        </w:rPr>
        <w:t>Explain restoration-led planning without turning the page into a technical lecture.</w:t>
      </w:r>
    </w:p>
    <w:p>
      <w:pPr>
        <w:numPr>
          <w:ilvl w:val="0"/>
          <w:numId w:val="10"/>
        </w:numPr>
        <w:spacing w:before="0" w:after="80" w:line="300" w:lineRule="auto"/>
        <w:keepLines w:val="1"/>
      </w:pPr>
      <w:r>
        <w:rPr>
          <w:rFonts w:ascii="Calibri" w:hAnsi="Calibri" w:eastAsia="Calibri"/>
          <w:color w:val="162236"/>
          <w:sz w:val="22"/>
        </w:rPr>
        <w:t>Make the required records and approval responsibility visible before case submission.</w:t>
      </w:r>
    </w:p>
    <w:p>
      <w:pPr>
        <w:numPr>
          <w:ilvl w:val="0"/>
          <w:numId w:val="10"/>
        </w:numPr>
        <w:spacing w:before="0" w:after="80" w:line="300" w:lineRule="auto"/>
        <w:keepLines w:val="1"/>
      </w:pPr>
      <w:r>
        <w:rPr>
          <w:rFonts w:ascii="Calibri" w:hAnsi="Calibri" w:eastAsia="Calibri"/>
          <w:color w:val="162236"/>
          <w:sz w:val="22"/>
        </w:rPr>
        <w:t>Offer one secure case-start route and one consultation route for uncertain or complex cases.</w:t>
      </w:r>
    </w:p>
    <w:p>
      <w:pPr>
        <w:numPr>
          <w:ilvl w:val="0"/>
          <w:numId w:val="10"/>
        </w:numPr>
        <w:spacing w:before="0" w:after="80" w:line="300" w:lineRule="auto"/>
        <w:keepLines w:val="1"/>
      </w:pPr>
      <w:r>
        <w:rPr>
          <w:rFonts w:ascii="Calibri" w:hAnsi="Calibri" w:eastAsia="Calibri"/>
          <w:color w:val="162236"/>
          <w:sz w:val="22"/>
        </w:rPr>
        <w:t>Move full-arch stackable, zygomatic and pterygoid cases into their specialist workflows.</w:t>
      </w:r>
    </w:p>
    <w:p>
      <w:r>
        <w:br w:type="page"/>
      </w:r>
    </w:p>
    <w:p>
      <w:pPr>
        <w:pStyle w:val="Heading1"/>
        <w:keepNext w:val="1"/>
        <w:keepLines w:val="1"/>
      </w:pPr>
      <w:r>
        <w:t>1. Page strategy</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00"/>
        <w:gridCol w:w="7160"/>
      </w:tblGrid>
      <w:tr>
        <w:trPr>
          <w:tblHeader w:val="true"/>
        </w:trPr>
        <w:tc>
          <w:tcPr>
            <w:tcW w:type="dxa" w:w="2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Decision</w:t>
            </w:r>
          </w:p>
        </w:tc>
        <w:tc>
          <w:tcPr>
            <w:tcW w:type="dxa" w:w="71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Approved direction</w:t>
            </w:r>
          </w:p>
        </w:tc>
      </w:tr>
      <w:t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audience</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Dentists and implant teams planning single or multiple implant cases.</w:t>
            </w:r>
          </w:p>
        </w:tc>
      </w:tr>
      <w:t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Visitor question</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Can this team help me turn my case records and restorative objective into a reviewed surgical guide workflow?</w:t>
            </w:r>
          </w:p>
        </w:tc>
      </w:tr>
      <w:t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Emotional shift</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Uncertain about process -&gt; clear about fit, records, review and next action.</w:t>
            </w:r>
          </w:p>
        </w:tc>
      </w:tr>
      <w:t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Primary conversion</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Authenticated start of a Guided Implant Workflow case.</w:t>
            </w:r>
          </w:p>
        </w:tc>
      </w:tr>
      <w:t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Secondary conversion</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View requirements or discuss a case that does not clearly fit.</w:t>
            </w:r>
          </w:p>
        </w:tc>
      </w:tr>
      <w:tr>
        <w:tc>
          <w:tcPr>
            <w:tcW w:type="dxa" w:w="2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Clinical boundary</w:t>
            </w:r>
          </w:p>
        </w:tc>
        <w:tc>
          <w:tcPr>
            <w:tcW w:type="dxa" w:w="7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The treating clinician retains diagnosis, treatment planning authority, approval and intraoperative judgement.</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Message hierarchy</w:t>
      </w:r>
    </w:p>
    <w:p>
      <w:pPr>
        <w:numPr>
          <w:ilvl w:val="0"/>
          <w:numId w:val="11"/>
        </w:numPr>
        <w:spacing w:before="0" w:after="100" w:line="300" w:lineRule="auto"/>
        <w:keepLines w:val="1"/>
      </w:pPr>
      <w:r>
        <w:rPr>
          <w:rFonts w:ascii="Calibri" w:hAnsi="Calibri" w:eastAsia="Calibri"/>
          <w:b/>
          <w:color w:val="162236"/>
          <w:sz w:val="22"/>
        </w:rPr>
        <w:t xml:space="preserve">Fit. </w:t>
      </w:r>
      <w:r>
        <w:rPr>
          <w:rFonts w:ascii="Calibri" w:hAnsi="Calibri" w:eastAsia="Calibri"/>
          <w:color w:val="162236"/>
          <w:sz w:val="22"/>
        </w:rPr>
        <w:t>Show the case types this workflow is intended to support.</w:t>
      </w:r>
    </w:p>
    <w:p>
      <w:pPr>
        <w:numPr>
          <w:ilvl w:val="0"/>
          <w:numId w:val="11"/>
        </w:numPr>
        <w:spacing w:before="0" w:after="100" w:line="300" w:lineRule="auto"/>
        <w:keepLines w:val="1"/>
      </w:pPr>
      <w:r>
        <w:rPr>
          <w:rFonts w:ascii="Calibri" w:hAnsi="Calibri" w:eastAsia="Calibri"/>
          <w:b/>
          <w:color w:val="162236"/>
          <w:sz w:val="22"/>
        </w:rPr>
        <w:t xml:space="preserve">Smile. </w:t>
      </w:r>
      <w:r>
        <w:rPr>
          <w:rFonts w:ascii="Calibri" w:hAnsi="Calibri" w:eastAsia="Calibri"/>
          <w:color w:val="162236"/>
          <w:sz w:val="22"/>
        </w:rPr>
        <w:t>Begin with the intended patient smile and aesthetic restorative outcome.</w:t>
      </w:r>
    </w:p>
    <w:p>
      <w:pPr>
        <w:numPr>
          <w:ilvl w:val="0"/>
          <w:numId w:val="11"/>
        </w:numPr>
        <w:spacing w:before="0" w:after="100" w:line="300" w:lineRule="auto"/>
        <w:keepLines w:val="1"/>
      </w:pPr>
      <w:r>
        <w:rPr>
          <w:rFonts w:ascii="Calibri" w:hAnsi="Calibri" w:eastAsia="Calibri"/>
          <w:b/>
          <w:color w:val="162236"/>
          <w:sz w:val="22"/>
        </w:rPr>
        <w:t xml:space="preserve">Function. </w:t>
      </w:r>
      <w:r>
        <w:rPr>
          <w:rFonts w:ascii="Calibri" w:hAnsi="Calibri" w:eastAsia="Calibri"/>
          <w:color w:val="162236"/>
          <w:sz w:val="22"/>
        </w:rPr>
        <w:t>Show how occlusion, emergence, hygiene, biology and available anatomy must support that outcome.</w:t>
      </w:r>
    </w:p>
    <w:p>
      <w:pPr>
        <w:numPr>
          <w:ilvl w:val="0"/>
          <w:numId w:val="11"/>
        </w:numPr>
        <w:spacing w:before="0" w:after="100" w:line="300" w:lineRule="auto"/>
        <w:keepLines w:val="1"/>
      </w:pPr>
      <w:r>
        <w:rPr>
          <w:rFonts w:ascii="Calibri" w:hAnsi="Calibri" w:eastAsia="Calibri"/>
          <w:b/>
          <w:color w:val="162236"/>
          <w:sz w:val="22"/>
        </w:rPr>
        <w:t xml:space="preserve">Principle. </w:t>
      </w:r>
      <w:r>
        <w:rPr>
          <w:rFonts w:ascii="Calibri" w:hAnsi="Calibri" w:eastAsia="Calibri"/>
          <w:color w:val="162236"/>
          <w:sz w:val="22"/>
        </w:rPr>
        <w:t>Explain that the restoration, anatomy, implant system and guide support must be planned together.</w:t>
      </w:r>
    </w:p>
    <w:p>
      <w:pPr>
        <w:numPr>
          <w:ilvl w:val="0"/>
          <w:numId w:val="11"/>
        </w:numPr>
        <w:spacing w:before="0" w:after="100" w:line="300" w:lineRule="auto"/>
        <w:keepLines w:val="1"/>
      </w:pPr>
      <w:r>
        <w:rPr>
          <w:rFonts w:ascii="Calibri" w:hAnsi="Calibri" w:eastAsia="Calibri"/>
          <w:b/>
          <w:color w:val="162236"/>
          <w:sz w:val="22"/>
        </w:rPr>
        <w:t xml:space="preserve">Process. </w:t>
      </w:r>
      <w:r>
        <w:rPr>
          <w:rFonts w:ascii="Calibri" w:hAnsi="Calibri" w:eastAsia="Calibri"/>
          <w:color w:val="162236"/>
          <w:sz w:val="22"/>
        </w:rPr>
        <w:t>Show how data becomes a plan, a review and an approved delivery.</w:t>
      </w:r>
    </w:p>
    <w:p>
      <w:pPr>
        <w:numPr>
          <w:ilvl w:val="0"/>
          <w:numId w:val="11"/>
        </w:numPr>
        <w:spacing w:before="0" w:after="100" w:line="300" w:lineRule="auto"/>
        <w:keepLines w:val="1"/>
      </w:pPr>
      <w:r>
        <w:rPr>
          <w:rFonts w:ascii="Calibri" w:hAnsi="Calibri" w:eastAsia="Calibri"/>
          <w:b/>
          <w:color w:val="162236"/>
          <w:sz w:val="22"/>
        </w:rPr>
        <w:t xml:space="preserve">Control. </w:t>
      </w:r>
      <w:r>
        <w:rPr>
          <w:rFonts w:ascii="Calibri" w:hAnsi="Calibri" w:eastAsia="Calibri"/>
          <w:color w:val="162236"/>
          <w:sz w:val="22"/>
        </w:rPr>
        <w:t>Make the dentist's review and approval explicit.</w:t>
      </w:r>
    </w:p>
    <w:p>
      <w:pPr>
        <w:numPr>
          <w:ilvl w:val="0"/>
          <w:numId w:val="11"/>
        </w:numPr>
        <w:spacing w:before="0" w:after="100" w:line="300" w:lineRule="auto"/>
        <w:keepLines w:val="1"/>
      </w:pPr>
      <w:r>
        <w:rPr>
          <w:rFonts w:ascii="Calibri" w:hAnsi="Calibri" w:eastAsia="Calibri"/>
          <w:b/>
          <w:color w:val="162236"/>
          <w:sz w:val="22"/>
        </w:rPr>
        <w:t xml:space="preserve">Readiness. </w:t>
      </w:r>
      <w:r>
        <w:rPr>
          <w:rFonts w:ascii="Calibri" w:hAnsi="Calibri" w:eastAsia="Calibri"/>
          <w:color w:val="162236"/>
          <w:sz w:val="22"/>
        </w:rPr>
        <w:t>List the records needed before planning can begin.</w:t>
      </w:r>
    </w:p>
    <w:p>
      <w:pPr>
        <w:numPr>
          <w:ilvl w:val="0"/>
          <w:numId w:val="11"/>
        </w:numPr>
        <w:spacing w:before="0" w:after="100" w:line="300" w:lineRule="auto"/>
        <w:keepLines w:val="1"/>
      </w:pPr>
      <w:r>
        <w:rPr>
          <w:rFonts w:ascii="Calibri" w:hAnsi="Calibri" w:eastAsia="Calibri"/>
          <w:b/>
          <w:color w:val="162236"/>
          <w:sz w:val="22"/>
        </w:rPr>
        <w:t xml:space="preserve">Scope. </w:t>
      </w:r>
      <w:r>
        <w:rPr>
          <w:rFonts w:ascii="Calibri" w:hAnsi="Calibri" w:eastAsia="Calibri"/>
          <w:color w:val="162236"/>
          <w:sz w:val="22"/>
        </w:rPr>
        <w:t>Let the dentist choose design-only, design-to-delivery or a partner workflow.</w:t>
      </w:r>
    </w:p>
    <w:p>
      <w:pPr>
        <w:numPr>
          <w:ilvl w:val="0"/>
          <w:numId w:val="11"/>
        </w:numPr>
        <w:spacing w:before="0" w:after="100" w:line="300" w:lineRule="auto"/>
        <w:keepLines w:val="1"/>
      </w:pPr>
      <w:r>
        <w:rPr>
          <w:rFonts w:ascii="Calibri" w:hAnsi="Calibri" w:eastAsia="Calibri"/>
          <w:b/>
          <w:color w:val="162236"/>
          <w:sz w:val="22"/>
        </w:rPr>
        <w:t xml:space="preserve">Action. </w:t>
      </w:r>
      <w:r>
        <w:rPr>
          <w:rFonts w:ascii="Calibri" w:hAnsi="Calibri" w:eastAsia="Calibri"/>
          <w:color w:val="162236"/>
          <w:sz w:val="22"/>
        </w:rPr>
        <w:t>Start the case securely or discuss an uncertain case.</w:t>
      </w:r>
    </w:p>
    <w:p>
      <w:pPr>
        <w:pStyle w:val="Heading2"/>
        <w:keepNext w:val="1"/>
        <w:keepLines w:val="1"/>
      </w:pPr>
      <w:r>
        <w:t>Language rules</w:t>
      </w:r>
    </w:p>
    <w:p>
      <w:pPr>
        <w:numPr>
          <w:ilvl w:val="0"/>
          <w:numId w:val="12"/>
        </w:numPr>
        <w:spacing w:before="0" w:after="80" w:line="300" w:lineRule="auto"/>
        <w:keepLines w:val="1"/>
      </w:pPr>
      <w:r>
        <w:rPr>
          <w:rFonts w:ascii="Calibri" w:hAnsi="Calibri" w:eastAsia="Calibri"/>
          <w:b/>
          <w:color w:val="162236"/>
          <w:sz w:val="22"/>
        </w:rPr>
        <w:t xml:space="preserve">Say </w:t>
      </w:r>
      <w:r>
        <w:rPr>
          <w:rFonts w:ascii="Calibri" w:hAnsi="Calibri" w:eastAsia="Calibri"/>
          <w:color w:val="162236"/>
          <w:sz w:val="22"/>
        </w:rPr>
        <w:t>"restoration-led planning," "case-data validation," "clinician review" and "approved for production."</w:t>
      </w:r>
    </w:p>
    <w:p>
      <w:pPr>
        <w:numPr>
          <w:ilvl w:val="0"/>
          <w:numId w:val="12"/>
        </w:numPr>
        <w:spacing w:before="0" w:after="80" w:line="300" w:lineRule="auto"/>
        <w:keepLines w:val="1"/>
      </w:pPr>
      <w:r>
        <w:rPr>
          <w:rFonts w:ascii="Calibri" w:hAnsi="Calibri" w:eastAsia="Calibri"/>
          <w:b/>
          <w:color w:val="162236"/>
          <w:sz w:val="22"/>
        </w:rPr>
        <w:t xml:space="preserve">Avoid </w:t>
      </w:r>
      <w:r>
        <w:rPr>
          <w:rFonts w:ascii="Calibri" w:hAnsi="Calibri" w:eastAsia="Calibri"/>
          <w:color w:val="162236"/>
          <w:sz w:val="22"/>
        </w:rPr>
        <w:t>"perfect placement," "error-free," "guaranteed accuracy," "AI-designed surgery" and "fail-safe."</w:t>
      </w:r>
    </w:p>
    <w:p>
      <w:pPr>
        <w:numPr>
          <w:ilvl w:val="0"/>
          <w:numId w:val="12"/>
        </w:numPr>
        <w:spacing w:before="0" w:after="80" w:line="300" w:lineRule="auto"/>
        <w:keepLines w:val="1"/>
      </w:pPr>
      <w:r>
        <w:rPr>
          <w:rFonts w:ascii="Calibri" w:hAnsi="Calibri" w:eastAsia="Calibri"/>
          <w:b/>
          <w:color w:val="162236"/>
          <w:sz w:val="22"/>
        </w:rPr>
        <w:t xml:space="preserve">Use </w:t>
      </w:r>
      <w:r>
        <w:rPr>
          <w:rFonts w:ascii="Calibri" w:hAnsi="Calibri" w:eastAsia="Calibri"/>
          <w:color w:val="162236"/>
          <w:sz w:val="22"/>
        </w:rPr>
        <w:t>"guide support concept" when support depends on the case; do not imply every support type fits every presentation.</w:t>
      </w:r>
    </w:p>
    <w:p>
      <w:pPr>
        <w:numPr>
          <w:ilvl w:val="0"/>
          <w:numId w:val="12"/>
        </w:numPr>
        <w:spacing w:before="0" w:after="80" w:line="300" w:lineRule="auto"/>
        <w:keepLines w:val="1"/>
      </w:pPr>
      <w:r>
        <w:rPr>
          <w:rFonts w:ascii="Calibri" w:hAnsi="Calibri" w:eastAsia="Calibri"/>
          <w:b/>
          <w:color w:val="162236"/>
          <w:sz w:val="22"/>
        </w:rPr>
        <w:t xml:space="preserve">Keep </w:t>
      </w:r>
      <w:r>
        <w:rPr>
          <w:rFonts w:ascii="Calibri" w:hAnsi="Calibri" w:eastAsia="Calibri"/>
          <w:color w:val="162236"/>
          <w:sz w:val="22"/>
        </w:rPr>
        <w:t>implant system and drilling protocol wording conditional until operational compatibility is confirmed.</w:t>
      </w:r>
    </w:p>
    <w:p>
      <w:pPr>
        <w:numPr>
          <w:ilvl w:val="0"/>
          <w:numId w:val="12"/>
        </w:numPr>
        <w:spacing w:before="0" w:after="80" w:line="300" w:lineRule="auto"/>
        <w:keepLines w:val="1"/>
      </w:pPr>
      <w:r>
        <w:rPr>
          <w:rFonts w:ascii="Calibri" w:hAnsi="Calibri" w:eastAsia="Calibri"/>
          <w:b/>
          <w:color w:val="162236"/>
          <w:sz w:val="22"/>
        </w:rPr>
        <w:t xml:space="preserve">Separate </w:t>
      </w:r>
      <w:r>
        <w:rPr>
          <w:rFonts w:ascii="Calibri" w:hAnsi="Calibri" w:eastAsia="Calibri"/>
          <w:color w:val="162236"/>
          <w:sz w:val="22"/>
        </w:rPr>
        <w:t>routine guided implant cases from full-arch stackable and advanced anchorage workflows.</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CLINICAL ACCURACY CONTROL  </w:t>
      </w:r>
      <w:r>
        <w:rPr>
          <w:rFonts w:ascii="Calibri" w:hAnsi="Calibri" w:eastAsia="Calibri"/>
          <w:b w:val="0"/>
          <w:color w:val="162236"/>
          <w:sz w:val="22"/>
        </w:rPr>
        <w:t>A static surgical guide transfers an approved virtual plan through a template. The page must never imply that the template replaces verification of fit, surgical access, anatomy or intraoperative judgement.</w:t>
      </w:r>
    </w:p>
    <w:p>
      <w:pPr>
        <w:pStyle w:val="Heading1"/>
        <w:keepNext w:val="1"/>
        <w:keepLines w:val="1"/>
      </w:pPr>
      <w:r>
        <w:t>2. SEO and search intent</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SEO title: </w:t>
      </w:r>
      <w:r>
        <w:rPr>
          <w:rFonts w:ascii="Calibri" w:hAnsi="Calibri" w:eastAsia="Calibri"/>
          <w:color w:val="162236"/>
          <w:sz w:val="21"/>
        </w:rPr>
        <w:t>Dental Implant Planning &amp; Surgical Guide Design | I3DC</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Meta description: </w:t>
      </w:r>
      <w:r>
        <w:rPr>
          <w:rFonts w:ascii="Calibri" w:hAnsi="Calibri" w:eastAsia="Calibri"/>
          <w:color w:val="162236"/>
          <w:sz w:val="21"/>
        </w:rPr>
        <w:t>Restoration-led implant planning and surgical guide support for single and multiple implant cases, with clinician review before production.</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H1: </w:t>
      </w:r>
      <w:r>
        <w:rPr>
          <w:rFonts w:ascii="Calibri" w:hAnsi="Calibri" w:eastAsia="Calibri"/>
          <w:color w:val="162236"/>
          <w:sz w:val="21"/>
        </w:rPr>
        <w:t>Guided implant planning built around the restoration.</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Slug: </w:t>
      </w:r>
      <w:r>
        <w:rPr>
          <w:rFonts w:ascii="Calibri" w:hAnsi="Calibri" w:eastAsia="Calibri"/>
          <w:color w:val="162236"/>
          <w:sz w:val="21"/>
        </w:rPr>
        <w:t>/guided-implant-workflow/</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Primary phrase: </w:t>
      </w:r>
      <w:r>
        <w:rPr>
          <w:rFonts w:ascii="Calibri" w:hAnsi="Calibri" w:eastAsia="Calibri"/>
          <w:color w:val="162236"/>
          <w:sz w:val="21"/>
        </w:rPr>
        <w:t>dental implant surgical guide design</w:t>
      </w:r>
    </w:p>
    <w:p>
      <w:pPr>
        <w:spacing w:before="0" w:after="100" w:line="300" w:lineRule="auto"/>
        <w:ind w:left="158" w:right="86"/>
        <w:shd w:fill="F4F6F9"/>
        <w:pBdr>
          <w:left w:val="single" w:sz="14" w:space="8" w:color="2E74B5"/>
        </w:pBdr>
        <w:keepLines w:val="1"/>
      </w:pPr>
      <w:r>
        <w:rPr>
          <w:rFonts w:ascii="Calibri" w:hAnsi="Calibri" w:eastAsia="Calibri"/>
          <w:b/>
          <w:color w:val="1F4D78"/>
          <w:sz w:val="21"/>
        </w:rPr>
        <w:t xml:space="preserve">Supporting phrases: </w:t>
      </w:r>
      <w:r>
        <w:rPr>
          <w:rFonts w:ascii="Calibri" w:hAnsi="Calibri" w:eastAsia="Calibri"/>
          <w:color w:val="162236"/>
          <w:sz w:val="21"/>
        </w:rPr>
        <w:t>guided implant planning; digital implant planning service; implant surgical guide workflow; restoration-led implant planning</w:t>
      </w:r>
    </w:p>
    <w:p>
      <w:pPr>
        <w:pStyle w:val="Heading2"/>
        <w:keepNext w:val="1"/>
        <w:keepLines w:val="1"/>
      </w:pPr>
      <w:r>
        <w:t>Search intent</w:t>
      </w:r>
    </w:p>
    <w:p>
      <w:pPr>
        <w:spacing w:before="0" w:after="120" w:line="300" w:lineRule="auto"/>
        <w:jc w:val="left"/>
      </w:pPr>
      <w:r>
        <w:rPr>
          <w:rFonts w:ascii="Calibri" w:hAnsi="Calibri" w:eastAsia="Calibri"/>
          <w:b w:val="0"/>
          <w:i w:val="0"/>
          <w:color w:val="162236"/>
          <w:sz w:val="22"/>
        </w:rPr>
        <w:t>The visitor is not looking for a definition of guided surgery. They are comparing a planning and guide partner, checking whether the case fits, and trying to understand files, review, compatibility and delivery scope.</w:t>
      </w:r>
    </w:p>
    <w:p>
      <w:pPr>
        <w:pStyle w:val="Heading2"/>
        <w:keepNext w:val="1"/>
        <w:keepLines w:val="1"/>
      </w:pPr>
      <w:r>
        <w:t>Recommended heading hierarchy</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200"/>
        <w:gridCol w:w="8160"/>
      </w:tblGrid>
      <w:tr>
        <w:trPr>
          <w:tblHeader w:val="true"/>
        </w:trPr>
        <w:tc>
          <w:tcPr>
            <w:tcW w:type="dxa" w:w="12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Level</w:t>
            </w:r>
          </w:p>
        </w:tc>
        <w:tc>
          <w:tcPr>
            <w:tcW w:type="dxa" w:w="81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Visitor-facing heading</w:t>
            </w:r>
          </w:p>
        </w:tc>
      </w:tr>
      <w:t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H1</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Guided implant planning built around the restoration.</w:t>
            </w:r>
          </w:p>
        </w:tc>
      </w:tr>
      <w:t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Start with the case, not the guide.</w:t>
            </w:r>
          </w:p>
        </w:tc>
      </w:tr>
      <w:t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 guide carries a plan into surgery.</w:t>
            </w:r>
          </w:p>
        </w:tc>
      </w:tr>
      <w:t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From case data to an approved guide.</w:t>
            </w:r>
          </w:p>
        </w:tc>
      </w:tr>
      <w:t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You remain in control of the clinical plan.</w:t>
            </w:r>
          </w:p>
        </w:tc>
      </w:tr>
      <w:t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Send the records that make the plan useful.</w:t>
            </w:r>
          </w:p>
        </w:tc>
      </w:tr>
      <w:t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Choose the level of support you need.</w:t>
            </w:r>
          </w:p>
        </w:tc>
      </w:tr>
      <w:t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Questions before you start?</w:t>
            </w:r>
          </w:p>
        </w:tc>
      </w:tr>
      <w:tr>
        <w:tc>
          <w:tcPr>
            <w:tcW w:type="dxa" w:w="12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H2</w:t>
            </w:r>
          </w:p>
        </w:tc>
        <w:tc>
          <w:tcPr>
            <w:tcW w:type="dxa" w:w="81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Ready to plan your guided case?</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Internal links</w:t>
      </w:r>
    </w:p>
    <w:p>
      <w:pPr>
        <w:numPr>
          <w:ilvl w:val="0"/>
          <w:numId w:val="13"/>
        </w:numPr>
        <w:spacing w:before="0" w:after="80" w:line="300" w:lineRule="auto"/>
        <w:keepLines w:val="1"/>
      </w:pPr>
      <w:r>
        <w:rPr>
          <w:rFonts w:ascii="Calibri" w:hAnsi="Calibri" w:eastAsia="Calibri"/>
          <w:b/>
          <w:color w:val="162236"/>
          <w:sz w:val="22"/>
        </w:rPr>
        <w:t xml:space="preserve">Parent </w:t>
      </w:r>
      <w:r>
        <w:rPr>
          <w:rFonts w:ascii="Calibri" w:hAnsi="Calibri" w:eastAsia="Calibri"/>
          <w:color w:val="162236"/>
          <w:sz w:val="22"/>
        </w:rPr>
        <w:t>Clinical Workflow Solutions.</w:t>
      </w:r>
    </w:p>
    <w:p>
      <w:pPr>
        <w:numPr>
          <w:ilvl w:val="0"/>
          <w:numId w:val="13"/>
        </w:numPr>
        <w:spacing w:before="0" w:after="80" w:line="300" w:lineRule="auto"/>
        <w:keepLines w:val="1"/>
      </w:pPr>
      <w:r>
        <w:rPr>
          <w:rFonts w:ascii="Calibri" w:hAnsi="Calibri" w:eastAsia="Calibri"/>
          <w:b/>
          <w:color w:val="162236"/>
          <w:sz w:val="22"/>
        </w:rPr>
        <w:t xml:space="preserve">Process </w:t>
      </w:r>
      <w:r>
        <w:rPr>
          <w:rFonts w:ascii="Calibri" w:hAnsi="Calibri" w:eastAsia="Calibri"/>
          <w:color w:val="162236"/>
          <w:sz w:val="22"/>
        </w:rPr>
        <w:t>How It Works and Case Requirements.</w:t>
      </w:r>
    </w:p>
    <w:p>
      <w:pPr>
        <w:numPr>
          <w:ilvl w:val="0"/>
          <w:numId w:val="13"/>
        </w:numPr>
        <w:spacing w:before="0" w:after="80" w:line="300" w:lineRule="auto"/>
        <w:keepLines w:val="1"/>
      </w:pPr>
      <w:r>
        <w:rPr>
          <w:rFonts w:ascii="Calibri" w:hAnsi="Calibri" w:eastAsia="Calibri"/>
          <w:b/>
          <w:color w:val="162236"/>
          <w:sz w:val="22"/>
        </w:rPr>
        <w:t xml:space="preserve">Related </w:t>
      </w:r>
      <w:r>
        <w:rPr>
          <w:rFonts w:ascii="Calibri" w:hAnsi="Calibri" w:eastAsia="Calibri"/>
          <w:color w:val="162236"/>
          <w:sz w:val="22"/>
        </w:rPr>
        <w:t>Full-Arch Stackable Workflow and Zygoma &amp; Pterygoid Planning Workflow.</w:t>
      </w:r>
    </w:p>
    <w:p>
      <w:pPr>
        <w:numPr>
          <w:ilvl w:val="0"/>
          <w:numId w:val="13"/>
        </w:numPr>
        <w:spacing w:before="0" w:after="80" w:line="300" w:lineRule="auto"/>
        <w:keepLines w:val="1"/>
      </w:pPr>
      <w:r>
        <w:rPr>
          <w:rFonts w:ascii="Calibri" w:hAnsi="Calibri" w:eastAsia="Calibri"/>
          <w:b/>
          <w:color w:val="162236"/>
          <w:sz w:val="22"/>
        </w:rPr>
        <w:t xml:space="preserve">Decision </w:t>
      </w:r>
      <w:r>
        <w:rPr>
          <w:rFonts w:ascii="Calibri" w:hAnsi="Calibri" w:eastAsia="Calibri"/>
          <w:color w:val="162236"/>
          <w:sz w:val="22"/>
        </w:rPr>
        <w:t>Discuss a Complex Case.</w:t>
      </w:r>
    </w:p>
    <w:p>
      <w:pPr>
        <w:numPr>
          <w:ilvl w:val="0"/>
          <w:numId w:val="13"/>
        </w:numPr>
        <w:spacing w:before="0" w:after="80" w:line="300" w:lineRule="auto"/>
        <w:keepLines w:val="1"/>
      </w:pPr>
      <w:r>
        <w:rPr>
          <w:rFonts w:ascii="Calibri" w:hAnsi="Calibri" w:eastAsia="Calibri"/>
          <w:b/>
          <w:color w:val="162236"/>
          <w:sz w:val="22"/>
        </w:rPr>
        <w:t xml:space="preserve">Action </w:t>
      </w:r>
      <w:r>
        <w:rPr>
          <w:rFonts w:ascii="Calibri" w:hAnsi="Calibri" w:eastAsia="Calibri"/>
          <w:color w:val="162236"/>
          <w:sz w:val="22"/>
        </w:rPr>
        <w:t>Image3DConversion Case Portal.</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SEO RESTRAINT  </w:t>
      </w:r>
      <w:r>
        <w:rPr>
          <w:rFonts w:ascii="Calibri" w:hAnsi="Calibri" w:eastAsia="Calibri"/>
          <w:b w:val="0"/>
          <w:color w:val="162236"/>
          <w:sz w:val="22"/>
        </w:rPr>
        <w:t>Use the primary phrase in the title, opening copy and one supporting heading or caption. Do not repeat it in every card. Search visibility comes from a clear page purpose, useful records guidance, descriptive links and real case evidence.</w:t>
      </w:r>
    </w:p>
    <w:p>
      <w:pPr>
        <w:pStyle w:val="Heading1"/>
        <w:keepNext w:val="1"/>
        <w:keepLines w:val="1"/>
      </w:pPr>
      <w:r>
        <w:t>3. Navigation and CTA behaviour</w:t>
      </w:r>
    </w:p>
    <w:p>
      <w:pPr>
        <w:pStyle w:val="Heading2"/>
        <w:keepNext w:val="1"/>
        <w:keepLines w:val="1"/>
      </w:pPr>
      <w:r>
        <w:t>Desktop header</w:t>
      </w:r>
    </w:p>
    <w:p>
      <w:pPr>
        <w:spacing w:before="0" w:after="120" w:line="300" w:lineRule="auto"/>
        <w:jc w:val="left"/>
      </w:pPr>
      <w:r>
        <w:rPr>
          <w:rFonts w:ascii="Calibri" w:hAnsi="Calibri" w:eastAsia="Calibri"/>
          <w:b/>
          <w:i w:val="0"/>
          <w:color w:val="162236"/>
          <w:sz w:val="23"/>
        </w:rPr>
        <w:t>Logo | Clinical Workflows | How It Works | Case Requirements | About | Discuss a Complex Case | Start a Case</w:t>
      </w:r>
    </w:p>
    <w:p>
      <w:pPr>
        <w:pStyle w:val="Heading2"/>
        <w:keepNext w:val="1"/>
        <w:keepLines w:val="1"/>
      </w:pPr>
      <w:r>
        <w:t>Returning-user utility</w:t>
      </w:r>
    </w:p>
    <w:p>
      <w:pPr>
        <w:spacing w:before="0" w:after="120" w:line="300" w:lineRule="auto"/>
        <w:jc w:val="left"/>
      </w:pPr>
      <w:r>
        <w:rPr>
          <w:rFonts w:ascii="Calibri" w:hAnsi="Calibri" w:eastAsia="Calibri"/>
          <w:b w:val="0"/>
          <w:i w:val="0"/>
          <w:color w:val="162236"/>
          <w:sz w:val="23"/>
        </w:rPr>
        <w:t>Already working with us? Open the Case Portal.</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2460"/>
        <w:gridCol w:w="4800"/>
      </w:tblGrid>
      <w:tr>
        <w:trPr>
          <w:tblHeader w:val="true"/>
        </w:trPr>
        <w:tc>
          <w:tcPr>
            <w:tcW w:type="dxa" w:w="21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Visible action</w:t>
            </w:r>
          </w:p>
        </w:tc>
        <w:tc>
          <w:tcPr>
            <w:tcW w:type="dxa" w:w="24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Destination</w:t>
            </w:r>
          </w:p>
        </w:tc>
        <w:tc>
          <w:tcPr>
            <w:tcW w:type="dxa" w:w="48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Behaviour</w:t>
            </w:r>
          </w:p>
        </w:tc>
      </w:tr>
      <w:tr>
        <w:tc>
          <w:tcPr>
            <w:tcW w:type="dxa" w:w="21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Start a Guided Implant Case</w:t>
            </w:r>
          </w:p>
        </w:tc>
        <w:tc>
          <w:tcPr>
            <w:tcW w:type="dxa" w:w="24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Image3DConversion Case Portal</w:t>
            </w:r>
          </w:p>
        </w:tc>
        <w:tc>
          <w:tcPr>
            <w:tcW w:type="dxa" w:w="4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Authenticate if needed, then open a new case with Guided Implant Workflow already selected.</w:t>
            </w:r>
          </w:p>
        </w:tc>
      </w:tr>
      <w:tr>
        <w:tc>
          <w:tcPr>
            <w:tcW w:type="dxa" w:w="21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See What to Send</w:t>
            </w:r>
          </w:p>
        </w:tc>
        <w:tc>
          <w:tcPr>
            <w:tcW w:type="dxa" w:w="24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Requirements section on this page</w:t>
            </w:r>
          </w:p>
        </w:tc>
        <w:tc>
          <w:tcPr>
            <w:tcW w:type="dxa" w:w="4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Scroll to the concise file checklist; provide a link to the complete Case Requirements page.</w:t>
            </w:r>
          </w:p>
        </w:tc>
      </w:tr>
      <w:tr>
        <w:tc>
          <w:tcPr>
            <w:tcW w:type="dxa" w:w="21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Discuss a Complex Case</w:t>
            </w:r>
          </w:p>
        </w:tc>
        <w:tc>
          <w:tcPr>
            <w:tcW w:type="dxa" w:w="24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Complex-case enquiry</w:t>
            </w:r>
          </w:p>
        </w:tc>
        <w:tc>
          <w:tcPr>
            <w:tcW w:type="dxa" w:w="4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Collect professional contact and workflow-fit information only. Never accept patient records in the public form.</w:t>
            </w:r>
          </w:p>
        </w:tc>
      </w:tr>
      <w:tr>
        <w:tc>
          <w:tcPr>
            <w:tcW w:type="dxa" w:w="21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Open the Case Portal</w:t>
            </w:r>
          </w:p>
        </w:tc>
        <w:tc>
          <w:tcPr>
            <w:tcW w:type="dxa" w:w="246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Portal login</w:t>
            </w:r>
          </w:p>
        </w:tc>
        <w:tc>
          <w:tcPr>
            <w:tcW w:type="dxa" w:w="4800"/>
            <w:vAlign w:val="center"/>
            <w:tcMar>
              <w:top w:w="100" w:type="dxa"/>
              <w:start w:w="120" w:type="dxa"/>
              <w:bottom w:w="100" w:type="dxa"/>
              <w:end w:w="120" w:type="dxa"/>
            </w:tcMar>
          </w:tcPr>
          <w:p>
            <w:pPr>
              <w:spacing w:before="0" w:after="0" w:line="276" w:lineRule="auto"/>
            </w:pPr>
            <w:r>
              <w:rPr>
                <w:rFonts w:ascii="Calibri" w:hAnsi="Calibri" w:eastAsia="Calibri"/>
                <w:color w:val="162236"/>
                <w:sz w:val="18"/>
              </w:rPr>
              <w:t>Return established users directly to their case list or intended case action after authentication.</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SECURE-DATA BOUNDARY  </w:t>
      </w:r>
      <w:r>
        <w:rPr>
          <w:rFonts w:ascii="Calibri" w:hAnsi="Calibri" w:eastAsia="Calibri"/>
          <w:b w:val="0"/>
          <w:color w:val="162236"/>
          <w:sz w:val="22"/>
        </w:rPr>
        <w:t>The public page may collect professional contact details for a discussion. DICOM, scans, photographs and patient identifiers enter only through the authenticated Case Portal.</w:t>
      </w:r>
    </w:p>
    <w:p>
      <w:pPr>
        <w:pStyle w:val="Heading1"/>
        <w:keepNext w:val="1"/>
        <w:keepLines w:val="1"/>
      </w:pPr>
      <w:r>
        <w:t>4. Final visitor-facing page copy</w:t>
      </w:r>
    </w:p>
    <w:p>
      <w:pPr>
        <w:spacing w:before="0" w:after="120" w:line="300" w:lineRule="auto"/>
        <w:jc w:val="left"/>
      </w:pPr>
      <w:r>
        <w:rPr>
          <w:rFonts w:ascii="Calibri" w:hAnsi="Calibri" w:eastAsia="Calibri"/>
          <w:b w:val="0"/>
          <w:i/>
          <w:color w:val="5F6B7A"/>
          <w:sz w:val="20"/>
        </w:rPr>
        <w:t>The copy below is publish-ready except where a section is explicitly controlled by an evidence or operations gate.</w:t>
      </w:r>
    </w:p>
    <w:p>
      <w:pPr>
        <w:pStyle w:val="Heading2"/>
        <w:keepNext w:val="1"/>
        <w:keepLines w:val="1"/>
      </w:pPr>
      <w:r>
        <w:t>Section 1 - Hero</w:t>
      </w:r>
    </w:p>
    <w:p>
      <w:pPr>
        <w:spacing w:before="0" w:after="80"/>
        <w:keepNext w:val="1"/>
      </w:pPr>
      <w:r>
        <w:rPr>
          <w:rFonts w:ascii="Calibri" w:hAnsi="Calibri" w:eastAsia="Calibri"/>
          <w:b/>
          <w:color w:val="2E74B5"/>
          <w:sz w:val="19"/>
        </w:rPr>
        <w:t>EYEBROW</w:t>
      </w:r>
    </w:p>
    <w:p>
      <w:pPr>
        <w:spacing w:before="0" w:after="100" w:line="300" w:lineRule="auto"/>
        <w:jc w:val="left"/>
        <w:keepLines w:val="1"/>
      </w:pPr>
      <w:r>
        <w:rPr>
          <w:rFonts w:ascii="Calibri" w:hAnsi="Calibri" w:eastAsia="Calibri"/>
          <w:b w:val="0"/>
          <w:i w:val="0"/>
          <w:color w:val="162236"/>
          <w:sz w:val="24"/>
        </w:rPr>
        <w:t>GUIDED IMPLANT PLANNING &amp; SURGICAL GUIDE SUPPORT</w:t>
      </w:r>
    </w:p>
    <w:p>
      <w:pPr>
        <w:spacing w:before="0" w:after="80"/>
        <w:keepNext w:val="1"/>
      </w:pPr>
      <w:r>
        <w:rPr>
          <w:rFonts w:ascii="Calibri" w:hAnsi="Calibri" w:eastAsia="Calibri"/>
          <w:b/>
          <w:color w:val="2E74B5"/>
          <w:sz w:val="19"/>
        </w:rPr>
        <w:t>H1</w:t>
      </w:r>
    </w:p>
    <w:p>
      <w:pPr>
        <w:spacing w:before="0" w:after="100" w:line="300" w:lineRule="auto"/>
        <w:jc w:val="left"/>
        <w:keepLines w:val="1"/>
      </w:pPr>
      <w:r>
        <w:rPr>
          <w:rFonts w:ascii="Calibri" w:hAnsi="Calibri" w:eastAsia="Calibri"/>
          <w:b w:val="0"/>
          <w:i w:val="0"/>
          <w:color w:val="162236"/>
          <w:sz w:val="24"/>
        </w:rPr>
        <w:t>Guided implant planning built around the restoration.</w:t>
      </w:r>
    </w:p>
    <w:p>
      <w:pPr>
        <w:spacing w:before="0" w:after="80"/>
        <w:keepNext w:val="1"/>
      </w:pPr>
      <w:r>
        <w:rPr>
          <w:rFonts w:ascii="Calibri" w:hAnsi="Calibri" w:eastAsia="Calibri"/>
          <w:b/>
          <w:color w:val="2E74B5"/>
          <w:sz w:val="19"/>
        </w:rPr>
        <w:t>SUPPORT COPY</w:t>
      </w:r>
    </w:p>
    <w:p>
      <w:pPr>
        <w:spacing w:before="0" w:after="100" w:line="300" w:lineRule="auto"/>
        <w:jc w:val="left"/>
        <w:keepLines w:val="1"/>
      </w:pPr>
      <w:r>
        <w:rPr>
          <w:rFonts w:ascii="Calibri" w:hAnsi="Calibri" w:eastAsia="Calibri"/>
          <w:b w:val="0"/>
          <w:i w:val="0"/>
          <w:color w:val="162236"/>
          <w:sz w:val="24"/>
        </w:rPr>
        <w:t>Begin with the smile and restoration you intend to deliver. For single and multiple implant cases, we coordinate that aesthetic objective with function, biology, available anatomy, implant planning, guide design, clinician review and the selected delivery scope.</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Start a Guided Implant Case</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See What to Send</w:t>
      </w:r>
    </w:p>
    <w:p>
      <w:pPr>
        <w:spacing w:before="0" w:after="120" w:line="300" w:lineRule="auto"/>
        <w:jc w:val="left"/>
      </w:pPr>
      <w:r>
        <w:rPr>
          <w:rFonts w:ascii="Calibri" w:hAnsi="Calibri" w:eastAsia="Calibri"/>
          <w:b w:val="0"/>
          <w:i/>
          <w:color w:val="5F6B7A"/>
          <w:sz w:val="21"/>
        </w:rPr>
        <w:t>Utility line: Already working with us? Open the Case Portal.</w:t>
      </w:r>
    </w:p>
    <w:p>
      <w:pPr>
        <w:spacing w:before="0" w:after="120" w:line="300" w:lineRule="auto"/>
        <w:jc w:val="left"/>
      </w:pPr>
      <w:r>
        <w:rPr>
          <w:rFonts w:ascii="Calibri" w:hAnsi="Calibri" w:eastAsia="Calibri"/>
          <w:b w:val="0"/>
          <w:i w:val="0"/>
          <w:color w:val="5F6B7A"/>
          <w:sz w:val="19"/>
        </w:rPr>
        <w:t>Professional note: Services are provided to dental professionals and authorised workflow partners.</w:t>
      </w:r>
    </w:p>
    <w:p>
      <w:pPr>
        <w:spacing w:before="0" w:after="60" w:line="300" w:lineRule="auto"/>
        <w:jc w:val="left"/>
        <w:keepNext w:val="1"/>
        <w:keepLines w:val="1"/>
      </w:pPr>
      <w:r>
        <w:rPr>
          <w:rFonts w:ascii="Calibri" w:hAnsi="Calibri" w:eastAsia="Calibri"/>
          <w:b w:val="0"/>
          <w:i/>
          <w:color w:val="5F6B7A"/>
          <w:sz w:val="19"/>
        </w:rPr>
        <w:t>Psychological job: Open with the patient-facing outcome, then show that the aesthetic intention is carried by a clinically reviewed functional workflow.</w:t>
      </w:r>
    </w:p>
    <w:p>
      <w:pPr>
        <w:spacing w:before="0" w:after="60" w:line="300" w:lineRule="auto"/>
        <w:jc w:val="left"/>
        <w:keepNext w:val="1"/>
        <w:keepLines w:val="1"/>
      </w:pPr>
      <w:r>
        <w:rPr>
          <w:rFonts w:ascii="Calibri" w:hAnsi="Calibri" w:eastAsia="Calibri"/>
          <w:b w:val="0"/>
          <w:i w:val="0"/>
          <w:color w:val="5F6B7A"/>
          <w:sz w:val="19"/>
        </w:rPr>
        <w:t>Visual direction: Use one consented smile/prosthetic reference, the corresponding implant plan and the manufactured guide from the same real case. Keep the background white and use only the master blue for labels and actions.</w:t>
      </w:r>
    </w:p>
    <w:p>
      <w:pPr>
        <w:spacing w:before="0" w:after="60" w:line="300" w:lineRule="auto"/>
        <w:jc w:val="left"/>
        <w:keepNext w:val="1"/>
        <w:keepLines w:val="1"/>
      </w:pPr>
      <w:r>
        <w:rPr>
          <w:rFonts w:ascii="Calibri" w:hAnsi="Calibri" w:eastAsia="Calibri"/>
          <w:b w:val="0"/>
          <w:i w:val="0"/>
          <w:color w:val="5F6B7A"/>
          <w:sz w:val="19"/>
        </w:rPr>
        <w:t>Mobile: Show H1, two short support lines, the primary CTA and one image before the secondary CTA. Keep the portal utility link below.</w:t>
      </w:r>
    </w:p>
    <w:p>
      <w:pPr>
        <w:spacing w:before="0" w:after="140" w:line="300" w:lineRule="auto"/>
        <w:jc w:val="left"/>
        <w:keepLines w:val="1"/>
      </w:pPr>
      <w:r>
        <w:rPr>
          <w:rFonts w:ascii="Calibri" w:hAnsi="Calibri" w:eastAsia="Calibri"/>
          <w:b w:val="0"/>
          <w:i w:val="0"/>
          <w:color w:val="5F6B7A"/>
          <w:sz w:val="19"/>
        </w:rPr>
        <w:t>Implementation: The hero must use one approved case. A recognisable patient image requires explicit publication consent. Do not use a decorative AI-generated jaw, generated patient or generic stock smile.</w:t>
      </w:r>
    </w:p>
    <w:p>
      <w:pPr>
        <w:pStyle w:val="Heading2"/>
        <w:pageBreakBefore w:val="1"/>
        <w:keepNext w:val="1"/>
        <w:keepLines w:val="1"/>
      </w:pPr>
      <w:r>
        <w:t>Section 2 - Workflow fit</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Start with the restoration, not the guide.</w:t>
      </w:r>
    </w:p>
    <w:p>
      <w:pPr>
        <w:spacing w:before="0" w:after="80"/>
        <w:keepNext w:val="1"/>
      </w:pPr>
      <w:r>
        <w:rPr>
          <w:rFonts w:ascii="Calibri" w:hAnsi="Calibri" w:eastAsia="Calibri"/>
          <w:b/>
          <w:color w:val="2E74B5"/>
          <w:sz w:val="19"/>
        </w:rPr>
        <w:t>OPENING COPY</w:t>
      </w:r>
    </w:p>
    <w:p>
      <w:pPr>
        <w:spacing w:before="0" w:after="100" w:line="300" w:lineRule="auto"/>
        <w:jc w:val="left"/>
        <w:keepLines w:val="1"/>
      </w:pPr>
      <w:r>
        <w:rPr>
          <w:rFonts w:ascii="Calibri" w:hAnsi="Calibri" w:eastAsia="Calibri"/>
          <w:b w:val="0"/>
          <w:i w:val="0"/>
          <w:color w:val="162236"/>
          <w:sz w:val="24"/>
        </w:rPr>
        <w:t>First define how the restoration should look, emerge and function. Then relate that objective to biology, available anatomy, implant position, guide support and the implant system you intend to use. The guide concept follows.</w:t>
      </w:r>
    </w:p>
    <w:p>
      <w:pPr>
        <w:spacing w:before="80" w:after="40"/>
        <w:keepNext w:val="1"/>
      </w:pPr>
      <w:r>
        <w:rPr>
          <w:rFonts w:ascii="Calibri" w:hAnsi="Calibri" w:eastAsia="Calibri"/>
          <w:b/>
          <w:color w:val="1F4D78"/>
          <w:sz w:val="23"/>
        </w:rPr>
        <w:t>Aesthetic destination</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Define the intended tooth position, proportion, emergence and relationship to the patient’s smile.</w:t>
      </w:r>
    </w:p>
    <w:p>
      <w:pPr>
        <w:spacing w:before="80" w:after="40"/>
        <w:keepNext w:val="1"/>
      </w:pPr>
      <w:r>
        <w:rPr>
          <w:rFonts w:ascii="Calibri" w:hAnsi="Calibri" w:eastAsia="Calibri"/>
          <w:b/>
          <w:color w:val="1F4D78"/>
          <w:sz w:val="23"/>
        </w:rPr>
        <w:t>Functional relationship</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Consider occlusion, restorative access, spacing, hygiene and the neighbouring or opposing dentition.</w:t>
      </w:r>
    </w:p>
    <w:p>
      <w:pPr>
        <w:spacing w:before="80" w:after="40"/>
        <w:keepNext w:val="1"/>
      </w:pPr>
      <w:r>
        <w:rPr>
          <w:rFonts w:ascii="Calibri" w:hAnsi="Calibri" w:eastAsia="Calibri"/>
          <w:b/>
          <w:color w:val="1F4D78"/>
          <w:sz w:val="23"/>
        </w:rPr>
        <w:t>Biology and anatomy</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Review hard and soft tissue conditions, available support and relevant anatomical constraints for the intended treatment.</w:t>
      </w:r>
    </w:p>
    <w:p>
      <w:pPr>
        <w:spacing w:before="80" w:after="40"/>
        <w:keepNext w:val="1"/>
      </w:pPr>
      <w:r>
        <w:rPr>
          <w:rFonts w:ascii="Calibri" w:hAnsi="Calibri" w:eastAsia="Calibri"/>
          <w:b/>
          <w:color w:val="1F4D78"/>
          <w:sz w:val="23"/>
        </w:rPr>
        <w:t>Implant and guide concept</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Coordinate implant position, drilling protocol and case-specific guide support with the confirmed restorative objective.</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DIFFERENT CASE, DIFFERENT WORKFLOW  </w:t>
      </w:r>
      <w:r>
        <w:rPr>
          <w:rFonts w:ascii="Calibri" w:hAnsi="Calibri" w:eastAsia="Calibri"/>
          <w:b w:val="0"/>
          <w:color w:val="162236"/>
          <w:sz w:val="22"/>
        </w:rPr>
        <w:t>If the case includes bone reduction, a stackable full-arch sequence, zygomatic or pterygoid implants, use the specialist workflow or discuss the case before submission.</w:t>
      </w:r>
    </w:p>
    <w:p>
      <w:pPr>
        <w:spacing w:before="0" w:after="60" w:line="300" w:lineRule="auto"/>
        <w:jc w:val="left"/>
        <w:keepNext w:val="1"/>
        <w:keepLines w:val="1"/>
      </w:pPr>
      <w:r>
        <w:rPr>
          <w:rFonts w:ascii="Calibri" w:hAnsi="Calibri" w:eastAsia="Calibri"/>
          <w:b w:val="0"/>
          <w:i/>
          <w:color w:val="5F6B7A"/>
          <w:sz w:val="19"/>
        </w:rPr>
        <w:t>Psychological job: Make the design order unmistakable: patient smile and aesthetics first, then function, biology, anatomy and guided execution.</w:t>
      </w:r>
    </w:p>
    <w:p>
      <w:pPr>
        <w:spacing w:before="0" w:after="60" w:line="300" w:lineRule="auto"/>
        <w:jc w:val="left"/>
        <w:keepNext w:val="1"/>
        <w:keepLines w:val="1"/>
      </w:pPr>
      <w:r>
        <w:rPr>
          <w:rFonts w:ascii="Calibri" w:hAnsi="Calibri" w:eastAsia="Calibri"/>
          <w:b w:val="0"/>
          <w:i w:val="0"/>
          <w:color w:val="5F6B7A"/>
          <w:sz w:val="19"/>
        </w:rPr>
        <w:t>Visual direction: Use four linked views from the same case: smile/restoration, occlusion, anatomy and implant/guide. Avoid interchangeable line icons.</w:t>
      </w:r>
    </w:p>
    <w:p>
      <w:pPr>
        <w:spacing w:before="0" w:after="60" w:line="300" w:lineRule="auto"/>
        <w:jc w:val="left"/>
        <w:keepNext w:val="1"/>
        <w:keepLines w:val="1"/>
      </w:pPr>
      <w:r>
        <w:rPr>
          <w:rFonts w:ascii="Calibri" w:hAnsi="Calibri" w:eastAsia="Calibri"/>
          <w:b w:val="0"/>
          <w:i w:val="0"/>
          <w:color w:val="5F6B7A"/>
          <w:sz w:val="19"/>
        </w:rPr>
        <w:t>Mobile: Use a vertical card sequence with the case name visible before the image; do not hide meaning behind a carousel.</w:t>
      </w:r>
    </w:p>
    <w:p>
      <w:pPr>
        <w:spacing w:before="0" w:after="140" w:line="300" w:lineRule="auto"/>
        <w:jc w:val="left"/>
        <w:keepLines w:val="1"/>
      </w:pPr>
      <w:r>
        <w:rPr>
          <w:rFonts w:ascii="Calibri" w:hAnsi="Calibri" w:eastAsia="Calibri"/>
          <w:b w:val="0"/>
          <w:i w:val="0"/>
          <w:color w:val="5F6B7A"/>
          <w:sz w:val="19"/>
        </w:rPr>
        <w:t>Implementation: Each card links only when a meaningful destination exists. The advanced-workflow callout links to the relevant page and Discuss a Complex Case.</w:t>
      </w:r>
    </w:p>
    <w:p>
      <w:pPr>
        <w:pStyle w:val="Heading2"/>
        <w:pageBreakBefore w:val="1"/>
        <w:keepNext w:val="1"/>
        <w:keepLines w:val="1"/>
      </w:pPr>
      <w:r>
        <w:t>Section 3 - Planning principle</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A guide carries a plan into surgery.</w:t>
      </w:r>
    </w:p>
    <w:p>
      <w:pPr>
        <w:spacing w:before="0" w:after="80"/>
        <w:keepNext w:val="1"/>
      </w:pPr>
      <w:r>
        <w:rPr>
          <w:rFonts w:ascii="Calibri" w:hAnsi="Calibri" w:eastAsia="Calibri"/>
          <w:b/>
          <w:color w:val="2E74B5"/>
          <w:sz w:val="19"/>
        </w:rPr>
        <w:t>BODY COPY</w:t>
      </w:r>
    </w:p>
    <w:p>
      <w:pPr>
        <w:spacing w:before="0" w:after="100" w:line="300" w:lineRule="auto"/>
        <w:jc w:val="left"/>
        <w:keepLines w:val="1"/>
      </w:pPr>
      <w:r>
        <w:rPr>
          <w:rFonts w:ascii="Calibri" w:hAnsi="Calibri" w:eastAsia="Calibri"/>
          <w:b w:val="0"/>
          <w:i w:val="0"/>
          <w:color w:val="162236"/>
          <w:sz w:val="24"/>
        </w:rPr>
        <w:t>A surgical guide is the physical expression of an approved digital plan. That plan must bring four things into agreement before production begins.</w:t>
      </w:r>
    </w:p>
    <w:p>
      <w:pPr>
        <w:spacing w:before="80" w:after="40"/>
        <w:keepNext w:val="1"/>
      </w:pPr>
      <w:r>
        <w:rPr>
          <w:rFonts w:ascii="Calibri" w:hAnsi="Calibri" w:eastAsia="Calibri"/>
          <w:b/>
          <w:color w:val="1F4D78"/>
          <w:sz w:val="23"/>
        </w:rPr>
        <w:t>The restorative objective</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The intended crown, bridge or prosthetic reference gives the implant plan a destination.</w:t>
      </w:r>
    </w:p>
    <w:p>
      <w:pPr>
        <w:spacing w:before="80" w:after="40"/>
        <w:keepNext w:val="1"/>
      </w:pPr>
      <w:r>
        <w:rPr>
          <w:rFonts w:ascii="Calibri" w:hAnsi="Calibri" w:eastAsia="Calibri"/>
          <w:b/>
          <w:color w:val="1F4D78"/>
          <w:sz w:val="23"/>
        </w:rPr>
        <w:t>The available anatomy</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CBCT data and relevant clinical information frame the anatomical conditions the treating clinician must assess.</w:t>
      </w:r>
    </w:p>
    <w:p>
      <w:pPr>
        <w:spacing w:before="80" w:after="40"/>
        <w:keepNext w:val="1"/>
      </w:pPr>
      <w:r>
        <w:rPr>
          <w:rFonts w:ascii="Calibri" w:hAnsi="Calibri" w:eastAsia="Calibri"/>
          <w:b/>
          <w:color w:val="1F4D78"/>
          <w:sz w:val="23"/>
        </w:rPr>
        <w:t>The implant and drilling protocol</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The selected implant system, guided kit and planned sequence influence the guide design and production scope.</w:t>
      </w:r>
    </w:p>
    <w:p>
      <w:pPr>
        <w:spacing w:before="80" w:after="40"/>
        <w:keepNext w:val="1"/>
      </w:pPr>
      <w:r>
        <w:rPr>
          <w:rFonts w:ascii="Calibri" w:hAnsi="Calibri" w:eastAsia="Calibri"/>
          <w:b/>
          <w:color w:val="1F4D78"/>
          <w:sz w:val="23"/>
        </w:rPr>
        <w:t>The guide support and access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Support, seating, visibility, fixation where relevant and instrument access must be considered for the planned procedure.</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PLAIN-LANGUAGE TRUTH  </w:t>
      </w:r>
      <w:r>
        <w:rPr>
          <w:rFonts w:ascii="Calibri" w:hAnsi="Calibri" w:eastAsia="Calibri"/>
          <w:b w:val="0"/>
          <w:color w:val="162236"/>
          <w:sz w:val="22"/>
        </w:rPr>
        <w:t>The guide does not make the clinical decision. It helps transfer the plan the clinician has reviewed and approved.</w:t>
      </w:r>
    </w:p>
    <w:p>
      <w:pPr>
        <w:spacing w:before="0" w:after="60" w:line="300" w:lineRule="auto"/>
        <w:jc w:val="left"/>
        <w:keepNext w:val="1"/>
        <w:keepLines w:val="1"/>
      </w:pPr>
      <w:r>
        <w:rPr>
          <w:rFonts w:ascii="Calibri" w:hAnsi="Calibri" w:eastAsia="Calibri"/>
          <w:b w:val="0"/>
          <w:i/>
          <w:color w:val="5F6B7A"/>
          <w:sz w:val="19"/>
        </w:rPr>
        <w:t>Psychological job: Replace the common product-first perception with a more valuable workflow-first understanding.</w:t>
      </w:r>
    </w:p>
    <w:p>
      <w:pPr>
        <w:spacing w:before="0" w:after="60" w:line="300" w:lineRule="auto"/>
        <w:jc w:val="left"/>
        <w:keepNext w:val="1"/>
        <w:keepLines w:val="1"/>
      </w:pPr>
      <w:r>
        <w:rPr>
          <w:rFonts w:ascii="Calibri" w:hAnsi="Calibri" w:eastAsia="Calibri"/>
          <w:b w:val="0"/>
          <w:i w:val="0"/>
          <w:color w:val="5F6B7A"/>
          <w:sz w:val="19"/>
        </w:rPr>
        <w:t>Visual direction: Show four aligned layers from one case: restoration, anatomy, implant/drill path and guide. Use simple blue labels over a white canvas.</w:t>
      </w:r>
    </w:p>
    <w:p>
      <w:pPr>
        <w:spacing w:before="0" w:after="60" w:line="300" w:lineRule="auto"/>
        <w:jc w:val="left"/>
        <w:keepNext w:val="1"/>
        <w:keepLines w:val="1"/>
      </w:pPr>
      <w:r>
        <w:rPr>
          <w:rFonts w:ascii="Calibri" w:hAnsi="Calibri" w:eastAsia="Calibri"/>
          <w:b w:val="0"/>
          <w:i w:val="0"/>
          <w:color w:val="5F6B7A"/>
          <w:sz w:val="19"/>
        </w:rPr>
        <w:t>Mobile: Stack the four layers in the same visual order. Keep each explanation to two lines before expansion.</w:t>
      </w:r>
    </w:p>
    <w:p>
      <w:pPr>
        <w:spacing w:before="0" w:after="140" w:line="300" w:lineRule="auto"/>
        <w:jc w:val="left"/>
        <w:keepLines w:val="1"/>
      </w:pPr>
      <w:r>
        <w:rPr>
          <w:rFonts w:ascii="Calibri" w:hAnsi="Calibri" w:eastAsia="Calibri"/>
          <w:b w:val="0"/>
          <w:i w:val="0"/>
          <w:color w:val="5F6B7A"/>
          <w:sz w:val="19"/>
        </w:rPr>
        <w:t>Implementation: Do not animate implant movement as if software autonomously selects the final position.</w:t>
      </w:r>
    </w:p>
    <w:p>
      <w:pPr>
        <w:pStyle w:val="Heading2"/>
        <w:pageBreakBefore w:val="1"/>
        <w:keepNext w:val="1"/>
        <w:keepLines w:val="1"/>
      </w:pPr>
      <w:r>
        <w:t>Section 4 - Workflow sequence</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From case data to an approved guide.</w:t>
      </w:r>
    </w:p>
    <w:p>
      <w:pPr>
        <w:spacing w:before="0" w:after="80"/>
        <w:keepNext w:val="1"/>
      </w:pPr>
      <w:r>
        <w:rPr>
          <w:rFonts w:ascii="Calibri" w:hAnsi="Calibri" w:eastAsia="Calibri"/>
          <w:b/>
          <w:color w:val="2E74B5"/>
          <w:sz w:val="19"/>
        </w:rPr>
        <w:t>INTRO</w:t>
      </w:r>
    </w:p>
    <w:p>
      <w:pPr>
        <w:spacing w:before="0" w:after="100" w:line="300" w:lineRule="auto"/>
        <w:jc w:val="left"/>
        <w:keepLines w:val="1"/>
      </w:pPr>
      <w:r>
        <w:rPr>
          <w:rFonts w:ascii="Calibri" w:hAnsi="Calibri" w:eastAsia="Calibri"/>
          <w:b w:val="0"/>
          <w:i w:val="0"/>
          <w:color w:val="162236"/>
          <w:sz w:val="24"/>
        </w:rPr>
        <w:t>Every case moves through visible checks. Production begins only after the required records are usable, the scope is confirmed and the treating clinician approves the plan.</w:t>
      </w:r>
    </w:p>
    <w:p>
      <w:pPr>
        <w:numPr>
          <w:ilvl w:val="0"/>
          <w:numId w:val="14"/>
        </w:numPr>
        <w:spacing w:before="0" w:after="100" w:line="300" w:lineRule="auto"/>
        <w:keepLines w:val="1"/>
      </w:pPr>
      <w:r>
        <w:rPr>
          <w:rFonts w:ascii="Calibri" w:hAnsi="Calibri" w:eastAsia="Calibri"/>
          <w:b/>
          <w:color w:val="162236"/>
          <w:sz w:val="22"/>
        </w:rPr>
        <w:t xml:space="preserve">Define the objective. </w:t>
      </w:r>
      <w:r>
        <w:rPr>
          <w:rFonts w:ascii="Calibri" w:hAnsi="Calibri" w:eastAsia="Calibri"/>
          <w:color w:val="162236"/>
          <w:sz w:val="22"/>
        </w:rPr>
        <w:t>Tell us the sites, intended restoration, implant system, planned surgical approach and the support you need.</w:t>
      </w:r>
    </w:p>
    <w:p>
      <w:pPr>
        <w:numPr>
          <w:ilvl w:val="0"/>
          <w:numId w:val="14"/>
        </w:numPr>
        <w:spacing w:before="0" w:after="100" w:line="300" w:lineRule="auto"/>
        <w:keepLines w:val="1"/>
      </w:pPr>
      <w:r>
        <w:rPr>
          <w:rFonts w:ascii="Calibri" w:hAnsi="Calibri" w:eastAsia="Calibri"/>
          <w:b/>
          <w:color w:val="162236"/>
          <w:sz w:val="22"/>
        </w:rPr>
        <w:t xml:space="preserve">Validate the records. </w:t>
      </w:r>
      <w:r>
        <w:rPr>
          <w:rFonts w:ascii="Calibri" w:hAnsi="Calibri" w:eastAsia="Calibri"/>
          <w:color w:val="162236"/>
          <w:sz w:val="22"/>
        </w:rPr>
        <w:t>We check whether the submitted DICOM, surface scans and reference files are complete and usable for the selected workflow.</w:t>
      </w:r>
    </w:p>
    <w:p>
      <w:pPr>
        <w:numPr>
          <w:ilvl w:val="0"/>
          <w:numId w:val="14"/>
        </w:numPr>
        <w:spacing w:before="0" w:after="100" w:line="300" w:lineRule="auto"/>
        <w:keepLines w:val="1"/>
      </w:pPr>
      <w:r>
        <w:rPr>
          <w:rFonts w:ascii="Calibri" w:hAnsi="Calibri" w:eastAsia="Calibri"/>
          <w:b/>
          <w:color w:val="162236"/>
          <w:sz w:val="22"/>
        </w:rPr>
        <w:t xml:space="preserve">Bring the data together. </w:t>
      </w:r>
      <w:r>
        <w:rPr>
          <w:rFonts w:ascii="Calibri" w:hAnsi="Calibri" w:eastAsia="Calibri"/>
          <w:color w:val="162236"/>
          <w:sz w:val="22"/>
        </w:rPr>
        <w:t>Anatomy and restorative references are aligned so planning begins from a shared case view.</w:t>
      </w:r>
    </w:p>
    <w:p>
      <w:pPr>
        <w:numPr>
          <w:ilvl w:val="0"/>
          <w:numId w:val="14"/>
        </w:numPr>
        <w:spacing w:before="0" w:after="100" w:line="300" w:lineRule="auto"/>
        <w:keepLines w:val="1"/>
      </w:pPr>
      <w:r>
        <w:rPr>
          <w:rFonts w:ascii="Calibri" w:hAnsi="Calibri" w:eastAsia="Calibri"/>
          <w:b/>
          <w:color w:val="162236"/>
          <w:sz w:val="22"/>
        </w:rPr>
        <w:t xml:space="preserve">Develop the plan and guide concept. </w:t>
      </w:r>
      <w:r>
        <w:rPr>
          <w:rFonts w:ascii="Calibri" w:hAnsi="Calibri" w:eastAsia="Calibri"/>
          <w:color w:val="162236"/>
          <w:sz w:val="22"/>
        </w:rPr>
        <w:t>The proposed implant positions and guide design are prepared around the confirmed case information and selected protocol.</w:t>
      </w:r>
    </w:p>
    <w:p>
      <w:pPr>
        <w:numPr>
          <w:ilvl w:val="0"/>
          <w:numId w:val="14"/>
        </w:numPr>
        <w:spacing w:before="0" w:after="100" w:line="300" w:lineRule="auto"/>
        <w:keepLines w:val="1"/>
      </w:pPr>
      <w:r>
        <w:rPr>
          <w:rFonts w:ascii="Calibri" w:hAnsi="Calibri" w:eastAsia="Calibri"/>
          <w:b/>
          <w:color w:val="162236"/>
          <w:sz w:val="22"/>
        </w:rPr>
        <w:t xml:space="preserve">Review and revise. </w:t>
      </w:r>
      <w:r>
        <w:rPr>
          <w:rFonts w:ascii="Calibri" w:hAnsi="Calibri" w:eastAsia="Calibri"/>
          <w:color w:val="162236"/>
          <w:sz w:val="22"/>
        </w:rPr>
        <w:t>You inspect the proposed plan, case notes and guide concept, then request changes or confirm that it is ready.</w:t>
      </w:r>
    </w:p>
    <w:p>
      <w:pPr>
        <w:numPr>
          <w:ilvl w:val="0"/>
          <w:numId w:val="14"/>
        </w:numPr>
        <w:spacing w:before="0" w:after="100" w:line="300" w:lineRule="auto"/>
        <w:keepLines w:val="1"/>
      </w:pPr>
      <w:r>
        <w:rPr>
          <w:rFonts w:ascii="Calibri" w:hAnsi="Calibri" w:eastAsia="Calibri"/>
          <w:b/>
          <w:color w:val="162236"/>
          <w:sz w:val="22"/>
        </w:rPr>
        <w:t xml:space="preserve">Approve and deliver. </w:t>
      </w:r>
      <w:r>
        <w:rPr>
          <w:rFonts w:ascii="Calibri" w:hAnsi="Calibri" w:eastAsia="Calibri"/>
          <w:color w:val="162236"/>
          <w:sz w:val="22"/>
        </w:rPr>
        <w:t>After your approval, the case moves into the selected file-delivery or production scope.</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Start a Guided Implant Case</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See How It Works</w:t>
      </w:r>
    </w:p>
    <w:p>
      <w:pPr>
        <w:spacing w:before="0" w:after="60" w:line="300" w:lineRule="auto"/>
        <w:jc w:val="left"/>
        <w:keepNext w:val="1"/>
        <w:keepLines w:val="1"/>
      </w:pPr>
      <w:r>
        <w:rPr>
          <w:rFonts w:ascii="Calibri" w:hAnsi="Calibri" w:eastAsia="Calibri"/>
          <w:b w:val="0"/>
          <w:i/>
          <w:color w:val="5F6B7A"/>
          <w:sz w:val="19"/>
        </w:rPr>
        <w:t>Psychological job: Reduce operational uncertainty by showing named stages and a visible approval gate.</w:t>
      </w:r>
    </w:p>
    <w:p>
      <w:pPr>
        <w:spacing w:before="0" w:after="60" w:line="300" w:lineRule="auto"/>
        <w:jc w:val="left"/>
        <w:keepNext w:val="1"/>
        <w:keepLines w:val="1"/>
      </w:pPr>
      <w:r>
        <w:rPr>
          <w:rFonts w:ascii="Calibri" w:hAnsi="Calibri" w:eastAsia="Calibri"/>
          <w:b w:val="0"/>
          <w:i w:val="0"/>
          <w:color w:val="5F6B7A"/>
          <w:sz w:val="19"/>
        </w:rPr>
        <w:t>Visual direction: Use a six-step horizontal path on desktop and a vertical progress line on mobile. White dominates; completed examples use the master blue.</w:t>
      </w:r>
    </w:p>
    <w:p>
      <w:pPr>
        <w:spacing w:before="0" w:after="60" w:line="300" w:lineRule="auto"/>
        <w:jc w:val="left"/>
        <w:keepNext w:val="1"/>
        <w:keepLines w:val="1"/>
      </w:pPr>
      <w:r>
        <w:rPr>
          <w:rFonts w:ascii="Calibri" w:hAnsi="Calibri" w:eastAsia="Calibri"/>
          <w:b w:val="0"/>
          <w:i w:val="0"/>
          <w:color w:val="5F6B7A"/>
          <w:sz w:val="19"/>
        </w:rPr>
        <w:t>Mobile: Never compress all six steps into a tiny horizontal diagram. Keep one step per viewport zone.</w:t>
      </w:r>
    </w:p>
    <w:p>
      <w:pPr>
        <w:spacing w:before="0" w:after="140" w:line="300" w:lineRule="auto"/>
        <w:jc w:val="left"/>
        <w:keepLines w:val="1"/>
      </w:pPr>
      <w:r>
        <w:rPr>
          <w:rFonts w:ascii="Calibri" w:hAnsi="Calibri" w:eastAsia="Calibri"/>
          <w:b w:val="0"/>
          <w:i w:val="0"/>
          <w:color w:val="5F6B7A"/>
          <w:sz w:val="19"/>
        </w:rPr>
        <w:t>Implementation: Use the same stage names in marketing, portal onboarding and operational notifications wherever the underlying system supports them.</w:t>
      </w:r>
    </w:p>
    <w:p>
      <w:pPr>
        <w:pStyle w:val="Heading2"/>
        <w:pageBreakBefore w:val="1"/>
        <w:keepNext w:val="1"/>
        <w:keepLines w:val="1"/>
      </w:pPr>
      <w:r>
        <w:t>Section 5 - Clinician review</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You remain in control of the clinical plan.</w:t>
      </w:r>
    </w:p>
    <w:p>
      <w:pPr>
        <w:spacing w:before="0" w:after="80"/>
        <w:keepNext w:val="1"/>
      </w:pPr>
      <w:r>
        <w:rPr>
          <w:rFonts w:ascii="Calibri" w:hAnsi="Calibri" w:eastAsia="Calibri"/>
          <w:b/>
          <w:color w:val="2E74B5"/>
          <w:sz w:val="19"/>
        </w:rPr>
        <w:t>BODY COPY</w:t>
      </w:r>
    </w:p>
    <w:p>
      <w:pPr>
        <w:spacing w:before="0" w:after="100" w:line="300" w:lineRule="auto"/>
        <w:jc w:val="left"/>
        <w:keepLines w:val="1"/>
      </w:pPr>
      <w:r>
        <w:rPr>
          <w:rFonts w:ascii="Calibri" w:hAnsi="Calibri" w:eastAsia="Calibri"/>
          <w:b w:val="0"/>
          <w:i w:val="0"/>
          <w:color w:val="162236"/>
          <w:sz w:val="24"/>
        </w:rPr>
        <w:t>Image3DConversion prepares and coordinates the digital workflow. The treating clinician reviews the proposed plan, requests changes where needed and gives the approval that moves the case to production.</w:t>
      </w:r>
    </w:p>
    <w:p>
      <w:pPr>
        <w:spacing w:before="0" w:after="80"/>
        <w:keepNext w:val="1"/>
      </w:pPr>
      <w:r>
        <w:rPr>
          <w:rFonts w:ascii="Calibri" w:hAnsi="Calibri" w:eastAsia="Calibri"/>
          <w:b/>
          <w:color w:val="2E74B5"/>
          <w:sz w:val="19"/>
        </w:rPr>
        <w:t>INTERFACE LABEL</w:t>
      </w:r>
    </w:p>
    <w:p>
      <w:pPr>
        <w:spacing w:before="0" w:after="100" w:line="300" w:lineRule="auto"/>
        <w:jc w:val="left"/>
        <w:keepLines w:val="1"/>
      </w:pPr>
      <w:r>
        <w:rPr>
          <w:rFonts w:ascii="Calibri" w:hAnsi="Calibri" w:eastAsia="Calibri"/>
          <w:b w:val="0"/>
          <w:i w:val="0"/>
          <w:color w:val="162236"/>
          <w:sz w:val="24"/>
        </w:rPr>
        <w:t>READY FOR REVIEW</w:t>
      </w:r>
    </w:p>
    <w:p>
      <w:pPr>
        <w:spacing w:before="0" w:after="80"/>
        <w:keepNext w:val="1"/>
      </w:pPr>
      <w:r>
        <w:rPr>
          <w:rFonts w:ascii="Calibri" w:hAnsi="Calibri" w:eastAsia="Calibri"/>
          <w:b/>
          <w:color w:val="2E74B5"/>
          <w:sz w:val="19"/>
        </w:rPr>
        <w:t>INTERFACE MESSAGE</w:t>
      </w:r>
    </w:p>
    <w:p>
      <w:pPr>
        <w:spacing w:before="0" w:after="100" w:line="300" w:lineRule="auto"/>
        <w:jc w:val="left"/>
        <w:keepLines w:val="1"/>
      </w:pPr>
      <w:r>
        <w:rPr>
          <w:rFonts w:ascii="Calibri" w:hAnsi="Calibri" w:eastAsia="Calibri"/>
          <w:b w:val="0"/>
          <w:i w:val="0"/>
          <w:color w:val="162236"/>
          <w:sz w:val="24"/>
        </w:rPr>
        <w:t>Review the proposed implant position, guide concept and case-specific notes before production.</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Approve for Production</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Request Changes</w:t>
      </w:r>
    </w:p>
    <w:p>
      <w:pPr>
        <w:pStyle w:val="Heading3"/>
        <w:keepNext w:val="1"/>
        <w:keepLines w:val="1"/>
      </w:pPr>
      <w:r>
        <w:t>Review prompts visible beside the plan</w:t>
      </w:r>
    </w:p>
    <w:p>
      <w:pPr>
        <w:numPr>
          <w:ilvl w:val="0"/>
          <w:numId w:val="15"/>
        </w:numPr>
        <w:spacing w:before="0" w:after="80" w:line="300" w:lineRule="auto"/>
        <w:keepLines w:val="1"/>
      </w:pPr>
      <w:r>
        <w:rPr>
          <w:rFonts w:ascii="Calibri" w:hAnsi="Calibri" w:eastAsia="Calibri"/>
          <w:color w:val="162236"/>
          <w:sz w:val="22"/>
        </w:rPr>
        <w:t>Planned site, implant system and proposed dimensions.</w:t>
      </w:r>
    </w:p>
    <w:p>
      <w:pPr>
        <w:numPr>
          <w:ilvl w:val="0"/>
          <w:numId w:val="15"/>
        </w:numPr>
        <w:spacing w:before="0" w:after="80" w:line="300" w:lineRule="auto"/>
        <w:keepLines w:val="1"/>
      </w:pPr>
      <w:r>
        <w:rPr>
          <w:rFonts w:ascii="Calibri" w:hAnsi="Calibri" w:eastAsia="Calibri"/>
          <w:color w:val="162236"/>
          <w:sz w:val="22"/>
        </w:rPr>
        <w:t>Position, angulation and depth in relation to the available records.</w:t>
      </w:r>
    </w:p>
    <w:p>
      <w:pPr>
        <w:numPr>
          <w:ilvl w:val="0"/>
          <w:numId w:val="15"/>
        </w:numPr>
        <w:spacing w:before="0" w:after="80" w:line="300" w:lineRule="auto"/>
        <w:keepLines w:val="1"/>
      </w:pPr>
      <w:r>
        <w:rPr>
          <w:rFonts w:ascii="Calibri" w:hAnsi="Calibri" w:eastAsia="Calibri"/>
          <w:color w:val="162236"/>
          <w:sz w:val="22"/>
        </w:rPr>
        <w:t>Relationship to the restorative objective.</w:t>
      </w:r>
    </w:p>
    <w:p>
      <w:pPr>
        <w:numPr>
          <w:ilvl w:val="0"/>
          <w:numId w:val="15"/>
        </w:numPr>
        <w:spacing w:before="0" w:after="80" w:line="300" w:lineRule="auto"/>
        <w:keepLines w:val="1"/>
      </w:pPr>
      <w:r>
        <w:rPr>
          <w:rFonts w:ascii="Calibri" w:hAnsi="Calibri" w:eastAsia="Calibri"/>
          <w:color w:val="162236"/>
          <w:sz w:val="22"/>
        </w:rPr>
        <w:t>Guide support, seating and access concept.</w:t>
      </w:r>
    </w:p>
    <w:p>
      <w:pPr>
        <w:numPr>
          <w:ilvl w:val="0"/>
          <w:numId w:val="15"/>
        </w:numPr>
        <w:spacing w:before="0" w:after="80" w:line="300" w:lineRule="auto"/>
        <w:keepLines w:val="1"/>
      </w:pPr>
      <w:r>
        <w:rPr>
          <w:rFonts w:ascii="Calibri" w:hAnsi="Calibri" w:eastAsia="Calibri"/>
          <w:color w:val="162236"/>
          <w:sz w:val="22"/>
        </w:rPr>
        <w:t>Guided drilling sequence and case-specific notes where confirmed.</w:t>
      </w:r>
    </w:p>
    <w:p>
      <w:pPr>
        <w:numPr>
          <w:ilvl w:val="0"/>
          <w:numId w:val="15"/>
        </w:numPr>
        <w:spacing w:before="0" w:after="80" w:line="300" w:lineRule="auto"/>
        <w:keepLines w:val="1"/>
      </w:pPr>
      <w:r>
        <w:rPr>
          <w:rFonts w:ascii="Calibri" w:hAnsi="Calibri" w:eastAsia="Calibri"/>
          <w:color w:val="162236"/>
          <w:sz w:val="22"/>
        </w:rPr>
        <w:t>Items requiring the treating clinician's judgement or confirmation.</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APPROVAL MEANING  </w:t>
      </w:r>
      <w:r>
        <w:rPr>
          <w:rFonts w:ascii="Calibri" w:hAnsi="Calibri" w:eastAsia="Calibri"/>
          <w:b w:val="0"/>
          <w:color w:val="162236"/>
          <w:sz w:val="22"/>
        </w:rPr>
        <w:t>Approval records the clinician's decision to proceed with the displayed plan and selected production scope. It is not a guarantee of a clinical outcome.</w:t>
      </w:r>
    </w:p>
    <w:p>
      <w:pPr>
        <w:spacing w:before="0" w:after="60" w:line="300" w:lineRule="auto"/>
        <w:jc w:val="left"/>
        <w:keepNext w:val="1"/>
        <w:keepLines w:val="1"/>
      </w:pPr>
      <w:r>
        <w:rPr>
          <w:rFonts w:ascii="Calibri" w:hAnsi="Calibri" w:eastAsia="Calibri"/>
          <w:b w:val="0"/>
          <w:i/>
          <w:color w:val="5F6B7A"/>
          <w:sz w:val="19"/>
        </w:rPr>
        <w:t>Psychological job: Make authority and responsibility visible. This increases trust because the service does not pretend to replace the clinician.</w:t>
      </w:r>
    </w:p>
    <w:p>
      <w:pPr>
        <w:spacing w:before="0" w:after="60" w:line="300" w:lineRule="auto"/>
        <w:jc w:val="left"/>
        <w:keepNext w:val="1"/>
        <w:keepLines w:val="1"/>
      </w:pPr>
      <w:r>
        <w:rPr>
          <w:rFonts w:ascii="Calibri" w:hAnsi="Calibri" w:eastAsia="Calibri"/>
          <w:b w:val="0"/>
          <w:i w:val="0"/>
          <w:color w:val="5F6B7A"/>
          <w:sz w:val="19"/>
        </w:rPr>
        <w:t>Visual direction: Show a clean, de-identified plan-review screen with one blue approval action and one outlined revision action.</w:t>
      </w:r>
    </w:p>
    <w:p>
      <w:pPr>
        <w:spacing w:before="0" w:after="60" w:line="300" w:lineRule="auto"/>
        <w:jc w:val="left"/>
        <w:keepNext w:val="1"/>
        <w:keepLines w:val="1"/>
      </w:pPr>
      <w:r>
        <w:rPr>
          <w:rFonts w:ascii="Calibri" w:hAnsi="Calibri" w:eastAsia="Calibri"/>
          <w:b w:val="0"/>
          <w:i w:val="0"/>
          <w:color w:val="5F6B7A"/>
          <w:sz w:val="19"/>
        </w:rPr>
        <w:t>Mobile: Keep critical plan notes above the approval button. Require intentional confirmation; do not place approve and request-changes controls too close together.</w:t>
      </w:r>
    </w:p>
    <w:p>
      <w:pPr>
        <w:spacing w:before="0" w:after="140" w:line="300" w:lineRule="auto"/>
        <w:jc w:val="left"/>
        <w:keepLines w:val="1"/>
      </w:pPr>
      <w:r>
        <w:rPr>
          <w:rFonts w:ascii="Calibri" w:hAnsi="Calibri" w:eastAsia="Calibri"/>
          <w:b w:val="0"/>
          <w:i w:val="0"/>
          <w:color w:val="5F6B7A"/>
          <w:sz w:val="19"/>
        </w:rPr>
        <w:t>Implementation: The public mock-up must match real portal terminology. If the portal uses different states, update the page and portal together.</w:t>
      </w:r>
    </w:p>
    <w:p>
      <w:pPr>
        <w:pStyle w:val="Heading2"/>
        <w:pageBreakBefore w:val="1"/>
        <w:keepNext w:val="1"/>
        <w:keepLines w:val="1"/>
      </w:pPr>
      <w:r>
        <w:t>Section 6 - Case requirements</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Send the records that make the plan useful.</w:t>
      </w:r>
    </w:p>
    <w:p>
      <w:pPr>
        <w:spacing w:before="0" w:after="80"/>
        <w:keepNext w:val="1"/>
      </w:pPr>
      <w:r>
        <w:rPr>
          <w:rFonts w:ascii="Calibri" w:hAnsi="Calibri" w:eastAsia="Calibri"/>
          <w:b/>
          <w:color w:val="2E74B5"/>
          <w:sz w:val="19"/>
        </w:rPr>
        <w:t>INTRO</w:t>
      </w:r>
    </w:p>
    <w:p>
      <w:pPr>
        <w:spacing w:before="0" w:after="100" w:line="300" w:lineRule="auto"/>
        <w:jc w:val="left"/>
        <w:keepLines w:val="1"/>
      </w:pPr>
      <w:r>
        <w:rPr>
          <w:rFonts w:ascii="Calibri" w:hAnsi="Calibri" w:eastAsia="Calibri"/>
          <w:b w:val="0"/>
          <w:i w:val="0"/>
          <w:color w:val="162236"/>
          <w:sz w:val="24"/>
        </w:rPr>
        <w:t>The exact requirement depends on the case. These are the records most guided implant workflows begin with.</w:t>
      </w:r>
    </w:p>
    <w:p>
      <w:pPr>
        <w:spacing w:before="80" w:after="40"/>
        <w:keepNext w:val="1"/>
      </w:pPr>
      <w:r>
        <w:rPr>
          <w:rFonts w:ascii="Calibri" w:hAnsi="Calibri" w:eastAsia="Calibri"/>
          <w:b/>
          <w:color w:val="1F4D78"/>
          <w:sz w:val="23"/>
        </w:rPr>
        <w:t>CBCT data</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Original DICOM series with the anatomy required for the planned sites. Screenshots and compressed image exports are not substitutes for the source data.</w:t>
      </w:r>
    </w:p>
    <w:p>
      <w:pPr>
        <w:spacing w:before="80" w:after="40"/>
        <w:keepNext w:val="1"/>
      </w:pPr>
      <w:r>
        <w:rPr>
          <w:rFonts w:ascii="Calibri" w:hAnsi="Calibri" w:eastAsia="Calibri"/>
          <w:b/>
          <w:color w:val="1F4D78"/>
          <w:sz w:val="23"/>
        </w:rPr>
        <w:t>Surface scan</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An intraoral scan, model scan or other relevant surface record in the accepted file format for the case.</w:t>
      </w:r>
    </w:p>
    <w:p>
      <w:pPr>
        <w:spacing w:before="80" w:after="40"/>
        <w:keepNext w:val="1"/>
      </w:pPr>
      <w:r>
        <w:rPr>
          <w:rFonts w:ascii="Calibri" w:hAnsi="Calibri" w:eastAsia="Calibri"/>
          <w:b/>
          <w:color w:val="1F4D78"/>
          <w:sz w:val="23"/>
        </w:rPr>
        <w:t>Restorative reference</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Diagnostic wax-up, proposed crown position, provisional, existing prosthesis or another clear reference for the intended outcome where applicable.</w:t>
      </w:r>
    </w:p>
    <w:p>
      <w:pPr>
        <w:spacing w:before="80" w:after="40"/>
        <w:keepNext w:val="1"/>
      </w:pPr>
      <w:r>
        <w:rPr>
          <w:rFonts w:ascii="Calibri" w:hAnsi="Calibri" w:eastAsia="Calibri"/>
          <w:b/>
          <w:color w:val="1F4D78"/>
          <w:sz w:val="23"/>
        </w:rPr>
        <w:t>Bite and occlusal information</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The bite record and opposing arch data needed to understand the restorative relationship where applicable.</w:t>
      </w:r>
    </w:p>
    <w:p>
      <w:pPr>
        <w:spacing w:before="80" w:after="40"/>
        <w:keepNext w:val="1"/>
      </w:pPr>
      <w:r>
        <w:rPr>
          <w:rFonts w:ascii="Calibri" w:hAnsi="Calibri" w:eastAsia="Calibri"/>
          <w:b/>
          <w:color w:val="1F4D78"/>
          <w:sz w:val="23"/>
        </w:rPr>
        <w:t>Implant and guided-kit details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The intended implant system, guided surgery kit and relevant protocol information available to the practice.</w:t>
      </w:r>
    </w:p>
    <w:p>
      <w:pPr>
        <w:spacing w:before="80" w:after="40"/>
        <w:keepNext w:val="1"/>
      </w:pPr>
      <w:r>
        <w:rPr>
          <w:rFonts w:ascii="Calibri" w:hAnsi="Calibri" w:eastAsia="Calibri"/>
          <w:b/>
          <w:color w:val="1F4D78"/>
          <w:sz w:val="23"/>
        </w:rPr>
        <w:t>Case brief</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Planned sites, clinical objective, relevant history or findings, preferred scope and any constraints the planning team should know.</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View Complete Case Requirements</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Start a Guided Implant Case</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PATIENT-DATA BOUNDARY  </w:t>
      </w:r>
      <w:r>
        <w:rPr>
          <w:rFonts w:ascii="Calibri" w:hAnsi="Calibri" w:eastAsia="Calibri"/>
          <w:b w:val="0"/>
          <w:color w:val="162236"/>
          <w:sz w:val="22"/>
        </w:rPr>
        <w:t>Do not email or attach patient records through this public page. Start the case in the secure Case Portal and follow the current upload instructions.</w:t>
      </w:r>
    </w:p>
    <w:p>
      <w:pPr>
        <w:spacing w:before="0" w:after="60" w:line="300" w:lineRule="auto"/>
        <w:jc w:val="left"/>
        <w:keepNext w:val="1"/>
        <w:keepLines w:val="1"/>
      </w:pPr>
      <w:r>
        <w:rPr>
          <w:rFonts w:ascii="Calibri" w:hAnsi="Calibri" w:eastAsia="Calibri"/>
          <w:b w:val="0"/>
          <w:i/>
          <w:color w:val="5F6B7A"/>
          <w:sz w:val="19"/>
        </w:rPr>
        <w:t>Psychological job: Turn a vague submission request into a preparation checklist, reducing abandoned or incomplete case starts.</w:t>
      </w:r>
    </w:p>
    <w:p>
      <w:pPr>
        <w:spacing w:before="0" w:after="60" w:line="300" w:lineRule="auto"/>
        <w:jc w:val="left"/>
        <w:keepNext w:val="1"/>
        <w:keepLines w:val="1"/>
      </w:pPr>
      <w:r>
        <w:rPr>
          <w:rFonts w:ascii="Calibri" w:hAnsi="Calibri" w:eastAsia="Calibri"/>
          <w:b w:val="0"/>
          <w:i w:val="0"/>
          <w:color w:val="5F6B7A"/>
          <w:sz w:val="19"/>
        </w:rPr>
        <w:t>Visual direction: Use real file previews and scan thumbnails with all identifiers removed. Pair each requirement with the reason it matters.</w:t>
      </w:r>
    </w:p>
    <w:p>
      <w:pPr>
        <w:spacing w:before="0" w:after="60" w:line="300" w:lineRule="auto"/>
        <w:jc w:val="left"/>
        <w:keepNext w:val="1"/>
        <w:keepLines w:val="1"/>
      </w:pPr>
      <w:r>
        <w:rPr>
          <w:rFonts w:ascii="Calibri" w:hAnsi="Calibri" w:eastAsia="Calibri"/>
          <w:b w:val="0"/>
          <w:i w:val="0"/>
          <w:color w:val="5F6B7A"/>
          <w:sz w:val="19"/>
        </w:rPr>
        <w:t>Mobile: Show six compact expandable items. Keep the complete requirements link visible without forcing every detail open.</w:t>
      </w:r>
    </w:p>
    <w:p>
      <w:pPr>
        <w:spacing w:before="0" w:after="140" w:line="300" w:lineRule="auto"/>
        <w:jc w:val="left"/>
        <w:keepLines w:val="1"/>
      </w:pPr>
      <w:r>
        <w:rPr>
          <w:rFonts w:ascii="Calibri" w:hAnsi="Calibri" w:eastAsia="Calibri"/>
          <w:b w:val="0"/>
          <w:i w:val="0"/>
          <w:color w:val="5F6B7A"/>
          <w:sz w:val="19"/>
        </w:rPr>
        <w:t>Implementation: Accepted formats, scan protocols and upload limits must come from the live operations standard before publication.</w:t>
      </w:r>
    </w:p>
    <w:p>
      <w:pPr>
        <w:pStyle w:val="Heading2"/>
        <w:keepNext w:val="1"/>
        <w:keepLines w:val="1"/>
      </w:pPr>
      <w:r>
        <w:t>Section 7 - Ways to work</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Choose the level of support you need.</w:t>
      </w:r>
    </w:p>
    <w:p>
      <w:pPr>
        <w:spacing w:before="80" w:after="40"/>
        <w:keepNext w:val="1"/>
      </w:pPr>
      <w:r>
        <w:rPr>
          <w:rFonts w:ascii="Calibri" w:hAnsi="Calibri" w:eastAsia="Calibri"/>
          <w:b/>
          <w:color w:val="1F4D78"/>
          <w:sz w:val="23"/>
        </w:rPr>
        <w:t>Design-only workflow</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Receive the agreed planning and ready-to-produce guide files for your own validated production route. Deliverables are confirmed before work begins.</w:t>
      </w:r>
      <w:r>
        <w:rPr>
          <w:rFonts w:ascii="Calibri" w:hAnsi="Calibri" w:eastAsia="Calibri"/>
          <w:b/>
          <w:color w:val="2E74B5"/>
          <w:sz w:val="19"/>
        </w:rPr>
        <w:t xml:space="preserve">  Link label: Start a Design-Only Case</w:t>
      </w:r>
    </w:p>
    <w:p>
      <w:pPr>
        <w:spacing w:before="80" w:after="40"/>
        <w:keepNext w:val="1"/>
      </w:pPr>
      <w:r>
        <w:rPr>
          <w:rFonts w:ascii="Calibri" w:hAnsi="Calibri" w:eastAsia="Calibri"/>
          <w:b/>
          <w:color w:val="1F4D78"/>
          <w:sz w:val="23"/>
        </w:rPr>
        <w:t>Design-to-delivery workflow</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Coordinate planning, guide design, production and delivery through one case journey, based on the confirmed scope and destination.</w:t>
      </w:r>
      <w:r>
        <w:rPr>
          <w:rFonts w:ascii="Calibri" w:hAnsi="Calibri" w:eastAsia="Calibri"/>
          <w:b/>
          <w:color w:val="2E74B5"/>
          <w:sz w:val="19"/>
        </w:rPr>
        <w:t xml:space="preserve">  Link label: Start a Guided Implant Case</w:t>
      </w:r>
    </w:p>
    <w:p>
      <w:pPr>
        <w:spacing w:before="80" w:after="40"/>
        <w:keepNext w:val="1"/>
      </w:pPr>
      <w:r>
        <w:rPr>
          <w:rFonts w:ascii="Calibri" w:hAnsi="Calibri" w:eastAsia="Calibri"/>
          <w:b/>
          <w:color w:val="1F4D78"/>
          <w:sz w:val="23"/>
        </w:rPr>
        <w:t>White-label workflow partnership</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Add planning and guide-design capacity behind your laboratory, practice group, implant system or overseas workflow.</w:t>
      </w:r>
      <w:r>
        <w:rPr>
          <w:rFonts w:ascii="Calibri" w:hAnsi="Calibri" w:eastAsia="Calibri"/>
          <w:b/>
          <w:color w:val="2E74B5"/>
          <w:sz w:val="19"/>
        </w:rPr>
        <w:t xml:space="preserve">  Link label: Discuss a Partnership</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OPERATIONS GATE  </w:t>
      </w:r>
      <w:r>
        <w:rPr>
          <w:rFonts w:ascii="Calibri" w:hAnsi="Calibri" w:eastAsia="Calibri"/>
          <w:b w:val="0"/>
          <w:color w:val="162236"/>
          <w:sz w:val="22"/>
        </w:rPr>
        <w:t>Do not publish component lists, production locations, delivery regions or turnaround bands until operations has confirmed them for each scope.</w:t>
      </w:r>
    </w:p>
    <w:p>
      <w:pPr>
        <w:spacing w:before="0" w:after="60" w:line="300" w:lineRule="auto"/>
        <w:jc w:val="left"/>
        <w:keepNext w:val="1"/>
        <w:keepLines w:val="1"/>
      </w:pPr>
      <w:r>
        <w:rPr>
          <w:rFonts w:ascii="Calibri" w:hAnsi="Calibri" w:eastAsia="Calibri"/>
          <w:b w:val="0"/>
          <w:i/>
          <w:color w:val="5F6B7A"/>
          <w:sz w:val="19"/>
        </w:rPr>
        <w:t>Psychological job: Let practices choose autonomy without turning the page into a price or product catalogue.</w:t>
      </w:r>
    </w:p>
    <w:p>
      <w:pPr>
        <w:spacing w:before="0" w:after="60" w:line="300" w:lineRule="auto"/>
        <w:jc w:val="left"/>
        <w:keepNext w:val="1"/>
        <w:keepLines w:val="1"/>
      </w:pPr>
      <w:r>
        <w:rPr>
          <w:rFonts w:ascii="Calibri" w:hAnsi="Calibri" w:eastAsia="Calibri"/>
          <w:b w:val="0"/>
          <w:i w:val="0"/>
          <w:color w:val="5F6B7A"/>
          <w:sz w:val="19"/>
        </w:rPr>
        <w:t>Visual direction: Three wide cards on white with one consistent real-case image family. Use master-blue labels, not colour coding.</w:t>
      </w:r>
    </w:p>
    <w:p>
      <w:pPr>
        <w:spacing w:before="0" w:after="60" w:line="300" w:lineRule="auto"/>
        <w:jc w:val="left"/>
        <w:keepNext w:val="1"/>
        <w:keepLines w:val="1"/>
      </w:pPr>
      <w:r>
        <w:rPr>
          <w:rFonts w:ascii="Calibri" w:hAnsi="Calibri" w:eastAsia="Calibri"/>
          <w:b w:val="0"/>
          <w:i w:val="0"/>
          <w:color w:val="5F6B7A"/>
          <w:sz w:val="19"/>
        </w:rPr>
        <w:t>Mobile: Stack the scopes and keep the difference in the first sentence. Do not hide scope conditions in a tooltip.</w:t>
      </w:r>
    </w:p>
    <w:p>
      <w:pPr>
        <w:spacing w:before="0" w:after="140" w:line="300" w:lineRule="auto"/>
        <w:jc w:val="left"/>
        <w:keepLines w:val="1"/>
      </w:pPr>
      <w:r>
        <w:rPr>
          <w:rFonts w:ascii="Calibri" w:hAnsi="Calibri" w:eastAsia="Calibri"/>
          <w:b w:val="0"/>
          <w:i w:val="0"/>
          <w:color w:val="5F6B7A"/>
          <w:sz w:val="19"/>
        </w:rPr>
        <w:t>Implementation: The selected scope must carry into the portal case form and quotation logic.</w:t>
      </w:r>
    </w:p>
    <w:p>
      <w:pPr>
        <w:pStyle w:val="Heading2"/>
        <w:pageBreakBefore w:val="1"/>
        <w:keepNext w:val="1"/>
        <w:keepLines w:val="1"/>
      </w:pPr>
      <w:r>
        <w:t>Section 8 - Case evidence module</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See how one case moved from records to guide.</w:t>
      </w:r>
    </w:p>
    <w:p>
      <w:pPr>
        <w:spacing w:before="0" w:after="80"/>
        <w:keepNext w:val="1"/>
      </w:pPr>
      <w:r>
        <w:rPr>
          <w:rFonts w:ascii="Calibri" w:hAnsi="Calibri" w:eastAsia="Calibri"/>
          <w:b/>
          <w:color w:val="2E74B5"/>
          <w:sz w:val="19"/>
        </w:rPr>
        <w:t>INTRO</w:t>
      </w:r>
    </w:p>
    <w:p>
      <w:pPr>
        <w:spacing w:before="0" w:after="100" w:line="300" w:lineRule="auto"/>
        <w:jc w:val="left"/>
        <w:keepLines w:val="1"/>
      </w:pPr>
      <w:r>
        <w:rPr>
          <w:rFonts w:ascii="Calibri" w:hAnsi="Calibri" w:eastAsia="Calibri"/>
          <w:b w:val="0"/>
          <w:i w:val="0"/>
          <w:color w:val="162236"/>
          <w:sz w:val="24"/>
        </w:rPr>
        <w:t>The strongest proof is one connected case, shown from the original records through the approved planning decision and delivered guide.</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00"/>
        <w:gridCol w:w="4220"/>
        <w:gridCol w:w="3440"/>
      </w:tblGrid>
      <w:tr>
        <w:trPr>
          <w:tblHeader w:val="true"/>
        </w:trPr>
        <w:tc>
          <w:tcPr>
            <w:tcW w:type="dxa" w:w="17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Evidence frame</w:t>
            </w:r>
          </w:p>
        </w:tc>
        <w:tc>
          <w:tcPr>
            <w:tcW w:type="dxa" w:w="422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Visible caption pattern</w:t>
            </w:r>
          </w:p>
        </w:tc>
        <w:tc>
          <w:tcPr>
            <w:tcW w:type="dxa" w:w="344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Required proof</w:t>
            </w:r>
          </w:p>
        </w:tc>
      </w:tr>
      <w:t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1. Case objective</w:t>
            </w:r>
          </w:p>
        </w:tc>
        <w:tc>
          <w:tcPr>
            <w:tcW w:type="dxa" w:w="42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What the treating clinician asked the workflow to support.</w:t>
            </w:r>
          </w:p>
        </w:tc>
        <w:tc>
          <w:tcPr>
            <w:tcW w:type="dxa" w:w="3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Approved, de-identified case brief.</w:t>
            </w:r>
          </w:p>
        </w:tc>
      </w:tr>
      <w:t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2. Records received</w:t>
            </w:r>
          </w:p>
        </w:tc>
        <w:tc>
          <w:tcPr>
            <w:tcW w:type="dxa" w:w="42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Which anatomy and restorative references were available.</w:t>
            </w:r>
          </w:p>
        </w:tc>
        <w:tc>
          <w:tcPr>
            <w:tcW w:type="dxa" w:w="3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Usable source records with identifiers removed.</w:t>
            </w:r>
          </w:p>
        </w:tc>
      </w:tr>
      <w:t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3. Planning decision</w:t>
            </w:r>
          </w:p>
        </w:tc>
        <w:tc>
          <w:tcPr>
            <w:tcW w:type="dxa" w:w="42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What relationship or constraint shaped the proposed plan.</w:t>
            </w:r>
          </w:p>
        </w:tc>
        <w:tc>
          <w:tcPr>
            <w:tcW w:type="dxa" w:w="3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Real planning screen and confirmed explanatory note.</w:t>
            </w:r>
          </w:p>
        </w:tc>
      </w:tr>
      <w:t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4. Clinician review</w:t>
            </w:r>
          </w:p>
        </w:tc>
        <w:tc>
          <w:tcPr>
            <w:tcW w:type="dxa" w:w="42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What was reviewed, revised or approved.</w:t>
            </w:r>
          </w:p>
        </w:tc>
        <w:tc>
          <w:tcPr>
            <w:tcW w:type="dxa" w:w="3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Permission to show the review step without portal identifiers.</w:t>
            </w:r>
          </w:p>
        </w:tc>
      </w:tr>
      <w:tr>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5. Delivered scope</w:t>
            </w:r>
          </w:p>
        </w:tc>
        <w:tc>
          <w:tcPr>
            <w:tcW w:type="dxa" w:w="42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What files or guide were delivered for the selected scope.</w:t>
            </w:r>
          </w:p>
        </w:tc>
        <w:tc>
          <w:tcPr>
            <w:tcW w:type="dxa" w:w="344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Real final asset and accurate caption.</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PUBLICATION GATE  </w:t>
      </w:r>
      <w:r>
        <w:rPr>
          <w:rFonts w:ascii="Calibri" w:hAnsi="Calibri" w:eastAsia="Calibri"/>
          <w:b w:val="0"/>
          <w:color w:val="162236"/>
          <w:sz w:val="22"/>
        </w:rPr>
        <w:t>Publish this module only when one complete case has written permission, verified captions and fully de-identified assets. If it is not ready, remove the module from Release 1 rather than replacing it with stock or generated clinical imagery.</w:t>
      </w:r>
    </w:p>
    <w:p>
      <w:pPr>
        <w:spacing w:before="0" w:after="60" w:line="300" w:lineRule="auto"/>
        <w:jc w:val="left"/>
        <w:keepNext w:val="1"/>
        <w:keepLines w:val="1"/>
      </w:pPr>
      <w:r>
        <w:rPr>
          <w:rFonts w:ascii="Calibri" w:hAnsi="Calibri" w:eastAsia="Calibri"/>
          <w:b w:val="0"/>
          <w:i/>
          <w:color w:val="5F6B7A"/>
          <w:sz w:val="19"/>
        </w:rPr>
        <w:t>Psychological job: Demonstrate reasoning and continuity instead of relying on a gallery of impressive but disconnected images.</w:t>
      </w:r>
    </w:p>
    <w:p>
      <w:pPr>
        <w:spacing w:before="0" w:after="60" w:line="300" w:lineRule="auto"/>
        <w:jc w:val="left"/>
        <w:keepNext w:val="1"/>
        <w:keepLines w:val="1"/>
      </w:pPr>
      <w:r>
        <w:rPr>
          <w:rFonts w:ascii="Calibri" w:hAnsi="Calibri" w:eastAsia="Calibri"/>
          <w:b w:val="0"/>
          <w:i w:val="0"/>
          <w:color w:val="5F6B7A"/>
          <w:sz w:val="19"/>
        </w:rPr>
        <w:t>Visual direction: A left-to-right case strip on desktop and a five-frame vertical story on mobile. Every image belongs to the same case.</w:t>
      </w:r>
    </w:p>
    <w:p>
      <w:pPr>
        <w:spacing w:before="0" w:after="60" w:line="300" w:lineRule="auto"/>
        <w:jc w:val="left"/>
        <w:keepNext w:val="1"/>
        <w:keepLines w:val="1"/>
      </w:pPr>
      <w:r>
        <w:rPr>
          <w:rFonts w:ascii="Calibri" w:hAnsi="Calibri" w:eastAsia="Calibri"/>
          <w:b w:val="0"/>
          <w:i w:val="0"/>
          <w:color w:val="5F6B7A"/>
          <w:sz w:val="19"/>
        </w:rPr>
        <w:t>Mobile: Use tap-to-expand for clinical detail, but keep the caption and stage visible without interaction.</w:t>
      </w:r>
    </w:p>
    <w:p>
      <w:pPr>
        <w:spacing w:before="0" w:after="140" w:line="300" w:lineRule="auto"/>
        <w:jc w:val="left"/>
        <w:keepLines w:val="1"/>
      </w:pPr>
      <w:r>
        <w:rPr>
          <w:rFonts w:ascii="Calibri" w:hAnsi="Calibri" w:eastAsia="Calibri"/>
          <w:b w:val="0"/>
          <w:i w:val="0"/>
          <w:color w:val="5F6B7A"/>
          <w:sz w:val="19"/>
        </w:rPr>
        <w:t>Implementation: Do not publish patient outcome language unless the evidence, consent and clinical authorship support it.</w:t>
      </w:r>
    </w:p>
    <w:p>
      <w:pPr>
        <w:pStyle w:val="Heading2"/>
        <w:pageBreakBefore w:val="1"/>
        <w:keepNext w:val="1"/>
        <w:keepLines w:val="1"/>
      </w:pPr>
      <w:r>
        <w:t>Section 9 - Boundaries and reassurance</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Clear boundaries. Fewer surprises.</w:t>
      </w:r>
    </w:p>
    <w:p>
      <w:pPr>
        <w:spacing w:before="80" w:after="40"/>
        <w:keepNext w:val="1"/>
      </w:pPr>
      <w:r>
        <w:rPr>
          <w:rFonts w:ascii="Calibri" w:hAnsi="Calibri" w:eastAsia="Calibri"/>
          <w:b/>
          <w:color w:val="1F4D78"/>
          <w:sz w:val="23"/>
        </w:rPr>
        <w:t>What Image3DConversion coordinates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Data checks for the selected workflow, digital planning preparation, guide design, review communication and the agreed production or file-delivery scope.</w:t>
      </w:r>
    </w:p>
    <w:p>
      <w:pPr>
        <w:spacing w:before="80" w:after="40"/>
        <w:keepNext w:val="1"/>
      </w:pPr>
      <w:r>
        <w:rPr>
          <w:rFonts w:ascii="Calibri" w:hAnsi="Calibri" w:eastAsia="Calibri"/>
          <w:b/>
          <w:color w:val="1F4D78"/>
          <w:sz w:val="23"/>
        </w:rPr>
        <w:t>What the treating clinician decides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Diagnosis, treatment indication, final implant and prosthetic plan, approval, surgical execution and any intraoperative change.</w:t>
      </w:r>
    </w:p>
    <w:p>
      <w:pPr>
        <w:spacing w:before="80" w:after="40"/>
        <w:keepNext w:val="1"/>
      </w:pPr>
      <w:r>
        <w:rPr>
          <w:rFonts w:ascii="Calibri" w:hAnsi="Calibri" w:eastAsia="Calibri"/>
          <w:b/>
          <w:color w:val="1F4D78"/>
          <w:sz w:val="23"/>
        </w:rPr>
        <w:t>What remains case-dependent</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Guide support, implant-system compatibility, guided sequence, component availability, production route, turnaround and delivery.</w:t>
      </w:r>
    </w:p>
    <w:p>
      <w:pPr>
        <w:spacing w:before="0" w:after="60" w:line="300" w:lineRule="auto"/>
        <w:jc w:val="left"/>
        <w:keepNext w:val="1"/>
        <w:keepLines w:val="1"/>
      </w:pPr>
      <w:r>
        <w:rPr>
          <w:rFonts w:ascii="Calibri" w:hAnsi="Calibri" w:eastAsia="Calibri"/>
          <w:b w:val="0"/>
          <w:i/>
          <w:color w:val="5F6B7A"/>
          <w:sz w:val="19"/>
        </w:rPr>
        <w:t>Psychological job: Earn confidence through clarity rather than exaggerated certainty.</w:t>
      </w:r>
    </w:p>
    <w:p>
      <w:pPr>
        <w:spacing w:before="0" w:after="60" w:line="300" w:lineRule="auto"/>
        <w:jc w:val="left"/>
        <w:keepNext w:val="1"/>
        <w:keepLines w:val="1"/>
      </w:pPr>
      <w:r>
        <w:rPr>
          <w:rFonts w:ascii="Calibri" w:hAnsi="Calibri" w:eastAsia="Calibri"/>
          <w:b w:val="0"/>
          <w:i w:val="0"/>
          <w:color w:val="5F6B7A"/>
          <w:sz w:val="19"/>
        </w:rPr>
        <w:t>Visual direction: Use three plain white panels separated by blue rules. No warning iconography is needed.</w:t>
      </w:r>
    </w:p>
    <w:p>
      <w:pPr>
        <w:spacing w:before="0" w:after="60" w:line="300" w:lineRule="auto"/>
        <w:jc w:val="left"/>
        <w:keepNext w:val="1"/>
        <w:keepLines w:val="1"/>
      </w:pPr>
      <w:r>
        <w:rPr>
          <w:rFonts w:ascii="Calibri" w:hAnsi="Calibri" w:eastAsia="Calibri"/>
          <w:b w:val="0"/>
          <w:i w:val="0"/>
          <w:color w:val="5F6B7A"/>
          <w:sz w:val="19"/>
        </w:rPr>
        <w:t>Mobile: Keep the three labels visible and the body concise; avoid a dense legal accordion.</w:t>
      </w:r>
    </w:p>
    <w:p>
      <w:pPr>
        <w:spacing w:before="0" w:after="140" w:line="300" w:lineRule="auto"/>
        <w:jc w:val="left"/>
        <w:keepLines w:val="1"/>
      </w:pPr>
      <w:r>
        <w:rPr>
          <w:rFonts w:ascii="Calibri" w:hAnsi="Calibri" w:eastAsia="Calibri"/>
          <w:b w:val="0"/>
          <w:i w:val="0"/>
          <w:color w:val="5F6B7A"/>
          <w:sz w:val="19"/>
        </w:rPr>
        <w:t>Implementation: Legal and clinical review may refine the wording, but must not erase the plain-language division of responsibility.</w:t>
      </w:r>
    </w:p>
    <w:p>
      <w:pPr>
        <w:pStyle w:val="Heading2"/>
        <w:keepNext w:val="1"/>
        <w:keepLines w:val="1"/>
      </w:pPr>
      <w:r>
        <w:t>Section 10 - FAQ</w:t>
      </w:r>
    </w:p>
    <w:p>
      <w:pPr>
        <w:spacing w:before="80" w:after="40"/>
        <w:keepNext w:val="1"/>
      </w:pPr>
      <w:r>
        <w:rPr>
          <w:rFonts w:ascii="Calibri" w:hAnsi="Calibri" w:eastAsia="Calibri"/>
          <w:b/>
          <w:color w:val="1F4D78"/>
          <w:sz w:val="23"/>
        </w:rPr>
        <w:t>Does every implant case fit a guided workflow?</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No. Suitability depends on the clinical objective, available records, anatomy, access, support and the planned implant system. Discuss the case if the fit is uncertain.</w:t>
      </w:r>
    </w:p>
    <w:p>
      <w:pPr>
        <w:spacing w:before="80" w:after="40"/>
        <w:keepNext w:val="1"/>
      </w:pPr>
      <w:r>
        <w:rPr>
          <w:rFonts w:ascii="Calibri" w:hAnsi="Calibri" w:eastAsia="Calibri"/>
          <w:b/>
          <w:color w:val="1F4D78"/>
          <w:sz w:val="23"/>
        </w:rPr>
        <w:t>Can you work with different implant systems?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Compatibility depends on the current planning library, guided kit, components and selected production scope. Confirm the system when you start the case.</w:t>
      </w:r>
    </w:p>
    <w:p>
      <w:pPr>
        <w:spacing w:before="80" w:after="40"/>
        <w:keepNext w:val="1"/>
      </w:pPr>
      <w:r>
        <w:rPr>
          <w:rFonts w:ascii="Calibri" w:hAnsi="Calibri" w:eastAsia="Calibri"/>
          <w:b/>
          <w:color w:val="1F4D78"/>
          <w:sz w:val="23"/>
        </w:rPr>
        <w:t>What is the difference between pilot-guided and fully guided?</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The guided sequence and instrumentation differ. The appropriate scope depends on the implant system, kit, case plan and the treating clinician's intended protocol.</w:t>
      </w:r>
    </w:p>
    <w:p>
      <w:pPr>
        <w:spacing w:before="80" w:after="40"/>
        <w:keepNext w:val="1"/>
      </w:pPr>
      <w:r>
        <w:rPr>
          <w:rFonts w:ascii="Calibri" w:hAnsi="Calibri" w:eastAsia="Calibri"/>
          <w:b/>
          <w:color w:val="1F4D78"/>
          <w:sz w:val="23"/>
        </w:rPr>
        <w:t>Can I request changes to the plan?</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Yes. Review and revision happen before approval. The current revision scope and any effect on delivery are shown in the case journey or quotation.</w:t>
      </w:r>
    </w:p>
    <w:p>
      <w:pPr>
        <w:spacing w:before="80" w:after="40"/>
        <w:keepNext w:val="1"/>
      </w:pPr>
      <w:r>
        <w:rPr>
          <w:rFonts w:ascii="Calibri" w:hAnsi="Calibri" w:eastAsia="Calibri"/>
          <w:b/>
          <w:color w:val="1F4D78"/>
          <w:sz w:val="23"/>
        </w:rPr>
        <w:t>When does turnaround begin?</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Turnaround begins only after the required records are usable, the scope is confirmed and any stated commercial requirement is complete. Publish exact time bands only after operations verifies them.</w:t>
      </w:r>
    </w:p>
    <w:p>
      <w:pPr>
        <w:spacing w:before="80" w:after="40"/>
        <w:keepNext w:val="1"/>
      </w:pPr>
      <w:r>
        <w:rPr>
          <w:rFonts w:ascii="Calibri" w:hAnsi="Calibri" w:eastAsia="Calibri"/>
          <w:b/>
          <w:color w:val="1F4D78"/>
          <w:sz w:val="23"/>
        </w:rPr>
        <w:t>Where should I upload DICOM and scan files?</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Use the authenticated Image3DConversion Case Portal. Do not send patient records through a public contact form.</w:t>
      </w:r>
    </w:p>
    <w:p>
      <w:pPr>
        <w:spacing w:before="80" w:after="40"/>
        <w:keepNext w:val="1"/>
      </w:pPr>
      <w:r>
        <w:rPr>
          <w:rFonts w:ascii="Calibri" w:hAnsi="Calibri" w:eastAsia="Calibri"/>
          <w:b/>
          <w:color w:val="1F4D78"/>
          <w:sz w:val="23"/>
        </w:rPr>
        <w:t>Who gives final approval?</w:t>
      </w:r>
    </w:p>
    <w:p>
      <w:pPr>
        <w:spacing w:before="0" w:after="100" w:line="300" w:lineRule="auto"/>
        <w:ind w:left="173" w:right="115"/>
        <w:shd w:fill="F4F6F9"/>
        <w:pBdr>
          <w:left w:val="single" w:sz="14" w:space="8" w:color="2E74B5"/>
        </w:pBdr>
        <w:keepLines w:val="1"/>
      </w:pPr>
      <w:r>
        <w:rPr>
          <w:rFonts w:ascii="Calibri" w:hAnsi="Calibri" w:eastAsia="Calibri"/>
          <w:color w:val="162236"/>
          <w:sz w:val="21"/>
        </w:rPr>
        <w:t>The treating clinician reviews and approves the plan before production.</w:t>
      </w:r>
    </w:p>
    <w:p>
      <w:pPr>
        <w:spacing w:before="0" w:after="60" w:line="300" w:lineRule="auto"/>
        <w:jc w:val="left"/>
        <w:keepNext w:val="1"/>
        <w:keepLines w:val="1"/>
      </w:pPr>
      <w:r>
        <w:rPr>
          <w:rFonts w:ascii="Calibri" w:hAnsi="Calibri" w:eastAsia="Calibri"/>
          <w:b w:val="0"/>
          <w:i/>
          <w:color w:val="5F6B7A"/>
          <w:sz w:val="19"/>
        </w:rPr>
        <w:t>Psychological job: Resolve the questions most likely to interrupt a case start: fit, compatibility, revisions, timing, upload and approval.</w:t>
      </w:r>
    </w:p>
    <w:p>
      <w:pPr>
        <w:spacing w:before="0" w:after="60" w:line="300" w:lineRule="auto"/>
        <w:jc w:val="left"/>
        <w:keepNext w:val="1"/>
        <w:keepLines w:val="1"/>
      </w:pPr>
      <w:r>
        <w:rPr>
          <w:rFonts w:ascii="Calibri" w:hAnsi="Calibri" w:eastAsia="Calibri"/>
          <w:b w:val="0"/>
          <w:i w:val="0"/>
          <w:color w:val="5F6B7A"/>
          <w:sz w:val="19"/>
        </w:rPr>
        <w:t>Visual direction: Use an accessible accordion with the first question open. Keep the background white and the active rule in the master blue.</w:t>
      </w:r>
    </w:p>
    <w:p>
      <w:pPr>
        <w:spacing w:before="0" w:after="60" w:line="300" w:lineRule="auto"/>
        <w:jc w:val="left"/>
        <w:keepNext w:val="1"/>
        <w:keepLines w:val="1"/>
      </w:pPr>
      <w:r>
        <w:rPr>
          <w:rFonts w:ascii="Calibri" w:hAnsi="Calibri" w:eastAsia="Calibri"/>
          <w:b w:val="0"/>
          <w:i w:val="0"/>
          <w:color w:val="5F6B7A"/>
          <w:sz w:val="19"/>
        </w:rPr>
        <w:t>Mobile: Questions must remain readable at a glance. Preserve full answers in the page HTML, not only in script-rendered overlays.</w:t>
      </w:r>
    </w:p>
    <w:p>
      <w:pPr>
        <w:spacing w:before="0" w:after="140" w:line="300" w:lineRule="auto"/>
        <w:jc w:val="left"/>
        <w:keepLines w:val="1"/>
      </w:pPr>
      <w:r>
        <w:rPr>
          <w:rFonts w:ascii="Calibri" w:hAnsi="Calibri" w:eastAsia="Calibri"/>
          <w:b w:val="0"/>
          <w:i w:val="0"/>
          <w:color w:val="5F6B7A"/>
          <w:sz w:val="19"/>
        </w:rPr>
        <w:t>Implementation: FAQ answers must be reviewed whenever operations changes compatibility, revision or turnaround policy.</w:t>
      </w:r>
    </w:p>
    <w:p>
      <w:pPr>
        <w:pStyle w:val="Heading2"/>
        <w:keepNext w:val="1"/>
        <w:keepLines w:val="1"/>
      </w:pPr>
      <w:r>
        <w:t>Section 11 - Final action</w:t>
      </w:r>
    </w:p>
    <w:p>
      <w:pPr>
        <w:spacing w:before="0" w:after="80"/>
        <w:keepNext w:val="1"/>
      </w:pPr>
      <w:r>
        <w:rPr>
          <w:rFonts w:ascii="Calibri" w:hAnsi="Calibri" w:eastAsia="Calibri"/>
          <w:b/>
          <w:color w:val="2E74B5"/>
          <w:sz w:val="19"/>
        </w:rPr>
        <w:t>H2</w:t>
      </w:r>
    </w:p>
    <w:p>
      <w:pPr>
        <w:spacing w:before="0" w:after="100" w:line="300" w:lineRule="auto"/>
        <w:jc w:val="left"/>
        <w:keepLines w:val="1"/>
      </w:pPr>
      <w:r>
        <w:rPr>
          <w:rFonts w:ascii="Calibri" w:hAnsi="Calibri" w:eastAsia="Calibri"/>
          <w:b w:val="0"/>
          <w:i w:val="0"/>
          <w:color w:val="162236"/>
          <w:sz w:val="24"/>
        </w:rPr>
        <w:t>Ready to plan your guided case?</w:t>
      </w:r>
    </w:p>
    <w:p>
      <w:pPr>
        <w:spacing w:before="0" w:after="80"/>
        <w:keepNext w:val="1"/>
      </w:pPr>
      <w:r>
        <w:rPr>
          <w:rFonts w:ascii="Calibri" w:hAnsi="Calibri" w:eastAsia="Calibri"/>
          <w:b/>
          <w:color w:val="2E74B5"/>
          <w:sz w:val="19"/>
        </w:rPr>
        <w:t>BODY COPY</w:t>
      </w:r>
    </w:p>
    <w:p>
      <w:pPr>
        <w:spacing w:before="0" w:after="100" w:line="300" w:lineRule="auto"/>
        <w:jc w:val="left"/>
        <w:keepLines w:val="1"/>
      </w:pPr>
      <w:r>
        <w:rPr>
          <w:rFonts w:ascii="Calibri" w:hAnsi="Calibri" w:eastAsia="Calibri"/>
          <w:b w:val="0"/>
          <w:i w:val="0"/>
          <w:color w:val="162236"/>
          <w:sz w:val="24"/>
        </w:rPr>
        <w:t>Prepare the case objective and available records. Start securely in the Case Portal, or discuss the workflow first if the case does not clearly fit.</w:t>
      </w:r>
    </w:p>
    <w:p>
      <w:pPr>
        <w:spacing w:before="0" w:after="100" w:line="300" w:lineRule="auto"/>
        <w:ind w:left="158" w:right="86"/>
        <w:shd w:fill="E8EEF5"/>
        <w:pBdr>
          <w:left w:val="single" w:sz="14" w:space="8" w:color="2E74B5"/>
        </w:pBdr>
        <w:keepLines w:val="1"/>
      </w:pPr>
      <w:r>
        <w:rPr>
          <w:rFonts w:ascii="Calibri" w:hAnsi="Calibri" w:eastAsia="Calibri"/>
          <w:b/>
          <w:color w:val="1F4D78"/>
          <w:sz w:val="21"/>
        </w:rPr>
        <w:t xml:space="preserve">Primary CTA: </w:t>
      </w:r>
      <w:r>
        <w:rPr>
          <w:rFonts w:ascii="Calibri" w:hAnsi="Calibri" w:eastAsia="Calibri"/>
          <w:color w:val="162236"/>
          <w:sz w:val="21"/>
        </w:rPr>
        <w:t>Start a Guided Implant Case</w:t>
      </w:r>
    </w:p>
    <w:p>
      <w:pPr>
        <w:spacing w:before="0" w:after="100" w:line="300" w:lineRule="auto"/>
        <w:ind w:left="158" w:right="86"/>
        <w:shd w:fill="F4F6F9"/>
        <w:pBdr>
          <w:left w:val="single" w:sz="14" w:space="8" w:color="1F4D78"/>
        </w:pBdr>
        <w:keepLines w:val="1"/>
      </w:pPr>
      <w:r>
        <w:rPr>
          <w:rFonts w:ascii="Calibri" w:hAnsi="Calibri" w:eastAsia="Calibri"/>
          <w:b/>
          <w:color w:val="1F4D78"/>
          <w:sz w:val="21"/>
        </w:rPr>
        <w:t xml:space="preserve">Secondary CTA: </w:t>
      </w:r>
      <w:r>
        <w:rPr>
          <w:rFonts w:ascii="Calibri" w:hAnsi="Calibri" w:eastAsia="Calibri"/>
          <w:color w:val="162236"/>
          <w:sz w:val="21"/>
        </w:rPr>
        <w:t>Discuss a Complex Case</w:t>
      </w:r>
    </w:p>
    <w:p>
      <w:pPr>
        <w:spacing w:before="0" w:after="120" w:line="300" w:lineRule="auto"/>
        <w:jc w:val="left"/>
      </w:pPr>
      <w:r>
        <w:rPr>
          <w:rFonts w:ascii="Calibri" w:hAnsi="Calibri" w:eastAsia="Calibri"/>
          <w:b w:val="0"/>
          <w:i/>
          <w:color w:val="5F6B7A"/>
          <w:sz w:val="21"/>
        </w:rPr>
        <w:t>Returning user link: Open the Case Portal.</w:t>
      </w:r>
    </w:p>
    <w:p>
      <w:pPr>
        <w:spacing w:before="0" w:after="60" w:line="300" w:lineRule="auto"/>
        <w:jc w:val="left"/>
        <w:keepNext w:val="1"/>
        <w:keepLines w:val="1"/>
      </w:pPr>
      <w:r>
        <w:rPr>
          <w:rFonts w:ascii="Calibri" w:hAnsi="Calibri" w:eastAsia="Calibri"/>
          <w:b w:val="0"/>
          <w:i/>
          <w:color w:val="5F6B7A"/>
          <w:sz w:val="19"/>
        </w:rPr>
        <w:t>Psychological job: End with the same two valid routes introduced at the top: submit a fitting case or ask before submitting.</w:t>
      </w:r>
    </w:p>
    <w:p>
      <w:pPr>
        <w:spacing w:before="0" w:after="60" w:line="300" w:lineRule="auto"/>
        <w:jc w:val="left"/>
        <w:keepNext w:val="1"/>
        <w:keepLines w:val="1"/>
      </w:pPr>
      <w:r>
        <w:rPr>
          <w:rFonts w:ascii="Calibri" w:hAnsi="Calibri" w:eastAsia="Calibri"/>
          <w:b w:val="0"/>
          <w:i w:val="0"/>
          <w:color w:val="5F6B7A"/>
          <w:sz w:val="19"/>
        </w:rPr>
        <w:t>Visual direction: Use a white field with a strong blue heading and one solid-blue primary button. Do not close on a dark promotional banner.</w:t>
      </w:r>
    </w:p>
    <w:p>
      <w:pPr>
        <w:spacing w:before="0" w:after="60" w:line="300" w:lineRule="auto"/>
        <w:jc w:val="left"/>
        <w:keepNext w:val="1"/>
        <w:keepLines w:val="1"/>
      </w:pPr>
      <w:r>
        <w:rPr>
          <w:rFonts w:ascii="Calibri" w:hAnsi="Calibri" w:eastAsia="Calibri"/>
          <w:b w:val="0"/>
          <w:i w:val="0"/>
          <w:color w:val="5F6B7A"/>
          <w:sz w:val="19"/>
        </w:rPr>
        <w:t>Mobile: Place the primary action first and keep both actions full-width with clear separation.</w:t>
      </w:r>
    </w:p>
    <w:p>
      <w:pPr>
        <w:spacing w:before="0" w:after="140" w:line="300" w:lineRule="auto"/>
        <w:jc w:val="left"/>
        <w:keepLines w:val="1"/>
      </w:pPr>
      <w:r>
        <w:rPr>
          <w:rFonts w:ascii="Calibri" w:hAnsi="Calibri" w:eastAsia="Calibri"/>
          <w:b w:val="0"/>
          <w:i w:val="0"/>
          <w:color w:val="5F6B7A"/>
          <w:sz w:val="19"/>
        </w:rPr>
        <w:t>Implementation: Preserve the visitor's intended destination through login or account creation.</w:t>
      </w:r>
    </w:p>
    <w:p>
      <w:pPr>
        <w:pStyle w:val="Heading1"/>
        <w:pageBreakBefore w:val="1"/>
        <w:keepNext w:val="1"/>
        <w:keepLines w:val="1"/>
      </w:pPr>
      <w:r>
        <w:t>5. Design psychology and visual system</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450"/>
        <w:gridCol w:w="2320"/>
        <w:gridCol w:w="3890"/>
        <w:gridCol w:w="1700"/>
      </w:tblGrid>
      <w:tr>
        <w:trPr>
          <w:tblHeader w:val="true"/>
        </w:trPr>
        <w:tc>
          <w:tcPr>
            <w:tcW w:type="dxa" w:w="145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Page stage</w:t>
            </w:r>
          </w:p>
        </w:tc>
        <w:tc>
          <w:tcPr>
            <w:tcW w:type="dxa" w:w="232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Visitor state</w:t>
            </w:r>
          </w:p>
        </w:tc>
        <w:tc>
          <w:tcPr>
            <w:tcW w:type="dxa" w:w="389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Design response</w:t>
            </w:r>
          </w:p>
        </w:tc>
        <w:tc>
          <w:tcPr>
            <w:tcW w:type="dxa" w:w="17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Desired action</w:t>
            </w:r>
          </w:p>
        </w:tc>
      </w:tr>
      <w:t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Hero</w:t>
            </w:r>
          </w:p>
        </w:tc>
        <w:tc>
          <w:tcPr>
            <w:tcW w:type="dxa" w:w="23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Is this for my case?</w:t>
            </w:r>
          </w:p>
        </w:tc>
        <w:tc>
          <w:tcPr>
            <w:tcW w:type="dxa" w:w="389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Real case pairing, one claim, two routes</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Stay or start</w:t>
            </w:r>
          </w:p>
        </w:tc>
      </w:tr>
      <w:t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Workflow fit</w:t>
            </w:r>
          </w:p>
        </w:tc>
        <w:tc>
          <w:tcPr>
            <w:tcW w:type="dxa" w:w="23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Where does my case belong?</w:t>
            </w:r>
          </w:p>
        </w:tc>
        <w:tc>
          <w:tcPr>
            <w:tcW w:type="dxa" w:w="389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Four recognisable case conditions</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Self-select</w:t>
            </w:r>
          </w:p>
        </w:tc>
      </w:tr>
      <w:t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Planning principle</w:t>
            </w:r>
          </w:p>
        </w:tc>
        <w:tc>
          <w:tcPr>
            <w:tcW w:type="dxa" w:w="23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Why more than a guide?</w:t>
            </w:r>
          </w:p>
        </w:tc>
        <w:tc>
          <w:tcPr>
            <w:tcW w:type="dxa" w:w="389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Four connected planning inputs</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Value the workflow</w:t>
            </w:r>
          </w:p>
        </w:tc>
      </w:tr>
      <w:t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Sequence</w:t>
            </w:r>
          </w:p>
        </w:tc>
        <w:tc>
          <w:tcPr>
            <w:tcW w:type="dxa" w:w="23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What happens next?</w:t>
            </w:r>
          </w:p>
        </w:tc>
        <w:tc>
          <w:tcPr>
            <w:tcW w:type="dxa" w:w="389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Six visible stages and approval gate</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Accept the process</w:t>
            </w:r>
          </w:p>
        </w:tc>
      </w:tr>
      <w:t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Review</w:t>
            </w:r>
          </w:p>
        </w:tc>
        <w:tc>
          <w:tcPr>
            <w:tcW w:type="dxa" w:w="23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Who controls the plan?</w:t>
            </w:r>
          </w:p>
        </w:tc>
        <w:tc>
          <w:tcPr>
            <w:tcW w:type="dxa" w:w="389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Clinician decision made explicit</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Trust the boundary</w:t>
            </w:r>
          </w:p>
        </w:tc>
      </w:tr>
      <w:t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Requirements</w:t>
            </w:r>
          </w:p>
        </w:tc>
        <w:tc>
          <w:tcPr>
            <w:tcW w:type="dxa" w:w="23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Am I ready?</w:t>
            </w:r>
          </w:p>
        </w:tc>
        <w:tc>
          <w:tcPr>
            <w:tcW w:type="dxa" w:w="389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Concrete source-record checklist</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Prepare files</w:t>
            </w:r>
          </w:p>
        </w:tc>
      </w:tr>
      <w:t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Scope</w:t>
            </w:r>
          </w:p>
        </w:tc>
        <w:tc>
          <w:tcPr>
            <w:tcW w:type="dxa" w:w="23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How much support?</w:t>
            </w:r>
          </w:p>
        </w:tc>
        <w:tc>
          <w:tcPr>
            <w:tcW w:type="dxa" w:w="389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Three clear engagement modes</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Choose scope</w:t>
            </w:r>
          </w:p>
        </w:tc>
      </w:tr>
      <w:t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Evidence</w:t>
            </w:r>
          </w:p>
        </w:tc>
        <w:tc>
          <w:tcPr>
            <w:tcW w:type="dxa" w:w="23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Can they show the work?</w:t>
            </w:r>
          </w:p>
        </w:tc>
        <w:tc>
          <w:tcPr>
            <w:tcW w:type="dxa" w:w="389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One verified case sequence</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Inspect proof</w:t>
            </w:r>
          </w:p>
        </w:tc>
      </w:tr>
      <w:tr>
        <w:tc>
          <w:tcPr>
            <w:tcW w:type="dxa" w:w="145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Final action</w:t>
            </w:r>
          </w:p>
        </w:tc>
        <w:tc>
          <w:tcPr>
            <w:tcW w:type="dxa" w:w="232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What do I do now?</w:t>
            </w:r>
          </w:p>
        </w:tc>
        <w:tc>
          <w:tcPr>
            <w:tcW w:type="dxa" w:w="389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Repeat secure start and discussion routes</w:t>
            </w:r>
          </w:p>
        </w:tc>
        <w:tc>
          <w:tcPr>
            <w:tcW w:type="dxa" w:w="17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Convert</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Founder-approved two-colour direction</w:t>
      </w:r>
    </w:p>
    <w:p>
      <w:pPr>
        <w:numPr>
          <w:ilvl w:val="0"/>
          <w:numId w:val="16"/>
        </w:numPr>
        <w:spacing w:before="0" w:after="80" w:line="300" w:lineRule="auto"/>
        <w:keepLines w:val="1"/>
      </w:pPr>
      <w:r>
        <w:rPr>
          <w:rFonts w:ascii="Calibri" w:hAnsi="Calibri" w:eastAsia="Calibri"/>
          <w:b/>
          <w:color w:val="162236"/>
          <w:sz w:val="22"/>
        </w:rPr>
        <w:t xml:space="preserve">Brand colours - </w:t>
      </w:r>
      <w:r>
        <w:rPr>
          <w:rFonts w:ascii="Calibri" w:hAnsi="Calibri" w:eastAsia="Calibri"/>
          <w:color w:val="162236"/>
          <w:sz w:val="22"/>
        </w:rPr>
        <w:t>Image3DConversion Blue and White only.</w:t>
      </w:r>
    </w:p>
    <w:p>
      <w:pPr>
        <w:numPr>
          <w:ilvl w:val="0"/>
          <w:numId w:val="16"/>
        </w:numPr>
        <w:spacing w:before="0" w:after="80" w:line="300" w:lineRule="auto"/>
        <w:keepLines w:val="1"/>
      </w:pPr>
      <w:r>
        <w:rPr>
          <w:rFonts w:ascii="Calibri" w:hAnsi="Calibri" w:eastAsia="Calibri"/>
          <w:b/>
          <w:color w:val="162236"/>
          <w:sz w:val="22"/>
        </w:rPr>
        <w:t xml:space="preserve">Dominant field - </w:t>
      </w:r>
      <w:r>
        <w:rPr>
          <w:rFonts w:ascii="Calibri" w:hAnsi="Calibri" w:eastAsia="Calibri"/>
          <w:color w:val="162236"/>
          <w:sz w:val="22"/>
        </w:rPr>
        <w:t>White. The page should feel clinical, calm and spacious, not dark or social-media led.</w:t>
      </w:r>
    </w:p>
    <w:p>
      <w:pPr>
        <w:numPr>
          <w:ilvl w:val="0"/>
          <w:numId w:val="16"/>
        </w:numPr>
        <w:spacing w:before="0" w:after="80" w:line="300" w:lineRule="auto"/>
        <w:keepLines w:val="1"/>
      </w:pPr>
      <w:r>
        <w:rPr>
          <w:rFonts w:ascii="Calibri" w:hAnsi="Calibri" w:eastAsia="Calibri"/>
          <w:b/>
          <w:color w:val="162236"/>
          <w:sz w:val="22"/>
        </w:rPr>
        <w:t xml:space="preserve">Derived values - </w:t>
      </w:r>
      <w:r>
        <w:rPr>
          <w:rFonts w:ascii="Calibri" w:hAnsi="Calibri" w:eastAsia="Calibri"/>
          <w:color w:val="162236"/>
          <w:sz w:val="22"/>
        </w:rPr>
        <w:t>Pale backgrounds, deeper text values, transparency and gradients must come from the same master blue.</w:t>
      </w:r>
    </w:p>
    <w:p>
      <w:pPr>
        <w:numPr>
          <w:ilvl w:val="0"/>
          <w:numId w:val="16"/>
        </w:numPr>
        <w:spacing w:before="0" w:after="80" w:line="300" w:lineRule="auto"/>
        <w:keepLines w:val="1"/>
      </w:pPr>
      <w:r>
        <w:rPr>
          <w:rFonts w:ascii="Calibri" w:hAnsi="Calibri" w:eastAsia="Calibri"/>
          <w:b/>
          <w:color w:val="162236"/>
          <w:sz w:val="22"/>
        </w:rPr>
        <w:t xml:space="preserve">Excluded accents - </w:t>
      </w:r>
      <w:r>
        <w:rPr>
          <w:rFonts w:ascii="Calibri" w:hAnsi="Calibri" w:eastAsia="Calibri"/>
          <w:color w:val="162236"/>
          <w:sz w:val="22"/>
        </w:rPr>
        <w:t>No lime, neon cyan, gold, purple or unrelated highlight colour.</w:t>
      </w:r>
    </w:p>
    <w:p>
      <w:pPr>
        <w:numPr>
          <w:ilvl w:val="0"/>
          <w:numId w:val="16"/>
        </w:numPr>
        <w:spacing w:before="0" w:after="80" w:line="300" w:lineRule="auto"/>
        <w:keepLines w:val="1"/>
      </w:pPr>
      <w:r>
        <w:rPr>
          <w:rFonts w:ascii="Calibri" w:hAnsi="Calibri" w:eastAsia="Calibri"/>
          <w:b/>
          <w:color w:val="162236"/>
          <w:sz w:val="22"/>
        </w:rPr>
        <w:t xml:space="preserve">Portal exception - </w:t>
      </w:r>
      <w:r>
        <w:rPr>
          <w:rFonts w:ascii="Calibri" w:hAnsi="Calibri" w:eastAsia="Calibri"/>
          <w:color w:val="162236"/>
          <w:sz w:val="22"/>
        </w:rPr>
        <w:t>Green, amber and red may appear only as functional success, caution and error states.</w:t>
      </w:r>
    </w:p>
    <w:p>
      <w:pPr>
        <w:numPr>
          <w:ilvl w:val="0"/>
          <w:numId w:val="16"/>
        </w:numPr>
        <w:spacing w:before="0" w:after="80" w:line="300" w:lineRule="auto"/>
        <w:keepLines w:val="1"/>
      </w:pPr>
      <w:r>
        <w:rPr>
          <w:rFonts w:ascii="Calibri" w:hAnsi="Calibri" w:eastAsia="Calibri"/>
          <w:b/>
          <w:color w:val="162236"/>
          <w:sz w:val="22"/>
        </w:rPr>
        <w:t xml:space="preserve">Production gate - </w:t>
      </w:r>
      <w:r>
        <w:rPr>
          <w:rFonts w:ascii="Calibri" w:hAnsi="Calibri" w:eastAsia="Calibri"/>
          <w:color w:val="162236"/>
          <w:sz w:val="22"/>
        </w:rPr>
        <w:t>Extract the exact master-blue HEX from the approved original logo/vector asset. #2E74B5 is a wireframe token only.</w:t>
      </w:r>
    </w:p>
    <w:p>
      <w:pPr>
        <w:pStyle w:val="Heading2"/>
        <w:keepNext w:val="1"/>
        <w:keepLines w:val="1"/>
      </w:pPr>
      <w:r>
        <w:t>Layout and component direction</w:t>
      </w:r>
    </w:p>
    <w:p>
      <w:pPr>
        <w:numPr>
          <w:ilvl w:val="0"/>
          <w:numId w:val="17"/>
        </w:numPr>
        <w:spacing w:before="0" w:after="80" w:line="300" w:lineRule="auto"/>
        <w:keepLines w:val="1"/>
      </w:pPr>
      <w:r>
        <w:rPr>
          <w:rFonts w:ascii="Calibri" w:hAnsi="Calibri" w:eastAsia="Calibri"/>
          <w:b/>
          <w:color w:val="162236"/>
          <w:sz w:val="22"/>
        </w:rPr>
        <w:t xml:space="preserve">Grid - </w:t>
      </w:r>
      <w:r>
        <w:rPr>
          <w:rFonts w:ascii="Calibri" w:hAnsi="Calibri" w:eastAsia="Calibri"/>
          <w:color w:val="162236"/>
          <w:sz w:val="22"/>
        </w:rPr>
        <w:t>12-column desktop grid with a 1,200-1,280 px content maximum; single-column reading order on mobile.</w:t>
      </w:r>
    </w:p>
    <w:p>
      <w:pPr>
        <w:numPr>
          <w:ilvl w:val="0"/>
          <w:numId w:val="17"/>
        </w:numPr>
        <w:spacing w:before="0" w:after="80" w:line="300" w:lineRule="auto"/>
        <w:keepLines w:val="1"/>
      </w:pPr>
      <w:r>
        <w:rPr>
          <w:rFonts w:ascii="Calibri" w:hAnsi="Calibri" w:eastAsia="Calibri"/>
          <w:b/>
          <w:color w:val="162236"/>
          <w:sz w:val="22"/>
        </w:rPr>
        <w:t xml:space="preserve">Typography - </w:t>
      </w:r>
      <w:r>
        <w:rPr>
          <w:rFonts w:ascii="Calibri" w:hAnsi="Calibri" w:eastAsia="Calibri"/>
          <w:color w:val="162236"/>
          <w:sz w:val="22"/>
        </w:rPr>
        <w:t>Bricolage Grotesque 600 for display headings and Lato 400/700 for body and interface copy, subject to confirmed licensed webfont delivery.</w:t>
      </w:r>
    </w:p>
    <w:p>
      <w:pPr>
        <w:numPr>
          <w:ilvl w:val="0"/>
          <w:numId w:val="17"/>
        </w:numPr>
        <w:spacing w:before="0" w:after="80" w:line="300" w:lineRule="auto"/>
        <w:keepLines w:val="1"/>
      </w:pPr>
      <w:r>
        <w:rPr>
          <w:rFonts w:ascii="Calibri" w:hAnsi="Calibri" w:eastAsia="Calibri"/>
          <w:b/>
          <w:color w:val="162236"/>
          <w:sz w:val="22"/>
        </w:rPr>
        <w:t xml:space="preserve">Type scale - </w:t>
      </w:r>
      <w:r>
        <w:rPr>
          <w:rFonts w:ascii="Calibri" w:hAnsi="Calibri" w:eastAsia="Calibri"/>
          <w:color w:val="162236"/>
          <w:sz w:val="22"/>
        </w:rPr>
        <w:t>H1 approximately 54-62 px desktop and 38-42 px mobile; body 18 px desktop and 17 px mobile.</w:t>
      </w:r>
    </w:p>
    <w:p>
      <w:pPr>
        <w:numPr>
          <w:ilvl w:val="0"/>
          <w:numId w:val="17"/>
        </w:numPr>
        <w:spacing w:before="0" w:after="80" w:line="300" w:lineRule="auto"/>
        <w:keepLines w:val="1"/>
      </w:pPr>
      <w:r>
        <w:rPr>
          <w:rFonts w:ascii="Calibri" w:hAnsi="Calibri" w:eastAsia="Calibri"/>
          <w:b/>
          <w:color w:val="162236"/>
          <w:sz w:val="22"/>
        </w:rPr>
        <w:t xml:space="preserve">Buttons - </w:t>
      </w:r>
      <w:r>
        <w:rPr>
          <w:rFonts w:ascii="Calibri" w:hAnsi="Calibri" w:eastAsia="Calibri"/>
          <w:color w:val="162236"/>
          <w:sz w:val="22"/>
        </w:rPr>
        <w:t>Minimum 48 px high; primary solid master blue, secondary blue outline, utility as a text link.</w:t>
      </w:r>
    </w:p>
    <w:p>
      <w:pPr>
        <w:numPr>
          <w:ilvl w:val="0"/>
          <w:numId w:val="17"/>
        </w:numPr>
        <w:spacing w:before="0" w:after="80" w:line="300" w:lineRule="auto"/>
        <w:keepLines w:val="1"/>
      </w:pPr>
      <w:r>
        <w:rPr>
          <w:rFonts w:ascii="Calibri" w:hAnsi="Calibri" w:eastAsia="Calibri"/>
          <w:b/>
          <w:color w:val="162236"/>
          <w:sz w:val="22"/>
        </w:rPr>
        <w:t xml:space="preserve">Cards - </w:t>
      </w:r>
      <w:r>
        <w:rPr>
          <w:rFonts w:ascii="Calibri" w:hAnsi="Calibri" w:eastAsia="Calibri"/>
          <w:color w:val="162236"/>
          <w:sz w:val="22"/>
        </w:rPr>
        <w:t>Wide, image-led and specific. Avoid small icon grids that make all case types look equivalent.</w:t>
      </w:r>
    </w:p>
    <w:p>
      <w:pPr>
        <w:numPr>
          <w:ilvl w:val="0"/>
          <w:numId w:val="17"/>
        </w:numPr>
        <w:spacing w:before="0" w:after="80" w:line="300" w:lineRule="auto"/>
        <w:keepLines w:val="1"/>
      </w:pPr>
      <w:r>
        <w:rPr>
          <w:rFonts w:ascii="Calibri" w:hAnsi="Calibri" w:eastAsia="Calibri"/>
          <w:b/>
          <w:color w:val="162236"/>
          <w:sz w:val="22"/>
        </w:rPr>
        <w:t xml:space="preserve">Spacing - </w:t>
      </w:r>
      <w:r>
        <w:rPr>
          <w:rFonts w:ascii="Calibri" w:hAnsi="Calibri" w:eastAsia="Calibri"/>
          <w:color w:val="162236"/>
          <w:sz w:val="22"/>
        </w:rPr>
        <w:t>Use 88-104 px between major desktop sections and 56-72 px on mobile. Let white space organise the page.</w:t>
      </w:r>
    </w:p>
    <w:p>
      <w:pPr>
        <w:numPr>
          <w:ilvl w:val="0"/>
          <w:numId w:val="17"/>
        </w:numPr>
        <w:spacing w:before="0" w:after="80" w:line="300" w:lineRule="auto"/>
        <w:keepLines w:val="1"/>
      </w:pPr>
      <w:r>
        <w:rPr>
          <w:rFonts w:ascii="Calibri" w:hAnsi="Calibri" w:eastAsia="Calibri"/>
          <w:b/>
          <w:color w:val="162236"/>
          <w:sz w:val="22"/>
        </w:rPr>
        <w:t xml:space="preserve">Motion - </w:t>
      </w:r>
      <w:r>
        <w:rPr>
          <w:rFonts w:ascii="Calibri" w:hAnsi="Calibri" w:eastAsia="Calibri"/>
          <w:color w:val="162236"/>
          <w:sz w:val="22"/>
        </w:rPr>
        <w:t>Use motion only to explain alignment or sequence. Respect reduced-motion preferences.</w:t>
      </w:r>
    </w:p>
    <w:p>
      <w:pPr>
        <w:pStyle w:val="Heading2"/>
        <w:keepNext w:val="1"/>
        <w:keepLines w:val="1"/>
      </w:pPr>
      <w:r>
        <w:t>Image shot list</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600"/>
        <w:gridCol w:w="4500"/>
        <w:gridCol w:w="3260"/>
      </w:tblGrid>
      <w:tr>
        <w:trPr>
          <w:tblHeader w:val="true"/>
        </w:trPr>
        <w:tc>
          <w:tcPr>
            <w:tcW w:type="dxa" w:w="16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Asset</w:t>
            </w:r>
          </w:p>
        </w:tc>
        <w:tc>
          <w:tcPr>
            <w:tcW w:type="dxa" w:w="4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What to show</w:t>
            </w:r>
          </w:p>
        </w:tc>
        <w:tc>
          <w:tcPr>
            <w:tcW w:type="dxa" w:w="32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Avoid</w:t>
            </w:r>
          </w:p>
        </w:tc>
      </w:tr>
      <w:t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Hero</w:t>
            </w:r>
          </w:p>
        </w:tc>
        <w:tc>
          <w:tcPr>
            <w:tcW w:type="dxa" w:w="4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Restorative reference, approved implant plan and guide from one case</w:t>
            </w:r>
          </w:p>
        </w:tc>
        <w:tc>
          <w:tcPr>
            <w:tcW w:type="dxa" w:w="32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Stock smile, isolated implant render, invented anatomy</w:t>
            </w:r>
          </w:p>
        </w:tc>
      </w:tr>
      <w:t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Workflow fit</w:t>
            </w:r>
          </w:p>
        </w:tc>
        <w:tc>
          <w:tcPr>
            <w:tcW w:type="dxa" w:w="4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Four real, clearly different case presentations</w:t>
            </w:r>
          </w:p>
        </w:tc>
        <w:tc>
          <w:tcPr>
            <w:tcW w:type="dxa" w:w="32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Four near-identical screenshots</w:t>
            </w:r>
          </w:p>
        </w:tc>
      </w:tr>
      <w:t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Planning principle</w:t>
            </w:r>
          </w:p>
        </w:tc>
        <w:tc>
          <w:tcPr>
            <w:tcW w:type="dxa" w:w="4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Restoration, anatomy, implant path and guide layers</w:t>
            </w:r>
          </w:p>
        </w:tc>
        <w:tc>
          <w:tcPr>
            <w:tcW w:type="dxa" w:w="32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Software logo as the main subject</w:t>
            </w:r>
          </w:p>
        </w:tc>
      </w:tr>
      <w:t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Review</w:t>
            </w:r>
          </w:p>
        </w:tc>
        <w:tc>
          <w:tcPr>
            <w:tcW w:type="dxa" w:w="4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De-identified plan-review state and case notes</w:t>
            </w:r>
          </w:p>
        </w:tc>
        <w:tc>
          <w:tcPr>
            <w:tcW w:type="dxa" w:w="32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Patient name, ID, DOB or portal identifiers</w:t>
            </w:r>
          </w:p>
        </w:tc>
      </w:tr>
      <w:t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Requirements</w:t>
            </w:r>
          </w:p>
        </w:tc>
        <w:tc>
          <w:tcPr>
            <w:tcW w:type="dxa" w:w="4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Original file types and scan records</w:t>
            </w:r>
          </w:p>
        </w:tc>
        <w:tc>
          <w:tcPr>
            <w:tcW w:type="dxa" w:w="32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Decorative file icons without context</w:t>
            </w:r>
          </w:p>
        </w:tc>
      </w:tr>
      <w:tr>
        <w:tc>
          <w:tcPr>
            <w:tcW w:type="dxa" w:w="1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Evidence</w:t>
            </w:r>
          </w:p>
        </w:tc>
        <w:tc>
          <w:tcPr>
            <w:tcW w:type="dxa" w:w="4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One complete, consented case sequence</w:t>
            </w:r>
          </w:p>
        </w:tc>
        <w:tc>
          <w:tcPr>
            <w:tcW w:type="dxa" w:w="32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Unrelated before/after collage</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Suggested alt-text patterns</w:t>
      </w:r>
    </w:p>
    <w:p>
      <w:pPr>
        <w:numPr>
          <w:ilvl w:val="0"/>
          <w:numId w:val="18"/>
        </w:numPr>
        <w:spacing w:before="0" w:after="80" w:line="300" w:lineRule="auto"/>
        <w:keepLines w:val="1"/>
      </w:pPr>
      <w:r>
        <w:rPr>
          <w:rFonts w:ascii="Calibri" w:hAnsi="Calibri" w:eastAsia="Calibri"/>
          <w:color w:val="162236"/>
          <w:sz w:val="22"/>
        </w:rPr>
        <w:t>Restorative reference aligned with the proposed implant position for a single posterior implant case.</w:t>
      </w:r>
    </w:p>
    <w:p>
      <w:pPr>
        <w:numPr>
          <w:ilvl w:val="0"/>
          <w:numId w:val="18"/>
        </w:numPr>
        <w:spacing w:before="0" w:after="80" w:line="300" w:lineRule="auto"/>
        <w:keepLines w:val="1"/>
      </w:pPr>
      <w:r>
        <w:rPr>
          <w:rFonts w:ascii="Calibri" w:hAnsi="Calibri" w:eastAsia="Calibri"/>
          <w:color w:val="162236"/>
          <w:sz w:val="22"/>
        </w:rPr>
        <w:t>Digital implant plan showing the proposed position in relation to anatomy and restorative reference.</w:t>
      </w:r>
    </w:p>
    <w:p>
      <w:pPr>
        <w:numPr>
          <w:ilvl w:val="0"/>
          <w:numId w:val="18"/>
        </w:numPr>
        <w:spacing w:before="0" w:after="80" w:line="300" w:lineRule="auto"/>
        <w:keepLines w:val="1"/>
      </w:pPr>
      <w:r>
        <w:rPr>
          <w:rFonts w:ascii="Calibri" w:hAnsi="Calibri" w:eastAsia="Calibri"/>
          <w:color w:val="162236"/>
          <w:sz w:val="22"/>
        </w:rPr>
        <w:t>Tooth-supported surgical guide seated on a de-identified printed model.</w:t>
      </w:r>
    </w:p>
    <w:p>
      <w:pPr>
        <w:numPr>
          <w:ilvl w:val="0"/>
          <w:numId w:val="18"/>
        </w:numPr>
        <w:spacing w:before="0" w:after="80" w:line="300" w:lineRule="auto"/>
        <w:keepLines w:val="1"/>
      </w:pPr>
      <w:r>
        <w:rPr>
          <w:rFonts w:ascii="Calibri" w:hAnsi="Calibri" w:eastAsia="Calibri"/>
          <w:color w:val="162236"/>
          <w:sz w:val="22"/>
        </w:rPr>
        <w:t>Clinician review screen showing plan status and revision controls without patient identifiers.</w:t>
      </w:r>
    </w:p>
    <w:p>
      <w:pPr>
        <w:numPr>
          <w:ilvl w:val="0"/>
          <w:numId w:val="18"/>
        </w:numPr>
        <w:spacing w:before="0" w:after="80" w:line="300" w:lineRule="auto"/>
        <w:keepLines w:val="1"/>
      </w:pPr>
      <w:r>
        <w:rPr>
          <w:rFonts w:ascii="Calibri" w:hAnsi="Calibri" w:eastAsia="Calibri"/>
          <w:color w:val="162236"/>
          <w:sz w:val="22"/>
        </w:rPr>
        <w:t>Five-stage guided implant case sequence from submitted records to delivered surgical guide.</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IMAGE INTEGRITY  </w:t>
      </w:r>
      <w:r>
        <w:rPr>
          <w:rFonts w:ascii="Calibri" w:hAnsi="Calibri" w:eastAsia="Calibri"/>
          <w:b w:val="0"/>
          <w:color w:val="162236"/>
          <w:sz w:val="22"/>
        </w:rPr>
        <w:t>Do not use generative imagery to represent a real patient, real implant plan, real guide fit or real treatment outcome.</w:t>
      </w:r>
    </w:p>
    <w:p>
      <w:pPr>
        <w:pStyle w:val="Heading1"/>
        <w:pageBreakBefore w:val="1"/>
        <w:keepNext w:val="1"/>
        <w:keepLines w:val="1"/>
      </w:pPr>
      <w:r>
        <w:t>6. Mobile, accessibility and interaction</w:t>
      </w:r>
    </w:p>
    <w:p>
      <w:pPr>
        <w:pStyle w:val="Heading2"/>
        <w:keepNext w:val="1"/>
        <w:keepLines w:val="1"/>
      </w:pPr>
      <w:r>
        <w:t>Mobile reading order</w:t>
      </w:r>
    </w:p>
    <w:p>
      <w:pPr>
        <w:numPr>
          <w:ilvl w:val="0"/>
          <w:numId w:val="19"/>
        </w:numPr>
        <w:spacing w:before="0" w:after="100" w:line="300" w:lineRule="auto"/>
        <w:keepLines w:val="1"/>
      </w:pPr>
      <w:r>
        <w:rPr>
          <w:rFonts w:ascii="Calibri" w:hAnsi="Calibri" w:eastAsia="Calibri"/>
          <w:b/>
          <w:color w:val="162236"/>
          <w:sz w:val="22"/>
        </w:rPr>
        <w:t xml:space="preserve">Hero meaning. </w:t>
      </w:r>
      <w:r>
        <w:rPr>
          <w:rFonts w:ascii="Calibri" w:hAnsi="Calibri" w:eastAsia="Calibri"/>
          <w:color w:val="162236"/>
          <w:sz w:val="22"/>
        </w:rPr>
        <w:t>Eyebrow, H1, support copy and primary action.</w:t>
      </w:r>
    </w:p>
    <w:p>
      <w:pPr>
        <w:numPr>
          <w:ilvl w:val="0"/>
          <w:numId w:val="19"/>
        </w:numPr>
        <w:spacing w:before="0" w:after="100" w:line="300" w:lineRule="auto"/>
        <w:keepLines w:val="1"/>
      </w:pPr>
      <w:r>
        <w:rPr>
          <w:rFonts w:ascii="Calibri" w:hAnsi="Calibri" w:eastAsia="Calibri"/>
          <w:b/>
          <w:color w:val="162236"/>
          <w:sz w:val="22"/>
        </w:rPr>
        <w:t xml:space="preserve">Case recognition. </w:t>
      </w:r>
      <w:r>
        <w:rPr>
          <w:rFonts w:ascii="Calibri" w:hAnsi="Calibri" w:eastAsia="Calibri"/>
          <w:color w:val="162236"/>
          <w:sz w:val="22"/>
        </w:rPr>
        <w:t>Workflow-fit cards before the planning explanation.</w:t>
      </w:r>
    </w:p>
    <w:p>
      <w:pPr>
        <w:numPr>
          <w:ilvl w:val="0"/>
          <w:numId w:val="19"/>
        </w:numPr>
        <w:spacing w:before="0" w:after="100" w:line="300" w:lineRule="auto"/>
        <w:keepLines w:val="1"/>
      </w:pPr>
      <w:r>
        <w:rPr>
          <w:rFonts w:ascii="Calibri" w:hAnsi="Calibri" w:eastAsia="Calibri"/>
          <w:b/>
          <w:color w:val="162236"/>
          <w:sz w:val="22"/>
        </w:rPr>
        <w:t xml:space="preserve">Workflow value. </w:t>
      </w:r>
      <w:r>
        <w:rPr>
          <w:rFonts w:ascii="Calibri" w:hAnsi="Calibri" w:eastAsia="Calibri"/>
          <w:color w:val="162236"/>
          <w:sz w:val="22"/>
        </w:rPr>
        <w:t>Four planning inputs and six stages.</w:t>
      </w:r>
    </w:p>
    <w:p>
      <w:pPr>
        <w:numPr>
          <w:ilvl w:val="0"/>
          <w:numId w:val="19"/>
        </w:numPr>
        <w:spacing w:before="0" w:after="100" w:line="300" w:lineRule="auto"/>
        <w:keepLines w:val="1"/>
      </w:pPr>
      <w:r>
        <w:rPr>
          <w:rFonts w:ascii="Calibri" w:hAnsi="Calibri" w:eastAsia="Calibri"/>
          <w:b/>
          <w:color w:val="162236"/>
          <w:sz w:val="22"/>
        </w:rPr>
        <w:t xml:space="preserve">Clinician control. </w:t>
      </w:r>
      <w:r>
        <w:rPr>
          <w:rFonts w:ascii="Calibri" w:hAnsi="Calibri" w:eastAsia="Calibri"/>
          <w:color w:val="162236"/>
          <w:sz w:val="22"/>
        </w:rPr>
        <w:t>Review copy before any scope or evidence module.</w:t>
      </w:r>
    </w:p>
    <w:p>
      <w:pPr>
        <w:numPr>
          <w:ilvl w:val="0"/>
          <w:numId w:val="19"/>
        </w:numPr>
        <w:spacing w:before="0" w:after="100" w:line="300" w:lineRule="auto"/>
        <w:keepLines w:val="1"/>
      </w:pPr>
      <w:r>
        <w:rPr>
          <w:rFonts w:ascii="Calibri" w:hAnsi="Calibri" w:eastAsia="Calibri"/>
          <w:b/>
          <w:color w:val="162236"/>
          <w:sz w:val="22"/>
        </w:rPr>
        <w:t xml:space="preserve">Readiness. </w:t>
      </w:r>
      <w:r>
        <w:rPr>
          <w:rFonts w:ascii="Calibri" w:hAnsi="Calibri" w:eastAsia="Calibri"/>
          <w:color w:val="162236"/>
          <w:sz w:val="22"/>
        </w:rPr>
        <w:t>Requirements and complete-checklist link.</w:t>
      </w:r>
    </w:p>
    <w:p>
      <w:pPr>
        <w:numPr>
          <w:ilvl w:val="0"/>
          <w:numId w:val="19"/>
        </w:numPr>
        <w:spacing w:before="0" w:after="100" w:line="300" w:lineRule="auto"/>
        <w:keepLines w:val="1"/>
      </w:pPr>
      <w:r>
        <w:rPr>
          <w:rFonts w:ascii="Calibri" w:hAnsi="Calibri" w:eastAsia="Calibri"/>
          <w:b/>
          <w:color w:val="162236"/>
          <w:sz w:val="22"/>
        </w:rPr>
        <w:t xml:space="preserve">Scope and proof. </w:t>
      </w:r>
      <w:r>
        <w:rPr>
          <w:rFonts w:ascii="Calibri" w:hAnsi="Calibri" w:eastAsia="Calibri"/>
          <w:color w:val="162236"/>
          <w:sz w:val="22"/>
        </w:rPr>
        <w:t>Ways to work, then the verified case module if available.</w:t>
      </w:r>
    </w:p>
    <w:p>
      <w:pPr>
        <w:numPr>
          <w:ilvl w:val="0"/>
          <w:numId w:val="19"/>
        </w:numPr>
        <w:spacing w:before="0" w:after="100" w:line="300" w:lineRule="auto"/>
        <w:keepLines w:val="1"/>
      </w:pPr>
      <w:r>
        <w:rPr>
          <w:rFonts w:ascii="Calibri" w:hAnsi="Calibri" w:eastAsia="Calibri"/>
          <w:b/>
          <w:color w:val="162236"/>
          <w:sz w:val="22"/>
        </w:rPr>
        <w:t xml:space="preserve">Questions and action. </w:t>
      </w:r>
      <w:r>
        <w:rPr>
          <w:rFonts w:ascii="Calibri" w:hAnsi="Calibri" w:eastAsia="Calibri"/>
          <w:color w:val="162236"/>
          <w:sz w:val="22"/>
        </w:rPr>
        <w:t>FAQ followed by the two closing routes.</w:t>
      </w:r>
    </w:p>
    <w:p>
      <w:pPr>
        <w:pStyle w:val="Heading2"/>
        <w:keepNext w:val="1"/>
        <w:keepLines w:val="1"/>
      </w:pPr>
      <w:r>
        <w:t>Interaction requirements</w:t>
      </w:r>
    </w:p>
    <w:p>
      <w:pPr>
        <w:numPr>
          <w:ilvl w:val="0"/>
          <w:numId w:val="20"/>
        </w:numPr>
        <w:spacing w:before="0" w:after="80" w:line="300" w:lineRule="auto"/>
        <w:keepLines w:val="1"/>
      </w:pPr>
      <w:r>
        <w:rPr>
          <w:rFonts w:ascii="Calibri" w:hAnsi="Calibri" w:eastAsia="Calibri"/>
          <w:color w:val="162236"/>
          <w:sz w:val="22"/>
        </w:rPr>
        <w:t>Keep one primary mobile CTA visible after the visitor has passed the hero; label it Start Case only if space requires.</w:t>
      </w:r>
    </w:p>
    <w:p>
      <w:pPr>
        <w:numPr>
          <w:ilvl w:val="0"/>
          <w:numId w:val="20"/>
        </w:numPr>
        <w:spacing w:before="0" w:after="80" w:line="300" w:lineRule="auto"/>
        <w:keepLines w:val="1"/>
      </w:pPr>
      <w:r>
        <w:rPr>
          <w:rFonts w:ascii="Calibri" w:hAnsi="Calibri" w:eastAsia="Calibri"/>
          <w:color w:val="162236"/>
          <w:sz w:val="22"/>
        </w:rPr>
        <w:t>Use at least 48 px tap targets and visible keyboard focus states.</w:t>
      </w:r>
    </w:p>
    <w:p>
      <w:pPr>
        <w:numPr>
          <w:ilvl w:val="0"/>
          <w:numId w:val="20"/>
        </w:numPr>
        <w:spacing w:before="0" w:after="80" w:line="300" w:lineRule="auto"/>
        <w:keepLines w:val="1"/>
      </w:pPr>
      <w:r>
        <w:rPr>
          <w:rFonts w:ascii="Calibri" w:hAnsi="Calibri" w:eastAsia="Calibri"/>
          <w:color w:val="162236"/>
          <w:sz w:val="22"/>
        </w:rPr>
        <w:t>Do not rely on colour alone for active, warning, error or approval states.</w:t>
      </w:r>
    </w:p>
    <w:p>
      <w:pPr>
        <w:numPr>
          <w:ilvl w:val="0"/>
          <w:numId w:val="20"/>
        </w:numPr>
        <w:spacing w:before="0" w:after="80" w:line="300" w:lineRule="auto"/>
        <w:keepLines w:val="1"/>
      </w:pPr>
      <w:r>
        <w:rPr>
          <w:rFonts w:ascii="Calibri" w:hAnsi="Calibri" w:eastAsia="Calibri"/>
          <w:color w:val="162236"/>
          <w:sz w:val="22"/>
        </w:rPr>
        <w:t>Use real buttons for actions and links for navigation.</w:t>
      </w:r>
    </w:p>
    <w:p>
      <w:pPr>
        <w:numPr>
          <w:ilvl w:val="0"/>
          <w:numId w:val="20"/>
        </w:numPr>
        <w:spacing w:before="0" w:after="80" w:line="300" w:lineRule="auto"/>
        <w:keepLines w:val="1"/>
      </w:pPr>
      <w:r>
        <w:rPr>
          <w:rFonts w:ascii="Calibri" w:hAnsi="Calibri" w:eastAsia="Calibri"/>
          <w:color w:val="162236"/>
          <w:sz w:val="22"/>
        </w:rPr>
        <w:t>Accordions must expose state to assistive technology and remain usable without precise pointer control.</w:t>
      </w:r>
    </w:p>
    <w:p>
      <w:pPr>
        <w:numPr>
          <w:ilvl w:val="0"/>
          <w:numId w:val="20"/>
        </w:numPr>
        <w:spacing w:before="0" w:after="80" w:line="300" w:lineRule="auto"/>
        <w:keepLines w:val="1"/>
      </w:pPr>
      <w:r>
        <w:rPr>
          <w:rFonts w:ascii="Calibri" w:hAnsi="Calibri" w:eastAsia="Calibri"/>
          <w:color w:val="162236"/>
          <w:sz w:val="22"/>
        </w:rPr>
        <w:t>All images require useful alt text; decorative layers use empty alt attributes.</w:t>
      </w:r>
    </w:p>
    <w:p>
      <w:pPr>
        <w:numPr>
          <w:ilvl w:val="0"/>
          <w:numId w:val="20"/>
        </w:numPr>
        <w:spacing w:before="0" w:after="80" w:line="300" w:lineRule="auto"/>
        <w:keepLines w:val="1"/>
      </w:pPr>
      <w:r>
        <w:rPr>
          <w:rFonts w:ascii="Calibri" w:hAnsi="Calibri" w:eastAsia="Calibri"/>
          <w:color w:val="162236"/>
          <w:sz w:val="22"/>
        </w:rPr>
        <w:t>Maintain WCAG AA contrast after the master blue is extracted and derived tones are generated.</w:t>
      </w:r>
    </w:p>
    <w:p>
      <w:pPr>
        <w:numPr>
          <w:ilvl w:val="0"/>
          <w:numId w:val="20"/>
        </w:numPr>
        <w:spacing w:before="0" w:after="80" w:line="300" w:lineRule="auto"/>
        <w:keepLines w:val="1"/>
      </w:pPr>
      <w:r>
        <w:rPr>
          <w:rFonts w:ascii="Calibri" w:hAnsi="Calibri" w:eastAsia="Calibri"/>
          <w:color w:val="162236"/>
          <w:sz w:val="22"/>
        </w:rPr>
        <w:t>Respect reduced motion and avoid auto-advancing case carousels.</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CONTENT EQUIVALENCE  </w:t>
      </w:r>
      <w:r>
        <w:rPr>
          <w:rFonts w:ascii="Calibri" w:hAnsi="Calibri" w:eastAsia="Calibri"/>
          <w:b w:val="0"/>
          <w:color w:val="162236"/>
          <w:sz w:val="22"/>
        </w:rPr>
        <w:t>Mobile must contain the same indexable headings, copy, evidence captions and links as desktop. Do not remove useful content to simplify the visual layout.</w:t>
      </w:r>
    </w:p>
    <w:p>
      <w:pPr>
        <w:pStyle w:val="Heading1"/>
        <w:pageBreakBefore w:val="1"/>
        <w:keepNext w:val="1"/>
        <w:keepLines w:val="1"/>
      </w:pPr>
      <w:r>
        <w:t>7. Developer and SEO handoff</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00"/>
        <w:gridCol w:w="7460"/>
      </w:tblGrid>
      <w:tr>
        <w:trPr>
          <w:tblHeader w:val="true"/>
        </w:trPr>
        <w:tc>
          <w:tcPr>
            <w:tcW w:type="dxa" w:w="19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Control</w:t>
            </w:r>
          </w:p>
        </w:tc>
        <w:tc>
          <w:tcPr>
            <w:tcW w:type="dxa" w:w="74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Implementation requirement</w:t>
            </w:r>
          </w:p>
        </w:tc>
      </w:tr>
      <w:t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Canonical</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Self-referencing canonical on /guided-implant-workflow/.</w:t>
            </w:r>
          </w:p>
        </w:tc>
      </w:tr>
      <w:t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Indexing</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Index, follow after content, evidence and portal destinations pass acceptance.</w:t>
            </w:r>
          </w:p>
        </w:tc>
      </w:tr>
      <w:t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Headings</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One H1; section H2s in the published order; card labels use H3 only when structurally appropriate.</w:t>
            </w:r>
          </w:p>
        </w:tc>
      </w:tr>
      <w:t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Breadcrumbs</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Home &gt; Clinical Workflow Solutions &gt; Guided Implant Workflow.</w:t>
            </w:r>
          </w:p>
        </w:tc>
      </w:tr>
      <w:t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Structured data</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Organization on the homepage. On this page, use BreadcrumbList and only visible, accurate Service information. Do not invent FAQ rich-result eligibility.</w:t>
            </w:r>
          </w:p>
        </w:tc>
      </w:tr>
      <w:t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Open Graph</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the hero case image, final title and concise description; no generic stock asset.</w:t>
            </w:r>
          </w:p>
        </w:tc>
      </w:tr>
      <w:t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Images</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Responsive AVIF/WebP where supported, explicit dimensions, lazy-load below the fold, preserve meaningful alt text.</w:t>
            </w:r>
          </w:p>
        </w:tc>
      </w:tr>
      <w:t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Performance</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No heavy planning animation in the hero. Optimise the largest case image for Core Web Vitals.</w:t>
            </w:r>
          </w:p>
        </w:tc>
      </w:tr>
      <w:t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Forms</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No clinical upload on the public page. Complex-case enquiry accepts professional contact and fit questions only.</w:t>
            </w:r>
          </w:p>
        </w:tc>
      </w:tr>
      <w:tr>
        <w:tc>
          <w:tcPr>
            <w:tcW w:type="dxa" w:w="19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Portal</w:t>
            </w:r>
          </w:p>
        </w:tc>
        <w:tc>
          <w:tcPr>
            <w:tcW w:type="dxa" w:w="74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Carry workflow=guided-implant into the authenticated case-start route and restore the intended action after login.</w:t>
            </w:r>
          </w:p>
        </w:tc>
      </w:tr>
    </w:tbl>
    <w:p>
      <w:pPr>
        <w:spacing w:before="0" w:after="80" w:line="300" w:lineRule="auto"/>
        <w:jc w:val="left"/>
      </w:pPr>
      <w:r>
        <w:rPr>
          <w:rFonts w:ascii="Calibri" w:hAnsi="Calibri" w:eastAsia="Calibri"/>
          <w:b w:val="0"/>
          <w:i w:val="0"/>
          <w:color w:val="162236"/>
          <w:sz w:val="22"/>
        </w:rPr>
      </w:r>
    </w:p>
    <w:p>
      <w:pPr>
        <w:pStyle w:val="Heading2"/>
        <w:keepNext w:val="1"/>
        <w:keepLines w:val="1"/>
      </w:pPr>
      <w:r>
        <w:t>Recommended analytics events</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400"/>
        <w:gridCol w:w="3300"/>
        <w:gridCol w:w="3660"/>
      </w:tblGrid>
      <w:tr>
        <w:trPr>
          <w:tblHeader w:val="true"/>
        </w:trPr>
        <w:tc>
          <w:tcPr>
            <w:tcW w:type="dxa" w:w="24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Event</w:t>
            </w:r>
          </w:p>
        </w:tc>
        <w:tc>
          <w:tcPr>
            <w:tcW w:type="dxa" w:w="33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Trigger</w:t>
            </w:r>
          </w:p>
        </w:tc>
        <w:tc>
          <w:tcPr>
            <w:tcW w:type="dxa" w:w="36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Useful property</w:t>
            </w:r>
          </w:p>
        </w:tc>
      </w:tr>
      <w:t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guided_case_start_click</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Primary case CTA</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placement; device; logged_in_state</w:t>
            </w:r>
          </w:p>
        </w:tc>
      </w:tr>
      <w:t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guided_requirements_view</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Requirements anchor or page link</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source_section</w:t>
            </w:r>
          </w:p>
        </w:tc>
      </w:tr>
      <w:t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guided_complex_discussion_click</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Complex-case CTA</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source_section</w:t>
            </w:r>
          </w:p>
        </w:tc>
      </w:tr>
      <w:t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guided_scope_select</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Scope card CTA</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scope_name</w:t>
            </w:r>
          </w:p>
        </w:tc>
      </w:tr>
      <w:t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guided_portal_open</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Returning-user portal link</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source_section</w:t>
            </w:r>
          </w:p>
        </w:tc>
      </w:tr>
      <w:tr>
        <w:tc>
          <w:tcPr>
            <w:tcW w:type="dxa" w:w="24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guided_faq_open</w:t>
            </w:r>
          </w:p>
        </w:tc>
        <w:tc>
          <w:tcPr>
            <w:tcW w:type="dxa" w:w="33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FAQ expansion</w:t>
            </w:r>
          </w:p>
        </w:tc>
        <w:tc>
          <w:tcPr>
            <w:tcW w:type="dxa" w:w="36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question_id</w:t>
            </w:r>
          </w:p>
        </w:tc>
      </w:tr>
    </w:tbl>
    <w:p>
      <w:pPr>
        <w:spacing w:before="0" w:after="80" w:line="300" w:lineRule="auto"/>
        <w:jc w:val="left"/>
      </w:pPr>
      <w:r>
        <w:rPr>
          <w:rFonts w:ascii="Calibri" w:hAnsi="Calibri" w:eastAsia="Calibri"/>
          <w:b w:val="0"/>
          <w:i w:val="0"/>
          <w:color w:val="162236"/>
          <w:sz w:val="22"/>
        </w:rPr>
      </w:r>
    </w:p>
    <w:p>
      <w:pPr>
        <w:spacing w:before="0" w:after="120" w:line="300" w:lineRule="auto"/>
        <w:jc w:val="left"/>
      </w:pPr>
      <w:r>
        <w:rPr>
          <w:rFonts w:ascii="Calibri" w:hAnsi="Calibri" w:eastAsia="Calibri"/>
          <w:b w:val="0"/>
          <w:i/>
          <w:color w:val="5F6B7A"/>
          <w:sz w:val="20"/>
        </w:rPr>
        <w:t>Analytics must not include patient names, clinical file names, case notes, DICOM metadata or other patient-level content.</w:t>
      </w:r>
    </w:p>
    <w:p>
      <w:pPr>
        <w:pStyle w:val="Heading1"/>
        <w:pageBreakBefore w:val="1"/>
        <w:keepNext w:val="1"/>
        <w:keepLines w:val="1"/>
      </w:pPr>
      <w:r>
        <w:t>8. Case Portal alignment</w:t>
      </w:r>
    </w:p>
    <w:p>
      <w:pPr>
        <w:pStyle w:val="Heading2"/>
        <w:keepNext w:val="1"/>
        <w:keepLines w:val="1"/>
      </w:pPr>
      <w:r>
        <w:t>Case-start handoff</w:t>
      </w:r>
    </w:p>
    <w:p>
      <w:pPr>
        <w:numPr>
          <w:ilvl w:val="0"/>
          <w:numId w:val="21"/>
        </w:numPr>
        <w:spacing w:before="0" w:after="100" w:line="300" w:lineRule="auto"/>
        <w:keepLines w:val="1"/>
      </w:pPr>
      <w:r>
        <w:rPr>
          <w:rFonts w:ascii="Calibri" w:hAnsi="Calibri" w:eastAsia="Calibri"/>
          <w:b/>
          <w:color w:val="162236"/>
          <w:sz w:val="22"/>
        </w:rPr>
        <w:t xml:space="preserve">Preserve intent. </w:t>
      </w:r>
      <w:r>
        <w:rPr>
          <w:rFonts w:ascii="Calibri" w:hAnsi="Calibri" w:eastAsia="Calibri"/>
          <w:color w:val="162236"/>
          <w:sz w:val="22"/>
        </w:rPr>
        <w:t>The website CTA sends workflow=guided-implant into the portal.</w:t>
      </w:r>
    </w:p>
    <w:p>
      <w:pPr>
        <w:numPr>
          <w:ilvl w:val="0"/>
          <w:numId w:val="21"/>
        </w:numPr>
        <w:spacing w:before="0" w:after="100" w:line="300" w:lineRule="auto"/>
        <w:keepLines w:val="1"/>
      </w:pPr>
      <w:r>
        <w:rPr>
          <w:rFonts w:ascii="Calibri" w:hAnsi="Calibri" w:eastAsia="Calibri"/>
          <w:b/>
          <w:color w:val="162236"/>
          <w:sz w:val="22"/>
        </w:rPr>
        <w:t xml:space="preserve">Authenticate safely. </w:t>
      </w:r>
      <w:r>
        <w:rPr>
          <w:rFonts w:ascii="Calibri" w:hAnsi="Calibri" w:eastAsia="Calibri"/>
          <w:color w:val="162236"/>
          <w:sz w:val="22"/>
        </w:rPr>
        <w:t>A signed-out user logs in or creates the appropriate professional account, then returns to the intended case start.</w:t>
      </w:r>
    </w:p>
    <w:p>
      <w:pPr>
        <w:numPr>
          <w:ilvl w:val="0"/>
          <w:numId w:val="21"/>
        </w:numPr>
        <w:spacing w:before="0" w:after="100" w:line="300" w:lineRule="auto"/>
        <w:keepLines w:val="1"/>
      </w:pPr>
      <w:r>
        <w:rPr>
          <w:rFonts w:ascii="Calibri" w:hAnsi="Calibri" w:eastAsia="Calibri"/>
          <w:b/>
          <w:color w:val="162236"/>
          <w:sz w:val="22"/>
        </w:rPr>
        <w:t xml:space="preserve">Confirm scope. </w:t>
      </w:r>
      <w:r>
        <w:rPr>
          <w:rFonts w:ascii="Calibri" w:hAnsi="Calibri" w:eastAsia="Calibri"/>
          <w:color w:val="162236"/>
          <w:sz w:val="22"/>
        </w:rPr>
        <w:t>The portal asks for design-only, design-to-delivery or another verified operating scope.</w:t>
      </w:r>
    </w:p>
    <w:p>
      <w:pPr>
        <w:numPr>
          <w:ilvl w:val="0"/>
          <w:numId w:val="21"/>
        </w:numPr>
        <w:spacing w:before="0" w:after="100" w:line="300" w:lineRule="auto"/>
        <w:keepLines w:val="1"/>
      </w:pPr>
      <w:r>
        <w:rPr>
          <w:rFonts w:ascii="Calibri" w:hAnsi="Calibri" w:eastAsia="Calibri"/>
          <w:b/>
          <w:color w:val="162236"/>
          <w:sz w:val="22"/>
        </w:rPr>
        <w:t xml:space="preserve">Collect the case brief. </w:t>
      </w:r>
      <w:r>
        <w:rPr>
          <w:rFonts w:ascii="Calibri" w:hAnsi="Calibri" w:eastAsia="Calibri"/>
          <w:color w:val="162236"/>
          <w:sz w:val="22"/>
        </w:rPr>
        <w:t>Use structured clinical-workflow fields before file upload.</w:t>
      </w:r>
    </w:p>
    <w:p>
      <w:pPr>
        <w:numPr>
          <w:ilvl w:val="0"/>
          <w:numId w:val="21"/>
        </w:numPr>
        <w:spacing w:before="0" w:after="100" w:line="300" w:lineRule="auto"/>
        <w:keepLines w:val="1"/>
      </w:pPr>
      <w:r>
        <w:rPr>
          <w:rFonts w:ascii="Calibri" w:hAnsi="Calibri" w:eastAsia="Calibri"/>
          <w:b/>
          <w:color w:val="162236"/>
          <w:sz w:val="22"/>
        </w:rPr>
        <w:t xml:space="preserve">Validate records. </w:t>
      </w:r>
      <w:r>
        <w:rPr>
          <w:rFonts w:ascii="Calibri" w:hAnsi="Calibri" w:eastAsia="Calibri"/>
          <w:color w:val="162236"/>
          <w:sz w:val="22"/>
        </w:rPr>
        <w:t>Show what is present, missing or unreadable without implying a clinical diagnosis.</w:t>
      </w:r>
    </w:p>
    <w:p>
      <w:pPr>
        <w:numPr>
          <w:ilvl w:val="0"/>
          <w:numId w:val="21"/>
        </w:numPr>
        <w:spacing w:before="0" w:after="100" w:line="300" w:lineRule="auto"/>
        <w:keepLines w:val="1"/>
      </w:pPr>
      <w:r>
        <w:rPr>
          <w:rFonts w:ascii="Calibri" w:hAnsi="Calibri" w:eastAsia="Calibri"/>
          <w:b/>
          <w:color w:val="162236"/>
          <w:sz w:val="22"/>
        </w:rPr>
        <w:t xml:space="preserve">Route to review. </w:t>
      </w:r>
      <w:r>
        <w:rPr>
          <w:rFonts w:ascii="Calibri" w:hAnsi="Calibri" w:eastAsia="Calibri"/>
          <w:color w:val="162236"/>
          <w:sz w:val="22"/>
        </w:rPr>
        <w:t>Use the same review, revision and approval language promised on the public page.</w:t>
      </w:r>
    </w:p>
    <w:p>
      <w:pPr>
        <w:pStyle w:val="Heading2"/>
        <w:keepNext w:val="1"/>
        <w:keepLines w:val="1"/>
      </w:pPr>
      <w:r>
        <w:t>Shared terminology</w:t>
      </w:r>
    </w:p>
    <w:tbl>
      <w:tblPr>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600"/>
        <w:gridCol w:w="2500"/>
        <w:gridCol w:w="4260"/>
      </w:tblGrid>
      <w:tr>
        <w:trPr>
          <w:tblHeader w:val="true"/>
        </w:trPr>
        <w:tc>
          <w:tcPr>
            <w:tcW w:type="dxa" w:w="26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Public page</w:t>
            </w:r>
          </w:p>
        </w:tc>
        <w:tc>
          <w:tcPr>
            <w:tcW w:type="dxa" w:w="250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Portal term</w:t>
            </w:r>
          </w:p>
        </w:tc>
        <w:tc>
          <w:tcPr>
            <w:tcW w:type="dxa" w:w="4260"/>
            <w:vAlign w:val="center"/>
            <w:tcMar>
              <w:top w:w="100" w:type="dxa"/>
              <w:start w:w="120" w:type="dxa"/>
              <w:bottom w:w="100" w:type="dxa"/>
              <w:end w:w="120" w:type="dxa"/>
            </w:tcMar>
            <w:shd w:fill="E8EEF5"/>
          </w:tcPr>
          <w:p>
            <w:pPr>
              <w:spacing w:before="0" w:after="0" w:line="276" w:lineRule="auto"/>
            </w:pPr>
            <w:r>
              <w:rPr>
                <w:rFonts w:ascii="Calibri" w:hAnsi="Calibri" w:eastAsia="Calibri"/>
                <w:b/>
                <w:color w:val="1F4D78"/>
                <w:sz w:val="19"/>
              </w:rPr>
              <w:t>Rule</w:t>
            </w:r>
          </w:p>
        </w:tc>
      </w:tr>
      <w:t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Start a Guided Implant Case</w:t>
            </w:r>
          </w:p>
        </w:tc>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Start a Case</w:t>
            </w:r>
          </w:p>
        </w:tc>
        <w:tc>
          <w:tcPr>
            <w:tcW w:type="dxa" w:w="42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Guided Implant Workflow is preselected.</w:t>
            </w:r>
          </w:p>
        </w:tc>
      </w:tr>
      <w:t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Records received</w:t>
            </w:r>
          </w:p>
        </w:tc>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Files Received</w:t>
            </w:r>
          </w:p>
        </w:tc>
        <w:tc>
          <w:tcPr>
            <w:tcW w:type="dxa" w:w="42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Receipt is not the same as validation.</w:t>
            </w:r>
          </w:p>
        </w:tc>
      </w:tr>
      <w:t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Records usable</w:t>
            </w:r>
          </w:p>
        </w:tc>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Data Check Complete</w:t>
            </w:r>
          </w:p>
        </w:tc>
        <w:tc>
          <w:tcPr>
            <w:tcW w:type="dxa" w:w="42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Use only when the operating team has completed the stated check.</w:t>
            </w:r>
          </w:p>
        </w:tc>
      </w:tr>
      <w:t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Ready for Review</w:t>
            </w:r>
          </w:p>
        </w:tc>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Ready for Review</w:t>
            </w:r>
          </w:p>
        </w:tc>
        <w:tc>
          <w:tcPr>
            <w:tcW w:type="dxa" w:w="42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The clinician can inspect the proposed plan and notes.</w:t>
            </w:r>
          </w:p>
        </w:tc>
      </w:tr>
      <w:t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Request Changes</w:t>
            </w:r>
          </w:p>
        </w:tc>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Changes Requested</w:t>
            </w:r>
          </w:p>
        </w:tc>
        <w:tc>
          <w:tcPr>
            <w:tcW w:type="dxa" w:w="42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Keep revision history and updated version visible.</w:t>
            </w:r>
          </w:p>
        </w:tc>
      </w:tr>
      <w:t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Approve for Production</w:t>
            </w:r>
          </w:p>
        </w:tc>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Approved for Production</w:t>
            </w:r>
          </w:p>
        </w:tc>
        <w:tc>
          <w:tcPr>
            <w:tcW w:type="dxa" w:w="42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Record the approved plan version and decision time.</w:t>
            </w:r>
          </w:p>
        </w:tc>
      </w:tr>
      <w:tr>
        <w:tc>
          <w:tcPr>
            <w:tcW w:type="dxa" w:w="26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Delivered</w:t>
            </w:r>
          </w:p>
        </w:tc>
        <w:tc>
          <w:tcPr>
            <w:tcW w:type="dxa" w:w="250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Delivered</w:t>
            </w:r>
          </w:p>
        </w:tc>
        <w:tc>
          <w:tcPr>
            <w:tcW w:type="dxa" w:w="4260"/>
            <w:vAlign w:val="center"/>
            <w:tcMar>
              <w:top w:w="100" w:type="dxa"/>
              <w:start w:w="120" w:type="dxa"/>
              <w:bottom w:w="100" w:type="dxa"/>
              <w:end w:w="120" w:type="dxa"/>
            </w:tcMar>
          </w:tcPr>
          <w:p>
            <w:pPr>
              <w:spacing w:before="0" w:after="0" w:line="276" w:lineRule="auto"/>
            </w:pPr>
            <w:r>
              <w:rPr>
                <w:rFonts w:ascii="Calibri" w:hAnsi="Calibri" w:eastAsia="Calibri"/>
                <w:color w:val="162236"/>
                <w:sz w:val="17"/>
              </w:rPr>
              <w:t>Specify files, guide or shipment according to scope.</w:t>
            </w:r>
          </w:p>
        </w:tc>
      </w:tr>
    </w:tbl>
    <w:p>
      <w:pPr>
        <w:spacing w:before="0" w:after="80" w:line="300" w:lineRule="auto"/>
        <w:jc w:val="left"/>
      </w:pPr>
      <w:r>
        <w:rPr>
          <w:rFonts w:ascii="Calibri" w:hAnsi="Calibri" w:eastAsia="Calibri"/>
          <w:b w:val="0"/>
          <w:i w:val="0"/>
          <w:color w:val="162236"/>
          <w:sz w:val="22"/>
        </w:rPr>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DO NOT OVER-PROMISE  </w:t>
      </w:r>
      <w:r>
        <w:rPr>
          <w:rFonts w:ascii="Calibri" w:hAnsi="Calibri" w:eastAsia="Calibri"/>
          <w:b w:val="0"/>
          <w:color w:val="162236"/>
          <w:sz w:val="22"/>
        </w:rPr>
        <w:t>Public copy and portal states must reflect the real operating system. If a validation, version-control or approval feature is not live, adjust the promise before publication.</w:t>
      </w:r>
    </w:p>
    <w:p>
      <w:pPr>
        <w:pStyle w:val="Heading1"/>
        <w:pageBreakBefore w:val="1"/>
        <w:keepNext w:val="1"/>
        <w:keepLines w:val="1"/>
      </w:pPr>
      <w:r>
        <w:t>9. Evidence, clinical and publication controls</w:t>
      </w:r>
    </w:p>
    <w:p>
      <w:pPr>
        <w:pStyle w:val="Heading2"/>
        <w:keepNext w:val="1"/>
        <w:keepLines w:val="1"/>
      </w:pPr>
      <w:r>
        <w:t>Claims that remain blocked</w:t>
      </w:r>
    </w:p>
    <w:p>
      <w:pPr>
        <w:numPr>
          <w:ilvl w:val="0"/>
          <w:numId w:val="22"/>
        </w:numPr>
        <w:spacing w:before="0" w:after="80" w:line="300" w:lineRule="auto"/>
        <w:keepLines w:val="1"/>
      </w:pPr>
      <w:r>
        <w:rPr>
          <w:rFonts w:ascii="Calibri" w:hAnsi="Calibri" w:eastAsia="Calibri"/>
          <w:color w:val="162236"/>
          <w:sz w:val="22"/>
        </w:rPr>
        <w:t>Exact case volume, dentist count, countries served or years stated as a current figure without documented evidence.</w:t>
      </w:r>
    </w:p>
    <w:p>
      <w:pPr>
        <w:numPr>
          <w:ilvl w:val="0"/>
          <w:numId w:val="22"/>
        </w:numPr>
        <w:spacing w:before="0" w:after="80" w:line="300" w:lineRule="auto"/>
        <w:keepLines w:val="1"/>
      </w:pPr>
      <w:r>
        <w:rPr>
          <w:rFonts w:ascii="Calibri" w:hAnsi="Calibri" w:eastAsia="Calibri"/>
          <w:color w:val="162236"/>
          <w:sz w:val="22"/>
        </w:rPr>
        <w:t>Guaranteed accuracy, predictable outcome, zero error, fail-safe or complication-reduction claims.</w:t>
      </w:r>
    </w:p>
    <w:p>
      <w:pPr>
        <w:numPr>
          <w:ilvl w:val="0"/>
          <w:numId w:val="22"/>
        </w:numPr>
        <w:spacing w:before="0" w:after="80" w:line="300" w:lineRule="auto"/>
        <w:keepLines w:val="1"/>
      </w:pPr>
      <w:r>
        <w:rPr>
          <w:rFonts w:ascii="Calibri" w:hAnsi="Calibri" w:eastAsia="Calibri"/>
          <w:color w:val="162236"/>
          <w:sz w:val="22"/>
        </w:rPr>
        <w:t>A universal 24-hour or 48-hour turnaround.</w:t>
      </w:r>
    </w:p>
    <w:p>
      <w:pPr>
        <w:numPr>
          <w:ilvl w:val="0"/>
          <w:numId w:val="22"/>
        </w:numPr>
        <w:spacing w:before="0" w:after="80" w:line="300" w:lineRule="auto"/>
        <w:keepLines w:val="1"/>
      </w:pPr>
      <w:r>
        <w:rPr>
          <w:rFonts w:ascii="Calibri" w:hAnsi="Calibri" w:eastAsia="Calibri"/>
          <w:color w:val="162236"/>
          <w:sz w:val="22"/>
        </w:rPr>
        <w:t>HIPAA, GDPR, ISO or other compliance language not verified for the live data path and operating entity.</w:t>
      </w:r>
    </w:p>
    <w:p>
      <w:pPr>
        <w:numPr>
          <w:ilvl w:val="0"/>
          <w:numId w:val="22"/>
        </w:numPr>
        <w:spacing w:before="0" w:after="80" w:line="300" w:lineRule="auto"/>
        <w:keepLines w:val="1"/>
      </w:pPr>
      <w:r>
        <w:rPr>
          <w:rFonts w:ascii="Calibri" w:hAnsi="Calibri" w:eastAsia="Calibri"/>
          <w:color w:val="162236"/>
          <w:sz w:val="22"/>
        </w:rPr>
        <w:t>AI planning or autonomous decision claims not supported by the actual workflow and clinical governance.</w:t>
      </w:r>
    </w:p>
    <w:p>
      <w:pPr>
        <w:numPr>
          <w:ilvl w:val="0"/>
          <w:numId w:val="22"/>
        </w:numPr>
        <w:spacing w:before="0" w:after="80" w:line="300" w:lineRule="auto"/>
        <w:keepLines w:val="1"/>
      </w:pPr>
      <w:r>
        <w:rPr>
          <w:rFonts w:ascii="Calibri" w:hAnsi="Calibri" w:eastAsia="Calibri"/>
          <w:color w:val="162236"/>
          <w:sz w:val="22"/>
        </w:rPr>
        <w:t>Universal compatibility with every implant system, guided kit or sleeve protocol.</w:t>
      </w:r>
    </w:p>
    <w:p>
      <w:pPr>
        <w:numPr>
          <w:ilvl w:val="0"/>
          <w:numId w:val="22"/>
        </w:numPr>
        <w:spacing w:before="0" w:after="80" w:line="300" w:lineRule="auto"/>
        <w:keepLines w:val="1"/>
      </w:pPr>
      <w:r>
        <w:rPr>
          <w:rFonts w:ascii="Calibri" w:hAnsi="Calibri" w:eastAsia="Calibri"/>
          <w:color w:val="162236"/>
          <w:sz w:val="22"/>
        </w:rPr>
        <w:t>Same-day teeth or immediate loading as an assured outcome.</w:t>
      </w:r>
    </w:p>
    <w:p>
      <w:pPr>
        <w:pStyle w:val="Heading2"/>
        <w:keepNext w:val="1"/>
        <w:keepLines w:val="1"/>
      </w:pPr>
      <w:r>
        <w:t>Evidence that may be published after verification</w:t>
      </w:r>
    </w:p>
    <w:p>
      <w:pPr>
        <w:numPr>
          <w:ilvl w:val="0"/>
          <w:numId w:val="23"/>
        </w:numPr>
        <w:spacing w:before="0" w:after="80" w:line="300" w:lineRule="auto"/>
        <w:keepLines w:val="1"/>
      </w:pPr>
      <w:r>
        <w:rPr>
          <w:rFonts w:ascii="Calibri" w:hAnsi="Calibri" w:eastAsia="Calibri"/>
          <w:color w:val="162236"/>
          <w:sz w:val="22"/>
        </w:rPr>
        <w:t>A complete, consented and de-identified guided case sequence.</w:t>
      </w:r>
    </w:p>
    <w:p>
      <w:pPr>
        <w:numPr>
          <w:ilvl w:val="0"/>
          <w:numId w:val="23"/>
        </w:numPr>
        <w:spacing w:before="0" w:after="80" w:line="300" w:lineRule="auto"/>
        <w:keepLines w:val="1"/>
      </w:pPr>
      <w:r>
        <w:rPr>
          <w:rFonts w:ascii="Calibri" w:hAnsi="Calibri" w:eastAsia="Calibri"/>
          <w:color w:val="162236"/>
          <w:sz w:val="22"/>
        </w:rPr>
        <w:t>Named clinical or technical review roles that match current operations.</w:t>
      </w:r>
    </w:p>
    <w:p>
      <w:pPr>
        <w:numPr>
          <w:ilvl w:val="0"/>
          <w:numId w:val="23"/>
        </w:numPr>
        <w:spacing w:before="0" w:after="80" w:line="300" w:lineRule="auto"/>
        <w:keepLines w:val="1"/>
      </w:pPr>
      <w:r>
        <w:rPr>
          <w:rFonts w:ascii="Calibri" w:hAnsi="Calibri" w:eastAsia="Calibri"/>
          <w:color w:val="162236"/>
          <w:sz w:val="22"/>
        </w:rPr>
        <w:t>Verified service regions, production routes and turnaround bands.</w:t>
      </w:r>
    </w:p>
    <w:p>
      <w:pPr>
        <w:numPr>
          <w:ilvl w:val="0"/>
          <w:numId w:val="23"/>
        </w:numPr>
        <w:spacing w:before="0" w:after="80" w:line="300" w:lineRule="auto"/>
        <w:keepLines w:val="1"/>
      </w:pPr>
      <w:r>
        <w:rPr>
          <w:rFonts w:ascii="Calibri" w:hAnsi="Calibri" w:eastAsia="Calibri"/>
          <w:color w:val="162236"/>
          <w:sz w:val="22"/>
        </w:rPr>
        <w:t>Documented scale figures with definition, source date and owner.</w:t>
      </w:r>
    </w:p>
    <w:p>
      <w:pPr>
        <w:numPr>
          <w:ilvl w:val="0"/>
          <w:numId w:val="23"/>
        </w:numPr>
        <w:spacing w:before="0" w:after="80" w:line="300" w:lineRule="auto"/>
        <w:keepLines w:val="1"/>
      </w:pPr>
      <w:r>
        <w:rPr>
          <w:rFonts w:ascii="Calibri" w:hAnsi="Calibri" w:eastAsia="Calibri"/>
          <w:color w:val="162236"/>
          <w:sz w:val="22"/>
        </w:rPr>
        <w:t>Accurate implant-system and guided-kit compatibility information.</w:t>
      </w:r>
    </w:p>
    <w:p>
      <w:pPr>
        <w:numPr>
          <w:ilvl w:val="0"/>
          <w:numId w:val="23"/>
        </w:numPr>
        <w:spacing w:before="0" w:after="80" w:line="300" w:lineRule="auto"/>
        <w:keepLines w:val="1"/>
      </w:pPr>
      <w:r>
        <w:rPr>
          <w:rFonts w:ascii="Calibri" w:hAnsi="Calibri" w:eastAsia="Calibri"/>
          <w:color w:val="162236"/>
          <w:sz w:val="22"/>
        </w:rPr>
        <w:t>A current revision and approval policy that the portal can actually support.</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SOURCE FOUNDATION  </w:t>
      </w:r>
      <w:r>
        <w:rPr>
          <w:rFonts w:ascii="Calibri" w:hAnsi="Calibri" w:eastAsia="Calibri"/>
          <w:b w:val="0"/>
          <w:color w:val="162236"/>
          <w:sz w:val="22"/>
        </w:rPr>
        <w:t>The clinical framing follows the established definition of static computer-guided implant surgery as transferring a virtual plan through a static template, while preserving the clinician's responsibility to assess the case and execute treatment.</w:t>
      </w:r>
    </w:p>
    <w:p>
      <w:pPr>
        <w:pStyle w:val="Heading1"/>
        <w:pageBreakBefore w:val="1"/>
        <w:keepNext w:val="1"/>
        <w:keepLines w:val="1"/>
      </w:pPr>
      <w:r>
        <w:t>10. Release acceptance checklist</w:t>
      </w:r>
    </w:p>
    <w:p>
      <w:pPr>
        <w:numPr>
          <w:ilvl w:val="0"/>
          <w:numId w:val="24"/>
        </w:numPr>
        <w:spacing w:before="0" w:after="80" w:line="300" w:lineRule="auto"/>
        <w:keepLines w:val="1"/>
      </w:pPr>
      <w:r>
        <w:rPr>
          <w:rFonts w:ascii="Calibri" w:hAnsi="Calibri" w:eastAsia="Calibri"/>
          <w:color w:val="162236"/>
          <w:sz w:val="22"/>
        </w:rPr>
        <w:t>The H1, SEO title, meta description and canonical URL match this specification.</w:t>
      </w:r>
    </w:p>
    <w:p>
      <w:pPr>
        <w:numPr>
          <w:ilvl w:val="0"/>
          <w:numId w:val="24"/>
        </w:numPr>
        <w:spacing w:before="0" w:after="80" w:line="300" w:lineRule="auto"/>
        <w:keepLines w:val="1"/>
      </w:pPr>
      <w:r>
        <w:rPr>
          <w:rFonts w:ascii="Calibri" w:hAnsi="Calibri" w:eastAsia="Calibri"/>
          <w:color w:val="162236"/>
          <w:sz w:val="22"/>
        </w:rPr>
        <w:t>The hero uses one approved, de-identified real case and no generated clinical representation.</w:t>
      </w:r>
    </w:p>
    <w:p>
      <w:pPr>
        <w:numPr>
          <w:ilvl w:val="0"/>
          <w:numId w:val="24"/>
        </w:numPr>
        <w:spacing w:before="0" w:after="80" w:line="300" w:lineRule="auto"/>
        <w:keepLines w:val="1"/>
      </w:pPr>
      <w:r>
        <w:rPr>
          <w:rFonts w:ascii="Calibri" w:hAnsi="Calibri" w:eastAsia="Calibri"/>
          <w:color w:val="162236"/>
          <w:sz w:val="22"/>
        </w:rPr>
        <w:t>The page uses Image3DConversion Blue and White only; all tints or deeper values derive from the master blue.</w:t>
      </w:r>
    </w:p>
    <w:p>
      <w:pPr>
        <w:numPr>
          <w:ilvl w:val="0"/>
          <w:numId w:val="24"/>
        </w:numPr>
        <w:spacing w:before="0" w:after="80" w:line="300" w:lineRule="auto"/>
        <w:keepLines w:val="1"/>
      </w:pPr>
      <w:r>
        <w:rPr>
          <w:rFonts w:ascii="Calibri" w:hAnsi="Calibri" w:eastAsia="Calibri"/>
          <w:color w:val="162236"/>
          <w:sz w:val="22"/>
        </w:rPr>
        <w:t>The exact master blue has been extracted from the original approved logo/vector asset.</w:t>
      </w:r>
    </w:p>
    <w:p>
      <w:pPr>
        <w:numPr>
          <w:ilvl w:val="0"/>
          <w:numId w:val="24"/>
        </w:numPr>
        <w:spacing w:before="0" w:after="80" w:line="300" w:lineRule="auto"/>
        <w:keepLines w:val="1"/>
      </w:pPr>
      <w:r>
        <w:rPr>
          <w:rFonts w:ascii="Calibri" w:hAnsi="Calibri" w:eastAsia="Calibri"/>
          <w:color w:val="162236"/>
          <w:sz w:val="22"/>
        </w:rPr>
        <w:t>The primary CTA enters the authenticated portal with Guided Implant Workflow preselected.</w:t>
      </w:r>
    </w:p>
    <w:p>
      <w:pPr>
        <w:numPr>
          <w:ilvl w:val="0"/>
          <w:numId w:val="24"/>
        </w:numPr>
        <w:spacing w:before="0" w:after="80" w:line="300" w:lineRule="auto"/>
        <w:keepLines w:val="1"/>
      </w:pPr>
      <w:r>
        <w:rPr>
          <w:rFonts w:ascii="Calibri" w:hAnsi="Calibri" w:eastAsia="Calibri"/>
          <w:color w:val="162236"/>
          <w:sz w:val="22"/>
        </w:rPr>
        <w:t>No public form accepts patient files or patient identifiers.</w:t>
      </w:r>
    </w:p>
    <w:p>
      <w:pPr>
        <w:numPr>
          <w:ilvl w:val="0"/>
          <w:numId w:val="24"/>
        </w:numPr>
        <w:spacing w:before="0" w:after="80" w:line="300" w:lineRule="auto"/>
        <w:keepLines w:val="1"/>
      </w:pPr>
      <w:r>
        <w:rPr>
          <w:rFonts w:ascii="Calibri" w:hAnsi="Calibri" w:eastAsia="Calibri"/>
          <w:color w:val="162236"/>
          <w:sz w:val="22"/>
        </w:rPr>
        <w:t>Full-arch stackable, zygomatic and pterygoid cases route to their specialist pages or discussion path.</w:t>
      </w:r>
    </w:p>
    <w:p>
      <w:pPr>
        <w:numPr>
          <w:ilvl w:val="0"/>
          <w:numId w:val="24"/>
        </w:numPr>
        <w:spacing w:before="0" w:after="80" w:line="300" w:lineRule="auto"/>
        <w:keepLines w:val="1"/>
      </w:pPr>
      <w:r>
        <w:rPr>
          <w:rFonts w:ascii="Calibri" w:hAnsi="Calibri" w:eastAsia="Calibri"/>
          <w:color w:val="162236"/>
          <w:sz w:val="22"/>
        </w:rPr>
        <w:t>Required records and accepted formats match the current operations standard.</w:t>
      </w:r>
    </w:p>
    <w:p>
      <w:pPr>
        <w:numPr>
          <w:ilvl w:val="0"/>
          <w:numId w:val="24"/>
        </w:numPr>
        <w:spacing w:before="0" w:after="80" w:line="300" w:lineRule="auto"/>
        <w:keepLines w:val="1"/>
      </w:pPr>
      <w:r>
        <w:rPr>
          <w:rFonts w:ascii="Calibri" w:hAnsi="Calibri" w:eastAsia="Calibri"/>
          <w:color w:val="162236"/>
          <w:sz w:val="22"/>
        </w:rPr>
        <w:t>Review, revision and approval wording matches live portal behaviour.</w:t>
      </w:r>
    </w:p>
    <w:p>
      <w:pPr>
        <w:numPr>
          <w:ilvl w:val="0"/>
          <w:numId w:val="24"/>
        </w:numPr>
        <w:spacing w:before="0" w:after="80" w:line="300" w:lineRule="auto"/>
        <w:keepLines w:val="1"/>
      </w:pPr>
      <w:r>
        <w:rPr>
          <w:rFonts w:ascii="Calibri" w:hAnsi="Calibri" w:eastAsia="Calibri"/>
          <w:color w:val="162236"/>
          <w:sz w:val="22"/>
        </w:rPr>
        <w:t>No unsupported accuracy, AI, compliance, turnaround, scale or compatibility claim is visible.</w:t>
      </w:r>
    </w:p>
    <w:p>
      <w:pPr>
        <w:numPr>
          <w:ilvl w:val="0"/>
          <w:numId w:val="24"/>
        </w:numPr>
        <w:spacing w:before="0" w:after="80" w:line="300" w:lineRule="auto"/>
        <w:keepLines w:val="1"/>
      </w:pPr>
      <w:r>
        <w:rPr>
          <w:rFonts w:ascii="Calibri" w:hAnsi="Calibri" w:eastAsia="Calibri"/>
          <w:color w:val="162236"/>
          <w:sz w:val="22"/>
        </w:rPr>
        <w:t>The evidence module is removed unless one complete case passes consent, de-identification and caption review.</w:t>
      </w:r>
    </w:p>
    <w:p>
      <w:pPr>
        <w:numPr>
          <w:ilvl w:val="0"/>
          <w:numId w:val="24"/>
        </w:numPr>
        <w:spacing w:before="0" w:after="80" w:line="300" w:lineRule="auto"/>
        <w:keepLines w:val="1"/>
      </w:pPr>
      <w:r>
        <w:rPr>
          <w:rFonts w:ascii="Calibri" w:hAnsi="Calibri" w:eastAsia="Calibri"/>
          <w:color w:val="162236"/>
          <w:sz w:val="22"/>
        </w:rPr>
        <w:t>Desktop and mobile contain equivalent indexable content.</w:t>
      </w:r>
    </w:p>
    <w:p>
      <w:pPr>
        <w:numPr>
          <w:ilvl w:val="0"/>
          <w:numId w:val="24"/>
        </w:numPr>
        <w:spacing w:before="0" w:after="80" w:line="300" w:lineRule="auto"/>
        <w:keepLines w:val="1"/>
      </w:pPr>
      <w:r>
        <w:rPr>
          <w:rFonts w:ascii="Calibri" w:hAnsi="Calibri" w:eastAsia="Calibri"/>
          <w:color w:val="162236"/>
          <w:sz w:val="22"/>
        </w:rPr>
        <w:t>Keyboard navigation, focus states, contrast, headings, alt text and accordions pass accessibility QA.</w:t>
      </w:r>
    </w:p>
    <w:p>
      <w:pPr>
        <w:numPr>
          <w:ilvl w:val="0"/>
          <w:numId w:val="24"/>
        </w:numPr>
        <w:spacing w:before="0" w:after="80" w:line="300" w:lineRule="auto"/>
        <w:keepLines w:val="1"/>
      </w:pPr>
      <w:r>
        <w:rPr>
          <w:rFonts w:ascii="Calibri" w:hAnsi="Calibri" w:eastAsia="Calibri"/>
          <w:color w:val="162236"/>
          <w:sz w:val="22"/>
        </w:rPr>
        <w:t>Responsive images, dimensions and loading behaviour pass performance QA.</w:t>
      </w:r>
    </w:p>
    <w:p>
      <w:pPr>
        <w:numPr>
          <w:ilvl w:val="0"/>
          <w:numId w:val="24"/>
        </w:numPr>
        <w:spacing w:before="0" w:after="80" w:line="300" w:lineRule="auto"/>
        <w:keepLines w:val="1"/>
      </w:pPr>
      <w:r>
        <w:rPr>
          <w:rFonts w:ascii="Calibri" w:hAnsi="Calibri" w:eastAsia="Calibri"/>
          <w:color w:val="162236"/>
          <w:sz w:val="22"/>
        </w:rPr>
        <w:t>Analytics contain no clinical or patient-level data.</w:t>
      </w:r>
    </w:p>
    <w:p>
      <w:pPr>
        <w:numPr>
          <w:ilvl w:val="0"/>
          <w:numId w:val="24"/>
        </w:numPr>
        <w:spacing w:before="0" w:after="80" w:line="300" w:lineRule="auto"/>
        <w:keepLines w:val="1"/>
      </w:pPr>
      <w:r>
        <w:rPr>
          <w:rFonts w:ascii="Calibri" w:hAnsi="Calibri" w:eastAsia="Calibri"/>
          <w:color w:val="162236"/>
          <w:sz w:val="22"/>
        </w:rPr>
        <w:t>The page is tested from search landing through authentication and successful case-start initiation.</w:t>
      </w:r>
    </w:p>
    <w:p>
      <w:pPr>
        <w:spacing w:before="60" w:after="180" w:line="300" w:lineRule="auto"/>
        <w:ind w:left="173" w:right="115"/>
        <w:shd w:fill="E8EEF5"/>
        <w:pBdr>
          <w:left w:val="single" w:sz="18" w:space="8" w:color="2E74B5"/>
        </w:pBdr>
        <w:keepLines w:val="1"/>
      </w:pPr>
      <w:r>
        <w:rPr>
          <w:rFonts w:ascii="Calibri" w:hAnsi="Calibri" w:eastAsia="Calibri"/>
          <w:b/>
          <w:color w:val="2E74B5"/>
          <w:sz w:val="19"/>
        </w:rPr>
        <w:t xml:space="preserve">RELEASE RULE  </w:t>
      </w:r>
      <w:r>
        <w:rPr>
          <w:rFonts w:ascii="Calibri" w:hAnsi="Calibri" w:eastAsia="Calibri"/>
          <w:b w:val="0"/>
          <w:color w:val="162236"/>
          <w:sz w:val="22"/>
        </w:rPr>
        <w:t>Do not publish the page because the copy is complete. Publish when the case-start path, operational promises, evidence and mobile experience are all true.</w:t>
      </w:r>
    </w:p>
    <w:p>
      <w:pPr>
        <w:pStyle w:val="Heading2"/>
        <w:pageBreakBefore w:val="1"/>
        <w:keepNext w:val="1"/>
        <w:keepLines w:val="1"/>
      </w:pPr>
      <w:r>
        <w:t>Reference links</w:t>
      </w:r>
    </w:p>
    <w:p>
      <w:pPr>
        <w:numPr>
          <w:ilvl w:val="0"/>
          <w:numId w:val="25"/>
        </w:numPr>
        <w:spacing w:after="80" w:line="300" w:lineRule="auto"/>
      </w:pPr>
      <w:hyperlink r:id="rId11">
        <w:r>
          <w:rPr>
            <w:rFonts w:ascii="Calibri" w:hAnsi="Calibri"/>
            <w:color w:val="2E74B5"/>
            <w:u w:val="single"/>
          </w:rPr>
          <w:t>ITI consensus statement: Computer-Guided Implant Surgery</w:t>
        </w:r>
      </w:hyperlink>
      <w:r>
        <w:rPr>
          <w:rFonts w:ascii="Calibri" w:hAnsi="Calibri" w:eastAsia="Calibri"/>
          <w:color w:val="162236"/>
          <w:sz w:val="21"/>
        </w:rPr>
        <w:t xml:space="preserve"> — definition and clinical framing for static computer-guided surgery</w:t>
      </w:r>
    </w:p>
    <w:p>
      <w:pPr>
        <w:numPr>
          <w:ilvl w:val="0"/>
          <w:numId w:val="26"/>
        </w:numPr>
        <w:spacing w:after="80" w:line="300" w:lineRule="auto"/>
      </w:pPr>
      <w:hyperlink r:id="rId12">
        <w:r>
          <w:rPr>
            <w:rFonts w:ascii="Calibri" w:hAnsi="Calibri"/>
            <w:color w:val="2E74B5"/>
            <w:u w:val="single"/>
          </w:rPr>
          <w:t>ITI consensus review: The accuracy of static computer-aided implant surgery</w:t>
        </w:r>
      </w:hyperlink>
      <w:r>
        <w:rPr>
          <w:rFonts w:ascii="Calibri" w:hAnsi="Calibri" w:eastAsia="Calibri"/>
          <w:color w:val="162236"/>
          <w:sz w:val="21"/>
        </w:rPr>
        <w:t xml:space="preserve"> — restorative and anatomical planning context and accuracy limitations</w:t>
      </w:r>
    </w:p>
    <w:p>
      <w:pPr>
        <w:numPr>
          <w:ilvl w:val="0"/>
          <w:numId w:val="27"/>
        </w:numPr>
        <w:spacing w:after="80" w:line="300" w:lineRule="auto"/>
      </w:pPr>
      <w:hyperlink r:id="rId13">
        <w:r>
          <w:rPr>
            <w:rFonts w:ascii="Calibri" w:hAnsi="Calibri"/>
            <w:color w:val="2E74B5"/>
            <w:u w:val="single"/>
          </w:rPr>
          <w:t>Google Search SEO Starter Guide</w:t>
        </w:r>
      </w:hyperlink>
      <w:r>
        <w:rPr>
          <w:rFonts w:ascii="Calibri" w:hAnsi="Calibri" w:eastAsia="Calibri"/>
          <w:color w:val="162236"/>
          <w:sz w:val="21"/>
        </w:rPr>
        <w:t xml:space="preserve"> — titles, descriptions, useful content, links and image guidance</w:t>
      </w:r>
    </w:p>
    <w:p>
      <w:pPr>
        <w:numPr>
          <w:ilvl w:val="0"/>
          <w:numId w:val="28"/>
        </w:numPr>
        <w:spacing w:after="80" w:line="300" w:lineRule="auto"/>
      </w:pPr>
      <w:hyperlink r:id="rId14">
        <w:r>
          <w:rPr>
            <w:rFonts w:ascii="Calibri" w:hAnsi="Calibri"/>
            <w:color w:val="2E74B5"/>
            <w:u w:val="single"/>
          </w:rPr>
          <w:t>Google Search: Introduction to structured data</w:t>
        </w:r>
      </w:hyperlink>
      <w:r>
        <w:rPr>
          <w:rFonts w:ascii="Calibri" w:hAnsi="Calibri" w:eastAsia="Calibri"/>
          <w:color w:val="162236"/>
          <w:sz w:val="21"/>
        </w:rPr>
        <w:t xml:space="preserve"> — visible, accurate and maintainable structured-data guidance</w:t>
      </w:r>
    </w:p>
    <w:p>
      <w:pPr>
        <w:numPr>
          <w:ilvl w:val="0"/>
          <w:numId w:val="29"/>
        </w:numPr>
        <w:spacing w:after="80" w:line="300" w:lineRule="auto"/>
      </w:pPr>
      <w:hyperlink r:id="rId15">
        <w:r>
          <w:rPr>
            <w:rFonts w:ascii="Calibri" w:hAnsi="Calibri"/>
            <w:color w:val="2E74B5"/>
            <w:u w:val="single"/>
          </w:rPr>
          <w:t>Google Search: Breadcrumb structured data</w:t>
        </w:r>
      </w:hyperlink>
      <w:r>
        <w:rPr>
          <w:rFonts w:ascii="Calibri" w:hAnsi="Calibri" w:eastAsia="Calibri"/>
          <w:color w:val="162236"/>
          <w:sz w:val="21"/>
        </w:rPr>
        <w:t xml:space="preserve"> — breadcrumb implementation guidance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5F6B7A"/>
        <w:sz w:val="17"/>
      </w:rPr>
      <w:t>IMAGE3DCONVERSION  /  GUIDED IMPLANT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Calibri" w:hAnsi="Calibri" w:hint="default"/>
      </w:rPr>
    </w:lvl>
  </w:abstractNum>
  <w:num w:numId="10">
    <w:abstractNumId w:val="9"/>
  </w:num>
  <w:abstractNum w:abstractNumId="10">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11">
    <w:abstractNumId w:val="10"/>
  </w:num>
  <w:abstractNum w:abstractNumId="11">
    <w:multiLevelType w:val="singleLevel"/>
    <w:lvl w:ilvl="0">
      <w:start w:val="1"/>
      <w:numFmt w:val="bullet"/>
      <w:lvlText w:val="•"/>
      <w:suff w:val="tab"/>
      <w:lvlJc w:val="left"/>
      <w:pPr>
        <w:tabs>
          <w:tab w:val="num" w:pos="540"/>
        </w:tabs>
        <w:ind w:left="540" w:hanging="270"/>
      </w:pPr>
      <w:rPr>
        <w:rFonts w:ascii="Calibri" w:hAnsi="Calibri" w:hint="default"/>
      </w:rPr>
    </w:lvl>
  </w:abstractNum>
  <w:num w:numId="12">
    <w:abstractNumId w:val="11"/>
  </w:num>
  <w:abstractNum w:abstractNumId="12">
    <w:multiLevelType w:val="singleLevel"/>
    <w:lvl w:ilvl="0">
      <w:start w:val="1"/>
      <w:numFmt w:val="bullet"/>
      <w:lvlText w:val="•"/>
      <w:suff w:val="tab"/>
      <w:lvlJc w:val="left"/>
      <w:pPr>
        <w:tabs>
          <w:tab w:val="num" w:pos="540"/>
        </w:tabs>
        <w:ind w:left="540" w:hanging="270"/>
      </w:pPr>
      <w:rPr>
        <w:rFonts w:ascii="Calibri" w:hAnsi="Calibri" w:hint="default"/>
      </w:rPr>
    </w:lvl>
  </w:abstractNum>
  <w:num w:numId="13">
    <w:abstractNumId w:val="12"/>
  </w:num>
  <w:abstractNum w:abstractNumId="13">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14">
    <w:abstractNumId w:val="13"/>
  </w:num>
  <w:abstractNum w:abstractNumId="14">
    <w:multiLevelType w:val="singleLevel"/>
    <w:lvl w:ilvl="0">
      <w:start w:val="1"/>
      <w:numFmt w:val="bullet"/>
      <w:lvlText w:val="•"/>
      <w:suff w:val="tab"/>
      <w:lvlJc w:val="left"/>
      <w:pPr>
        <w:tabs>
          <w:tab w:val="num" w:pos="540"/>
        </w:tabs>
        <w:ind w:left="540" w:hanging="270"/>
      </w:pPr>
      <w:rPr>
        <w:rFonts w:ascii="Calibri" w:hAnsi="Calibri" w:hint="default"/>
      </w:rPr>
    </w:lvl>
  </w:abstractNum>
  <w:num w:numId="15">
    <w:abstractNumId w:val="14"/>
  </w:num>
  <w:abstractNum w:abstractNumId="15">
    <w:multiLevelType w:val="singleLevel"/>
    <w:lvl w:ilvl="0">
      <w:start w:val="1"/>
      <w:numFmt w:val="bullet"/>
      <w:lvlText w:val="•"/>
      <w:suff w:val="tab"/>
      <w:lvlJc w:val="left"/>
      <w:pPr>
        <w:tabs>
          <w:tab w:val="num" w:pos="540"/>
        </w:tabs>
        <w:ind w:left="540" w:hanging="270"/>
      </w:pPr>
      <w:rPr>
        <w:rFonts w:ascii="Calibri" w:hAnsi="Calibri" w:hint="default"/>
      </w:rPr>
    </w:lvl>
  </w:abstractNum>
  <w:num w:numId="16">
    <w:abstractNumId w:val="15"/>
  </w:num>
  <w:abstractNum w:abstractNumId="16">
    <w:multiLevelType w:val="singleLevel"/>
    <w:lvl w:ilvl="0">
      <w:start w:val="1"/>
      <w:numFmt w:val="bullet"/>
      <w:lvlText w:val="•"/>
      <w:suff w:val="tab"/>
      <w:lvlJc w:val="left"/>
      <w:pPr>
        <w:tabs>
          <w:tab w:val="num" w:pos="540"/>
        </w:tabs>
        <w:ind w:left="540" w:hanging="270"/>
      </w:pPr>
      <w:rPr>
        <w:rFonts w:ascii="Calibri" w:hAnsi="Calibri" w:hint="default"/>
      </w:rPr>
    </w:lvl>
  </w:abstractNum>
  <w:num w:numId="17">
    <w:abstractNumId w:val="16"/>
  </w:num>
  <w:abstractNum w:abstractNumId="17">
    <w:multiLevelType w:val="singleLevel"/>
    <w:lvl w:ilvl="0">
      <w:start w:val="1"/>
      <w:numFmt w:val="bullet"/>
      <w:lvlText w:val="•"/>
      <w:suff w:val="tab"/>
      <w:lvlJc w:val="left"/>
      <w:pPr>
        <w:tabs>
          <w:tab w:val="num" w:pos="540"/>
        </w:tabs>
        <w:ind w:left="540" w:hanging="270"/>
      </w:pPr>
      <w:rPr>
        <w:rFonts w:ascii="Calibri" w:hAnsi="Calibri" w:hint="default"/>
      </w:rPr>
    </w:lvl>
  </w:abstractNum>
  <w:num w:numId="18">
    <w:abstractNumId w:val="17"/>
  </w:num>
  <w:abstractNum w:abstractNumId="18">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19">
    <w:abstractNumId w:val="18"/>
  </w:num>
  <w:abstractNum w:abstractNumId="19">
    <w:multiLevelType w:val="singleLevel"/>
    <w:lvl w:ilvl="0">
      <w:start w:val="1"/>
      <w:numFmt w:val="bullet"/>
      <w:lvlText w:val="•"/>
      <w:suff w:val="tab"/>
      <w:lvlJc w:val="left"/>
      <w:pPr>
        <w:tabs>
          <w:tab w:val="num" w:pos="540"/>
        </w:tabs>
        <w:ind w:left="540" w:hanging="270"/>
      </w:pPr>
      <w:rPr>
        <w:rFonts w:ascii="Calibri" w:hAnsi="Calibri" w:hint="default"/>
      </w:rPr>
    </w:lvl>
  </w:abstractNum>
  <w:num w:numId="20">
    <w:abstractNumId w:val="19"/>
  </w:num>
  <w:abstractNum w:abstractNumId="20">
    <w:multiLevelType w:val="singleLevel"/>
    <w:lvl w:ilvl="0">
      <w:start w:val="1"/>
      <w:numFmt w:val="decimal"/>
      <w:lvlText w:val="%1."/>
      <w:suff w:val="tab"/>
      <w:lvlJc w:val="left"/>
      <w:pPr>
        <w:tabs>
          <w:tab w:val="num" w:pos="540"/>
        </w:tabs>
        <w:ind w:left="540" w:hanging="270"/>
      </w:pPr>
      <w:rPr>
        <w:rFonts w:ascii="Calibri" w:hAnsi="Calibri" w:hint="default"/>
      </w:rPr>
    </w:lvl>
  </w:abstractNum>
  <w:num w:numId="21">
    <w:abstractNumId w:val="20"/>
  </w:num>
  <w:abstractNum w:abstractNumId="21">
    <w:multiLevelType w:val="singleLevel"/>
    <w:lvl w:ilvl="0">
      <w:start w:val="1"/>
      <w:numFmt w:val="bullet"/>
      <w:lvlText w:val="•"/>
      <w:suff w:val="tab"/>
      <w:lvlJc w:val="left"/>
      <w:pPr>
        <w:tabs>
          <w:tab w:val="num" w:pos="540"/>
        </w:tabs>
        <w:ind w:left="540" w:hanging="270"/>
      </w:pPr>
      <w:rPr>
        <w:rFonts w:ascii="Calibri" w:hAnsi="Calibri" w:hint="default"/>
      </w:rPr>
    </w:lvl>
  </w:abstractNum>
  <w:num w:numId="22">
    <w:abstractNumId w:val="21"/>
  </w:num>
  <w:abstractNum w:abstractNumId="22">
    <w:multiLevelType w:val="singleLevel"/>
    <w:lvl w:ilvl="0">
      <w:start w:val="1"/>
      <w:numFmt w:val="bullet"/>
      <w:lvlText w:val="•"/>
      <w:suff w:val="tab"/>
      <w:lvlJc w:val="left"/>
      <w:pPr>
        <w:tabs>
          <w:tab w:val="num" w:pos="540"/>
        </w:tabs>
        <w:ind w:left="540" w:hanging="270"/>
      </w:pPr>
      <w:rPr>
        <w:rFonts w:ascii="Calibri" w:hAnsi="Calibri" w:hint="default"/>
      </w:rPr>
    </w:lvl>
  </w:abstractNum>
  <w:num w:numId="23">
    <w:abstractNumId w:val="22"/>
  </w:num>
  <w:abstractNum w:abstractNumId="23">
    <w:multiLevelType w:val="singleLevel"/>
    <w:lvl w:ilvl="0">
      <w:start w:val="1"/>
      <w:numFmt w:val="bullet"/>
      <w:lvlText w:val="•"/>
      <w:suff w:val="tab"/>
      <w:lvlJc w:val="left"/>
      <w:pPr>
        <w:tabs>
          <w:tab w:val="num" w:pos="540"/>
        </w:tabs>
        <w:ind w:left="540" w:hanging="270"/>
      </w:pPr>
      <w:rPr>
        <w:rFonts w:ascii="Calibri" w:hAnsi="Calibri" w:hint="default"/>
      </w:rPr>
    </w:lvl>
  </w:abstractNum>
  <w:num w:numId="24">
    <w:abstractNumId w:val="23"/>
  </w:num>
  <w:abstractNum w:abstractNumId="24">
    <w:multiLevelType w:val="singleLevel"/>
    <w:lvl w:ilvl="0">
      <w:start w:val="1"/>
      <w:numFmt w:val="bullet"/>
      <w:lvlText w:val="•"/>
      <w:suff w:val="tab"/>
      <w:lvlJc w:val="left"/>
      <w:pPr>
        <w:tabs>
          <w:tab w:val="num" w:pos="540"/>
        </w:tabs>
        <w:ind w:left="540" w:hanging="270"/>
      </w:pPr>
      <w:rPr>
        <w:rFonts w:ascii="Calibri" w:hAnsi="Calibri" w:hint="default"/>
      </w:rPr>
    </w:lvl>
  </w:abstractNum>
  <w:num w:numId="25">
    <w:abstractNumId w:val="24"/>
  </w:num>
  <w:abstractNum w:abstractNumId="25">
    <w:multiLevelType w:val="singleLevel"/>
    <w:lvl w:ilvl="0">
      <w:start w:val="1"/>
      <w:numFmt w:val="bullet"/>
      <w:lvlText w:val="•"/>
      <w:suff w:val="tab"/>
      <w:lvlJc w:val="left"/>
      <w:pPr>
        <w:tabs>
          <w:tab w:val="num" w:pos="540"/>
        </w:tabs>
        <w:ind w:left="540" w:hanging="270"/>
      </w:pPr>
      <w:rPr>
        <w:rFonts w:ascii="Calibri" w:hAnsi="Calibri" w:hint="default"/>
      </w:rPr>
    </w:lvl>
  </w:abstractNum>
  <w:num w:numId="26">
    <w:abstractNumId w:val="25"/>
  </w:num>
  <w:abstractNum w:abstractNumId="26">
    <w:multiLevelType w:val="singleLevel"/>
    <w:lvl w:ilvl="0">
      <w:start w:val="1"/>
      <w:numFmt w:val="bullet"/>
      <w:lvlText w:val="•"/>
      <w:suff w:val="tab"/>
      <w:lvlJc w:val="left"/>
      <w:pPr>
        <w:tabs>
          <w:tab w:val="num" w:pos="540"/>
        </w:tabs>
        <w:ind w:left="540" w:hanging="270"/>
      </w:pPr>
      <w:rPr>
        <w:rFonts w:ascii="Calibri" w:hAnsi="Calibri" w:hint="default"/>
      </w:rPr>
    </w:lvl>
  </w:abstractNum>
  <w:num w:numId="27">
    <w:abstractNumId w:val="26"/>
  </w:num>
  <w:abstractNum w:abstractNumId="27">
    <w:multiLevelType w:val="singleLevel"/>
    <w:lvl w:ilvl="0">
      <w:start w:val="1"/>
      <w:numFmt w:val="bullet"/>
      <w:lvlText w:val="•"/>
      <w:suff w:val="tab"/>
      <w:lvlJc w:val="left"/>
      <w:pPr>
        <w:tabs>
          <w:tab w:val="num" w:pos="540"/>
        </w:tabs>
        <w:ind w:left="540" w:hanging="270"/>
      </w:pPr>
      <w:rPr>
        <w:rFonts w:ascii="Calibri" w:hAnsi="Calibri" w:hint="default"/>
      </w:rPr>
    </w:lvl>
  </w:abstractNum>
  <w:num w:numId="28">
    <w:abstractNumId w:val="27"/>
  </w:num>
  <w:abstractNum w:abstractNumId="28">
    <w:multiLevelType w:val="singleLevel"/>
    <w:lvl w:ilvl="0">
      <w:start w:val="1"/>
      <w:numFmt w:val="bullet"/>
      <w:lvlText w:val="•"/>
      <w:suff w:val="tab"/>
      <w:lvlJc w:val="left"/>
      <w:pPr>
        <w:tabs>
          <w:tab w:val="num" w:pos="540"/>
        </w:tabs>
        <w:ind w:left="540" w:hanging="270"/>
      </w:pPr>
      <w:rPr>
        <w:rFonts w:ascii="Calibri" w:hAnsi="Calibri" w:hint="default"/>
      </w:rPr>
    </w:lvl>
  </w:abstract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22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36" w:hanging="25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ademy.iti.org/academy/consensus-database/consensus-statement/-/consensus/computer-guided-implant-surgery/1213" TargetMode="External"/><Relationship Id="rId12" Type="http://schemas.openxmlformats.org/officeDocument/2006/relationships/hyperlink" Target="https://academy.iti.org/iti-academy-consensus/CC6_Group5_4.pdf" TargetMode="External"/><Relationship Id="rId13" Type="http://schemas.openxmlformats.org/officeDocument/2006/relationships/hyperlink" Target="https://developers.google.com/search/docs/fundamentals/seo-starter-guide" TargetMode="External"/><Relationship Id="rId14" Type="http://schemas.openxmlformats.org/officeDocument/2006/relationships/hyperlink" Target="https://developers.google.com/search/docs/appearance/structured-data/intro-structured-data" TargetMode="External"/><Relationship Id="rId15" Type="http://schemas.openxmlformats.org/officeDocument/2006/relationships/hyperlink" Target="https://developers.google.com/search/docs/appearance/structured-data/breadcrum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Image3DConversion Guided Implant Workflow Content &amp; Design Psychology Specification</dc:title>
  <dc:subject>Release 1 service-page copy, SEO, design psychology, Case Portal alignment and developer handoff</dc:subject>
  <dc:creator>Image3DConversion</dc:creator>
  <cp:keywords>Image3DConversion, guided implant workflow, dental implant planning, surgical guide design, SEO</cp:keywords>
  <dc:description>Prepared for Founder approval and implementation handoff.</dc:description>
  <cp:lastModifiedBy/>
  <cp:revision>1</cp:revision>
  <dcterms:created xsi:type="dcterms:W3CDTF">2013-12-23T23:15:00Z</dcterms:created>
  <dcterms:modified xsi:type="dcterms:W3CDTF">2013-12-23T23:15:00Z</dcterms:modified>
  <cp:category/>
</cp:coreProperties>
</file>