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80" w:line="300" w:lineRule="auto"/>
        <w:jc w:val="left"/>
      </w:pPr>
      <w:r>
        <w:rPr>
          <w:rFonts w:ascii="Calibri" w:hAnsi="Calibri" w:eastAsia="Calibri"/>
          <w:b/>
          <w:i w:val="0"/>
          <w:color w:val="2E74B5"/>
          <w:sz w:val="19"/>
        </w:rPr>
        <w:t>CONTENT + EXPERIENCE SPECIFICATION</w:t>
      </w:r>
    </w:p>
    <w:p>
      <w:pPr>
        <w:spacing w:before="0" w:after="120" w:line="240" w:lineRule="auto"/>
      </w:pPr>
      <w:r>
        <w:rPr>
          <w:rFonts w:ascii="Calibri" w:hAnsi="Calibri" w:eastAsia="Calibri"/>
          <w:b/>
          <w:color w:val="162236"/>
          <w:sz w:val="56"/>
        </w:rPr>
        <w:t>Image3DConversion</w:t>
        <w:br/>
      </w:r>
      <w:r>
        <w:rPr>
          <w:rFonts w:ascii="Calibri" w:hAnsi="Calibri" w:eastAsia="Calibri"/>
          <w:b/>
          <w:color w:val="2E74B5"/>
          <w:sz w:val="56"/>
        </w:rPr>
        <w:t>Homepage</w:t>
      </w:r>
    </w:p>
    <w:p>
      <w:pPr>
        <w:spacing w:before="0" w:after="320" w:line="300" w:lineRule="auto"/>
        <w:jc w:val="left"/>
      </w:pPr>
      <w:r>
        <w:rPr>
          <w:rFonts w:ascii="Calibri" w:hAnsi="Calibri" w:eastAsia="Calibri"/>
          <w:b w:val="0"/>
          <w:i w:val="0"/>
          <w:color w:val="5F6B7A"/>
          <w:sz w:val="26"/>
        </w:rPr>
        <w:t>Final website copy, design psychology, SEO hierarchy, mobile behaviour and implementation controls.</w:t>
      </w:r>
    </w:p>
    <w:p>
      <w:pPr>
        <w:spacing w:before="0" w:after="100" w:line="300" w:lineRule="auto"/>
        <w:ind w:left="158" w:right="86"/>
        <w:shd w:fill="F4F6F9"/>
        <w:pBdr>
          <w:left w:val="single" w:sz="14" w:space="8" w:color="2E74B5"/>
        </w:pBdr>
        <w:keepLines w:val="1"/>
      </w:pPr>
      <w:r>
        <w:rPr>
          <w:rFonts w:ascii="Calibri" w:hAnsi="Calibri" w:eastAsia="Calibri"/>
          <w:b/>
          <w:color w:val="1F4D78"/>
          <w:sz w:val="21"/>
        </w:rPr>
        <w:t xml:space="preserve">Version: </w:t>
      </w:r>
      <w:r>
        <w:rPr>
          <w:rFonts w:ascii="Calibri" w:hAnsi="Calibri" w:eastAsia="Calibri"/>
          <w:color w:val="162236"/>
          <w:sz w:val="21"/>
        </w:rPr>
        <w:t>1.1 · 26 July 2026</w:t>
      </w:r>
    </w:p>
    <w:p>
      <w:pPr>
        <w:spacing w:before="0" w:after="100" w:line="300" w:lineRule="auto"/>
        <w:ind w:left="158" w:right="86"/>
        <w:shd w:fill="F4F6F9"/>
        <w:pBdr>
          <w:left w:val="single" w:sz="14" w:space="8" w:color="2E74B5"/>
        </w:pBdr>
        <w:keepLines w:val="1"/>
      </w:pPr>
      <w:r>
        <w:rPr>
          <w:rFonts w:ascii="Calibri" w:hAnsi="Calibri" w:eastAsia="Calibri"/>
          <w:b/>
          <w:color w:val="1F4D78"/>
          <w:sz w:val="21"/>
        </w:rPr>
        <w:t xml:space="preserve">Status: </w:t>
      </w:r>
      <w:r>
        <w:rPr>
          <w:rFonts w:ascii="Calibri" w:hAnsi="Calibri" w:eastAsia="Calibri"/>
          <w:color w:val="162236"/>
          <w:sz w:val="21"/>
        </w:rPr>
        <w:t>Prepared for Founder approval and design/development handoff</w:t>
      </w:r>
    </w:p>
    <w:p>
      <w:pPr>
        <w:spacing w:before="0" w:after="100" w:line="300" w:lineRule="auto"/>
        <w:ind w:left="158" w:right="86"/>
        <w:shd w:fill="F4F6F9"/>
        <w:pBdr>
          <w:left w:val="single" w:sz="14" w:space="8" w:color="2E74B5"/>
        </w:pBdr>
        <w:keepLines w:val="1"/>
      </w:pPr>
      <w:r>
        <w:rPr>
          <w:rFonts w:ascii="Calibri" w:hAnsi="Calibri" w:eastAsia="Calibri"/>
          <w:b/>
          <w:color w:val="1F4D78"/>
          <w:sz w:val="21"/>
        </w:rPr>
        <w:t xml:space="preserve">Applies to: </w:t>
      </w:r>
      <w:r>
        <w:rPr>
          <w:rFonts w:ascii="Calibri" w:hAnsi="Calibri" w:eastAsia="Calibri"/>
          <w:color w:val="162236"/>
          <w:sz w:val="21"/>
        </w:rPr>
        <w:t>Public homepage at https://www.image3dconversion.com/</w:t>
      </w:r>
    </w:p>
    <w:p>
      <w:pPr>
        <w:spacing w:before="0" w:after="100" w:line="300" w:lineRule="auto"/>
        <w:ind w:left="158" w:right="86"/>
        <w:shd w:fill="F4F6F9"/>
        <w:pBdr>
          <w:left w:val="single" w:sz="14" w:space="8" w:color="2E74B5"/>
        </w:pBdr>
        <w:keepLines w:val="1"/>
      </w:pPr>
      <w:r>
        <w:rPr>
          <w:rFonts w:ascii="Calibri" w:hAnsi="Calibri" w:eastAsia="Calibri"/>
          <w:b/>
          <w:color w:val="1F4D78"/>
          <w:sz w:val="21"/>
        </w:rPr>
        <w:t xml:space="preserve">Primary action: </w:t>
      </w:r>
      <w:r>
        <w:rPr>
          <w:rFonts w:ascii="Calibri" w:hAnsi="Calibri" w:eastAsia="Calibri"/>
          <w:color w:val="162236"/>
          <w:sz w:val="21"/>
        </w:rPr>
        <w:t>Start a Case</w:t>
      </w:r>
    </w:p>
    <w:p>
      <w:pPr>
        <w:spacing w:before="60" w:after="180" w:line="300" w:lineRule="auto"/>
        <w:ind w:left="173" w:right="115"/>
        <w:shd w:fill="E8EEF5"/>
        <w:pBdr>
          <w:left w:val="single" w:sz="18" w:space="8" w:color="2E74B5"/>
        </w:pBdr>
        <w:keepLines w:val="1"/>
      </w:pPr>
      <w:r>
        <w:rPr>
          <w:rFonts w:ascii="Calibri" w:hAnsi="Calibri" w:eastAsia="Calibri"/>
          <w:b/>
          <w:color w:val="2E74B5"/>
          <w:sz w:val="19"/>
        </w:rPr>
        <w:t xml:space="preserve">THE CREATIVE DECISION  </w:t>
      </w:r>
      <w:r>
        <w:rPr>
          <w:rFonts w:ascii="Calibri" w:hAnsi="Calibri" w:eastAsia="Calibri"/>
          <w:b w:val="0"/>
          <w:color w:val="162236"/>
          <w:sz w:val="22"/>
        </w:rPr>
        <w:t>The homepage begins with the dentist’s case, not the company’s history. A visitor should recognise the relevant workflow within one screen, understand how the case moves, and know whether to start or discuss it.</w:t>
      </w:r>
    </w:p>
    <w:p>
      <w:pPr>
        <w:pStyle w:val="Heading2"/>
        <w:keepNext w:val="1"/>
        <w:keepLines w:val="1"/>
      </w:pPr>
      <w:r>
        <w:t>What this homepage must feel like</w:t>
      </w:r>
    </w:p>
    <w:p>
      <w:pPr>
        <w:numPr>
          <w:ilvl w:val="0"/>
          <w:numId w:val="10"/>
        </w:numPr>
        <w:spacing w:before="0" w:after="80" w:line="300" w:lineRule="auto"/>
        <w:keepLines w:val="1"/>
      </w:pPr>
      <w:r>
        <w:rPr>
          <w:rFonts w:ascii="Calibri" w:hAnsi="Calibri" w:eastAsia="Calibri"/>
          <w:color w:val="162236"/>
          <w:sz w:val="22"/>
        </w:rPr>
        <w:t>Clinically literate without pretending to make the dentist’s decisions.</w:t>
      </w:r>
    </w:p>
    <w:p>
      <w:pPr>
        <w:numPr>
          <w:ilvl w:val="0"/>
          <w:numId w:val="10"/>
        </w:numPr>
        <w:spacing w:before="0" w:after="80" w:line="300" w:lineRule="auto"/>
        <w:keepLines w:val="1"/>
      </w:pPr>
      <w:r>
        <w:rPr>
          <w:rFonts w:ascii="Calibri" w:hAnsi="Calibri" w:eastAsia="Calibri"/>
          <w:color w:val="162236"/>
          <w:sz w:val="22"/>
        </w:rPr>
        <w:t>Operationally clear without looking like an app dashboard.</w:t>
      </w:r>
    </w:p>
    <w:p>
      <w:pPr>
        <w:numPr>
          <w:ilvl w:val="0"/>
          <w:numId w:val="10"/>
        </w:numPr>
        <w:spacing w:before="0" w:after="80" w:line="300" w:lineRule="auto"/>
        <w:keepLines w:val="1"/>
      </w:pPr>
      <w:r>
        <w:rPr>
          <w:rFonts w:ascii="Calibri" w:hAnsi="Calibri" w:eastAsia="Calibri"/>
          <w:color w:val="162236"/>
          <w:sz w:val="22"/>
        </w:rPr>
        <w:t>Experienced without relying on inflated adjectives or unverified numbers.</w:t>
      </w:r>
    </w:p>
    <w:p>
      <w:pPr>
        <w:numPr>
          <w:ilvl w:val="0"/>
          <w:numId w:val="10"/>
        </w:numPr>
        <w:spacing w:before="0" w:after="80" w:line="300" w:lineRule="auto"/>
        <w:keepLines w:val="1"/>
      </w:pPr>
      <w:r>
        <w:rPr>
          <w:rFonts w:ascii="Calibri" w:hAnsi="Calibri" w:eastAsia="Calibri"/>
          <w:color w:val="162236"/>
          <w:sz w:val="22"/>
        </w:rPr>
        <w:t>Concise enough to scan, substantial enough to trust.</w:t>
      </w:r>
    </w:p>
    <w:p>
      <w:pPr>
        <w:numPr>
          <w:ilvl w:val="0"/>
          <w:numId w:val="10"/>
        </w:numPr>
        <w:spacing w:before="0" w:after="80" w:line="300" w:lineRule="auto"/>
        <w:keepLines w:val="1"/>
      </w:pPr>
      <w:r>
        <w:rPr>
          <w:rFonts w:ascii="Calibri" w:hAnsi="Calibri" w:eastAsia="Calibri"/>
          <w:color w:val="162236"/>
          <w:sz w:val="22"/>
        </w:rPr>
        <w:t>Built around real case evidence, not stock smiles or artificial “future of dentistry” imagery.</w:t>
      </w:r>
    </w:p>
    <w:p>
      <w:pPr>
        <w:pStyle w:val="Heading2"/>
        <w:keepNext w:val="1"/>
        <w:keepLines w:val="1"/>
      </w:pPr>
      <w:r>
        <w:t>What changes from the current public homepage</w:t>
      </w:r>
    </w:p>
    <w:p>
      <w:pPr>
        <w:numPr>
          <w:ilvl w:val="0"/>
          <w:numId w:val="11"/>
        </w:numPr>
        <w:spacing w:before="0" w:after="80" w:line="300" w:lineRule="auto"/>
        <w:keepLines w:val="1"/>
      </w:pPr>
      <w:r>
        <w:rPr>
          <w:rFonts w:ascii="Calibri" w:hAnsi="Calibri" w:eastAsia="Calibri"/>
          <w:color w:val="162236"/>
          <w:sz w:val="22"/>
        </w:rPr>
        <w:t>Guided implant workflows become the dominant story; clear aligners, workshops and training leave the primary journey.</w:t>
      </w:r>
    </w:p>
    <w:p>
      <w:pPr>
        <w:numPr>
          <w:ilvl w:val="0"/>
          <w:numId w:val="11"/>
        </w:numPr>
        <w:spacing w:before="0" w:after="80" w:line="300" w:lineRule="auto"/>
        <w:keepLines w:val="1"/>
      </w:pPr>
      <w:r>
        <w:rPr>
          <w:rFonts w:ascii="Calibri" w:hAnsi="Calibri" w:eastAsia="Calibri"/>
          <w:color w:val="162236"/>
          <w:sz w:val="22"/>
        </w:rPr>
        <w:t>The service catalogue becomes four case-led clinical workflows plus three ways to work together.</w:t>
      </w:r>
    </w:p>
    <w:p>
      <w:pPr>
        <w:numPr>
          <w:ilvl w:val="0"/>
          <w:numId w:val="11"/>
        </w:numPr>
        <w:spacing w:before="0" w:after="80" w:line="300" w:lineRule="auto"/>
        <w:keepLines w:val="1"/>
      </w:pPr>
      <w:r>
        <w:rPr>
          <w:rFonts w:ascii="Calibri" w:hAnsi="Calibri" w:eastAsia="Calibri"/>
          <w:color w:val="162236"/>
          <w:sz w:val="22"/>
        </w:rPr>
        <w:t>“Upload your case” becomes a tested portal action; no clinical file belongs in a public lead form.</w:t>
      </w:r>
    </w:p>
    <w:p>
      <w:pPr>
        <w:numPr>
          <w:ilvl w:val="0"/>
          <w:numId w:val="11"/>
        </w:numPr>
        <w:spacing w:before="0" w:after="80" w:line="300" w:lineRule="auto"/>
        <w:keepLines w:val="1"/>
      </w:pPr>
      <w:r>
        <w:rPr>
          <w:rFonts w:ascii="Calibri" w:hAnsi="Calibri" w:eastAsia="Calibri"/>
          <w:color w:val="162236"/>
          <w:sz w:val="22"/>
        </w:rPr>
        <w:t>Generic claims about AI, speed, global scale and “world’s best” performance are removed until they pass the evidence gate.</w:t>
      </w:r>
    </w:p>
    <w:p>
      <w:pPr>
        <w:numPr>
          <w:ilvl w:val="0"/>
          <w:numId w:val="11"/>
        </w:numPr>
        <w:spacing w:before="0" w:after="80" w:line="300" w:lineRule="auto"/>
        <w:keepLines w:val="1"/>
      </w:pPr>
      <w:r>
        <w:rPr>
          <w:rFonts w:ascii="Calibri" w:hAnsi="Calibri" w:eastAsia="Calibri"/>
          <w:color w:val="162236"/>
          <w:sz w:val="22"/>
        </w:rPr>
        <w:t>Education is linked discreetly to SurgiGuideExcellence instead of competing with case submission.</w:t>
      </w:r>
    </w:p>
    <w:p>
      <w:pPr>
        <w:pStyle w:val="Heading1"/>
        <w:pageBreakBefore w:val="1"/>
        <w:keepNext w:val="1"/>
        <w:keepLines w:val="1"/>
      </w:pPr>
      <w:r>
        <w:t>1. Homepage job and success condition</w:t>
      </w:r>
    </w:p>
    <w:p>
      <w:pPr>
        <w:spacing w:before="0" w:after="80"/>
        <w:keepNext w:val="1"/>
      </w:pPr>
      <w:r>
        <w:rPr>
          <w:rFonts w:ascii="Calibri" w:hAnsi="Calibri" w:eastAsia="Calibri"/>
          <w:b/>
          <w:color w:val="2E74B5"/>
          <w:sz w:val="19"/>
        </w:rPr>
        <w:t>ONE PAGE, ONE COMMERCIAL DECISION</w:t>
      </w:r>
    </w:p>
    <w:p>
      <w:pPr>
        <w:spacing w:before="60" w:after="180" w:line="300" w:lineRule="auto"/>
        <w:ind w:left="173" w:right="115"/>
        <w:shd w:fill="E8EEF5"/>
        <w:pBdr>
          <w:left w:val="single" w:sz="18" w:space="8" w:color="2E74B5"/>
        </w:pBdr>
        <w:keepLines w:val="1"/>
      </w:pPr>
      <w:r>
        <w:rPr>
          <w:rFonts w:ascii="Calibri" w:hAnsi="Calibri" w:eastAsia="Calibri"/>
          <w:b/>
          <w:color w:val="2E74B5"/>
          <w:sz w:val="19"/>
        </w:rPr>
        <w:t xml:space="preserve">HOMEPAGE JOB  </w:t>
      </w:r>
      <w:r>
        <w:rPr>
          <w:rFonts w:ascii="Calibri" w:hAnsi="Calibri" w:eastAsia="Calibri"/>
          <w:b w:val="0"/>
          <w:color w:val="162236"/>
          <w:sz w:val="22"/>
        </w:rPr>
        <w:t>Help a dental professional identify the right guided implant workflow and move into the correct next action without reading a company brochure.</w:t>
      </w:r>
    </w:p>
    <w:p>
      <w:pPr>
        <w:pStyle w:val="Heading2"/>
        <w:keepNext w:val="1"/>
        <w:keepLines w:val="1"/>
      </w:pPr>
      <w:r>
        <w:t>Visitor questions the page must answer</w:t>
      </w:r>
    </w:p>
    <w:p>
      <w:pPr>
        <w:numPr>
          <w:ilvl w:val="0"/>
          <w:numId w:val="12"/>
        </w:numPr>
        <w:spacing w:before="0" w:after="100" w:line="300" w:lineRule="auto"/>
        <w:keepLines w:val="1"/>
      </w:pPr>
      <w:r>
        <w:rPr>
          <w:rFonts w:ascii="Calibri" w:hAnsi="Calibri" w:eastAsia="Calibri"/>
          <w:b/>
          <w:color w:val="162236"/>
          <w:sz w:val="22"/>
        </w:rPr>
        <w:t xml:space="preserve">Is this relevant to my case? </w:t>
      </w:r>
      <w:r>
        <w:rPr>
          <w:rFonts w:ascii="Calibri" w:hAnsi="Calibri" w:eastAsia="Calibri"/>
          <w:color w:val="162236"/>
          <w:sz w:val="22"/>
        </w:rPr>
        <w:t>The four workflow choices appear immediately after the hero.</w:t>
      </w:r>
    </w:p>
    <w:p>
      <w:pPr>
        <w:numPr>
          <w:ilvl w:val="0"/>
          <w:numId w:val="12"/>
        </w:numPr>
        <w:spacing w:before="0" w:after="100" w:line="300" w:lineRule="auto"/>
        <w:keepLines w:val="1"/>
      </w:pPr>
      <w:r>
        <w:rPr>
          <w:rFonts w:ascii="Calibri" w:hAnsi="Calibri" w:eastAsia="Calibri"/>
          <w:b/>
          <w:color w:val="162236"/>
          <w:sz w:val="22"/>
        </w:rPr>
        <w:t xml:space="preserve">What exactly does Image3DConversion do? </w:t>
      </w:r>
      <w:r>
        <w:rPr>
          <w:rFonts w:ascii="Calibri" w:hAnsi="Calibri" w:eastAsia="Calibri"/>
          <w:color w:val="162236"/>
          <w:sz w:val="22"/>
        </w:rPr>
        <w:t>The page explains the connected digital workflow, not only the fabricated guide.</w:t>
      </w:r>
    </w:p>
    <w:p>
      <w:pPr>
        <w:numPr>
          <w:ilvl w:val="0"/>
          <w:numId w:val="12"/>
        </w:numPr>
        <w:spacing w:before="0" w:after="100" w:line="300" w:lineRule="auto"/>
        <w:keepLines w:val="1"/>
      </w:pPr>
      <w:r>
        <w:rPr>
          <w:rFonts w:ascii="Calibri" w:hAnsi="Calibri" w:eastAsia="Calibri"/>
          <w:b/>
          <w:color w:val="162236"/>
          <w:sz w:val="22"/>
        </w:rPr>
        <w:t xml:space="preserve">Will I remain in control of the plan? </w:t>
      </w:r>
      <w:r>
        <w:rPr>
          <w:rFonts w:ascii="Calibri" w:hAnsi="Calibri" w:eastAsia="Calibri"/>
          <w:color w:val="162236"/>
          <w:sz w:val="22"/>
        </w:rPr>
        <w:t>Clinician review and approval are stated before production.</w:t>
      </w:r>
    </w:p>
    <w:p>
      <w:pPr>
        <w:numPr>
          <w:ilvl w:val="0"/>
          <w:numId w:val="12"/>
        </w:numPr>
        <w:spacing w:before="0" w:after="100" w:line="300" w:lineRule="auto"/>
        <w:keepLines w:val="1"/>
      </w:pPr>
      <w:r>
        <w:rPr>
          <w:rFonts w:ascii="Calibri" w:hAnsi="Calibri" w:eastAsia="Calibri"/>
          <w:b/>
          <w:color w:val="162236"/>
          <w:sz w:val="22"/>
        </w:rPr>
        <w:t xml:space="preserve">What happens after I submit? </w:t>
      </w:r>
      <w:r>
        <w:rPr>
          <w:rFonts w:ascii="Calibri" w:hAnsi="Calibri" w:eastAsia="Calibri"/>
          <w:color w:val="162236"/>
          <w:sz w:val="22"/>
        </w:rPr>
        <w:t>Five visible steps remove operational uncertainty.</w:t>
      </w:r>
    </w:p>
    <w:p>
      <w:pPr>
        <w:numPr>
          <w:ilvl w:val="0"/>
          <w:numId w:val="12"/>
        </w:numPr>
        <w:spacing w:before="0" w:after="100" w:line="300" w:lineRule="auto"/>
        <w:keepLines w:val="1"/>
      </w:pPr>
      <w:r>
        <w:rPr>
          <w:rFonts w:ascii="Calibri" w:hAnsi="Calibri" w:eastAsia="Calibri"/>
          <w:b/>
          <w:color w:val="162236"/>
          <w:sz w:val="22"/>
        </w:rPr>
        <w:t xml:space="preserve">Can this team handle complex work? </w:t>
      </w:r>
      <w:r>
        <w:rPr>
          <w:rFonts w:ascii="Calibri" w:hAnsi="Calibri" w:eastAsia="Calibri"/>
          <w:color w:val="162236"/>
          <w:sz w:val="22"/>
        </w:rPr>
        <w:t>A real, connected case sequence demonstrates depth.</w:t>
      </w:r>
    </w:p>
    <w:p>
      <w:pPr>
        <w:numPr>
          <w:ilvl w:val="0"/>
          <w:numId w:val="12"/>
        </w:numPr>
        <w:spacing w:before="0" w:after="100" w:line="300" w:lineRule="auto"/>
        <w:keepLines w:val="1"/>
      </w:pPr>
      <w:r>
        <w:rPr>
          <w:rFonts w:ascii="Calibri" w:hAnsi="Calibri" w:eastAsia="Calibri"/>
          <w:b/>
          <w:color w:val="162236"/>
          <w:sz w:val="22"/>
        </w:rPr>
        <w:t xml:space="preserve">What should I do now? </w:t>
      </w:r>
      <w:r>
        <w:rPr>
          <w:rFonts w:ascii="Calibri" w:hAnsi="Calibri" w:eastAsia="Calibri"/>
          <w:color w:val="162236"/>
          <w:sz w:val="22"/>
        </w:rPr>
        <w:t>Start a Case, Discuss a Complex Case, or Open the Case Portal.</w:t>
      </w:r>
    </w:p>
    <w:p>
      <w:pPr>
        <w:pStyle w:val="Heading2"/>
        <w:keepNext w:val="1"/>
        <w:keepLines w:val="1"/>
      </w:pPr>
      <w:r>
        <w:t>Page-level conversion rule</w:t>
      </w:r>
    </w:p>
    <w:p>
      <w:pPr>
        <w:spacing w:before="0" w:after="120" w:line="300" w:lineRule="auto"/>
        <w:jc w:val="left"/>
      </w:pPr>
      <w:r>
        <w:rPr>
          <w:rFonts w:ascii="Calibri" w:hAnsi="Calibri" w:eastAsia="Calibri"/>
          <w:b w:val="0"/>
          <w:i w:val="0"/>
          <w:color w:val="162236"/>
          <w:sz w:val="22"/>
        </w:rPr>
        <w:t>Primary action: Start a Case. Secondary action: Discuss a Complex Case. Returning-user utility: Open the Case Portal. No fourth competing CTA should appear above the final footer.</w:t>
      </w:r>
    </w:p>
    <w:p>
      <w:pPr>
        <w:spacing w:before="60" w:after="180" w:line="300" w:lineRule="auto"/>
        <w:ind w:left="173" w:right="115"/>
        <w:shd w:fill="F4F6F9"/>
        <w:pBdr>
          <w:left w:val="single" w:sz="18" w:space="8" w:color="1F4D78"/>
        </w:pBdr>
        <w:keepLines w:val="1"/>
      </w:pPr>
      <w:r>
        <w:rPr>
          <w:rFonts w:ascii="Calibri" w:hAnsi="Calibri" w:eastAsia="Calibri"/>
          <w:b/>
          <w:color w:val="1F4D78"/>
          <w:sz w:val="19"/>
        </w:rPr>
        <w:t xml:space="preserve">PROFESSIONAL BOUNDARY  </w:t>
      </w:r>
      <w:r>
        <w:rPr>
          <w:rFonts w:ascii="Calibri" w:hAnsi="Calibri" w:eastAsia="Calibri"/>
          <w:b w:val="0"/>
          <w:color w:val="162236"/>
          <w:sz w:val="22"/>
        </w:rPr>
        <w:t>Image3DConversion supports dental professionals and authorised workflow partners. It does not diagnose patients or replace the treating clinician’s judgement.</w:t>
      </w:r>
    </w:p>
    <w:p>
      <w:pPr>
        <w:pStyle w:val="Heading2"/>
        <w:keepNext w:val="1"/>
        <w:keepLines w:val="1"/>
      </w:pPr>
      <w:r>
        <w:t>Human-writing standard</w:t>
      </w:r>
    </w:p>
    <w:p>
      <w:pPr>
        <w:spacing w:before="0" w:after="120" w:line="300" w:lineRule="auto"/>
        <w:jc w:val="left"/>
      </w:pPr>
      <w:r>
        <w:rPr>
          <w:rFonts w:ascii="Calibri" w:hAnsi="Calibri" w:eastAsia="Calibri"/>
          <w:b w:val="0"/>
          <w:i w:val="0"/>
          <w:color w:val="162236"/>
          <w:sz w:val="22"/>
        </w:rPr>
        <w:t>The page uses short, concrete sentences and names the actual work. It does not perform enthusiasm. Technical terms appear only where a dentist needs them to choose or prepare a workflow.</w:t>
      </w:r>
    </w:p>
    <w:tbl>
      <w:tblPr>
        <w:tblW w:type="dxa" w:w="9360"/>
        <w:tblLayout w:type="fixed"/>
        <w:tblLook w:firstColumn="1" w:firstRow="1" w:lastColumn="0" w:lastRow="0" w:noHBand="0" w:noVBand="1" w:val="04A0"/>
        <w:jc w:val="left"/>
        <w:tblInd w:w="120" w:type="dxa"/>
        <w:tblBorders>
          <w:top w:val="single" w:sz="4" w:space="0" w:color="D9E0E8"/>
          <w:left w:val="single" w:sz="4" w:space="0" w:color="D9E0E8"/>
          <w:bottom w:val="single" w:sz="4" w:space="0" w:color="D9E0E8"/>
          <w:right w:val="single" w:sz="4" w:space="0" w:color="D9E0E8"/>
          <w:insideH w:val="single" w:sz="4" w:space="0" w:color="D9E0E8"/>
          <w:insideV w:val="single" w:sz="4" w:space="0" w:color="D9E0E8"/>
        </w:tblBorders>
      </w:tblPr>
      <w:tblGrid>
        <w:gridCol w:w="4680"/>
        <w:gridCol w:w="4680"/>
      </w:tblGrid>
      <w:tr>
        <w:trPr>
          <w:tblHeader w:val="true"/>
        </w:trPr>
        <w:tc>
          <w:tcPr>
            <w:tcW w:type="dxa" w:w="4680"/>
            <w:vAlign w:val="center"/>
            <w:tcMar>
              <w:top w:w="100" w:type="dxa"/>
              <w:start w:w="120" w:type="dxa"/>
              <w:bottom w:w="100" w:type="dxa"/>
              <w:end w:w="120" w:type="dxa"/>
            </w:tcMar>
            <w:shd w:fill="E8EEF5"/>
          </w:tcPr>
          <w:p>
            <w:pPr>
              <w:spacing w:before="0" w:after="0" w:line="276" w:lineRule="auto"/>
            </w:pPr>
            <w:r>
              <w:rPr>
                <w:rFonts w:ascii="Calibri" w:hAnsi="Calibri" w:eastAsia="Calibri"/>
                <w:b/>
                <w:color w:val="1F4D78"/>
                <w:sz w:val="19"/>
              </w:rPr>
              <w:t>Use</w:t>
            </w:r>
          </w:p>
        </w:tc>
        <w:tc>
          <w:tcPr>
            <w:tcW w:type="dxa" w:w="4680"/>
            <w:vAlign w:val="center"/>
            <w:tcMar>
              <w:top w:w="100" w:type="dxa"/>
              <w:start w:w="120" w:type="dxa"/>
              <w:bottom w:w="100" w:type="dxa"/>
              <w:end w:w="120" w:type="dxa"/>
            </w:tcMar>
            <w:shd w:fill="E8EEF5"/>
          </w:tcPr>
          <w:p>
            <w:pPr>
              <w:spacing w:before="0" w:after="0" w:line="276" w:lineRule="auto"/>
            </w:pPr>
            <w:r>
              <w:rPr>
                <w:rFonts w:ascii="Calibri" w:hAnsi="Calibri" w:eastAsia="Calibri"/>
                <w:b/>
                <w:color w:val="1F4D78"/>
                <w:sz w:val="19"/>
              </w:rPr>
              <w:t>Do not use</w:t>
            </w:r>
          </w:p>
        </w:tc>
      </w:tr>
      <w:tr>
        <w:tc>
          <w:tcPr>
            <w:tcW w:type="dxa" w:w="4680"/>
            <w:vAlign w:val="center"/>
            <w:tcMar>
              <w:top w:w="100" w:type="dxa"/>
              <w:start w:w="120" w:type="dxa"/>
              <w:bottom w:w="100" w:type="dxa"/>
              <w:end w:w="120" w:type="dxa"/>
            </w:tcMar>
          </w:tcPr>
          <w:p>
            <w:pPr>
              <w:spacing w:before="0" w:after="0" w:line="276" w:lineRule="auto"/>
            </w:pPr>
            <w:r>
              <w:rPr>
                <w:rFonts w:ascii="Calibri" w:hAnsi="Calibri" w:eastAsia="Calibri"/>
                <w:color w:val="162236"/>
                <w:sz w:val="19"/>
              </w:rPr>
              <w:t>Your plan remains under your approval.</w:t>
            </w:r>
          </w:p>
        </w:tc>
        <w:tc>
          <w:tcPr>
            <w:tcW w:type="dxa" w:w="4680"/>
            <w:vAlign w:val="center"/>
            <w:tcMar>
              <w:top w:w="100" w:type="dxa"/>
              <w:start w:w="120" w:type="dxa"/>
              <w:bottom w:w="100" w:type="dxa"/>
              <w:end w:w="120" w:type="dxa"/>
            </w:tcMar>
          </w:tcPr>
          <w:p>
            <w:pPr>
              <w:spacing w:before="0" w:after="0" w:line="276" w:lineRule="auto"/>
            </w:pPr>
            <w:r>
              <w:rPr>
                <w:rFonts w:ascii="Calibri" w:hAnsi="Calibri" w:eastAsia="Calibri"/>
                <w:color w:val="162236"/>
                <w:sz w:val="19"/>
              </w:rPr>
              <w:t>Our AI creates the perfect treatment plan.</w:t>
            </w:r>
          </w:p>
        </w:tc>
      </w:tr>
      <w:tr>
        <w:tc>
          <w:tcPr>
            <w:tcW w:type="dxa" w:w="4680"/>
            <w:vAlign w:val="center"/>
            <w:tcMar>
              <w:top w:w="100" w:type="dxa"/>
              <w:start w:w="120" w:type="dxa"/>
              <w:bottom w:w="100" w:type="dxa"/>
              <w:end w:w="120" w:type="dxa"/>
            </w:tcMar>
          </w:tcPr>
          <w:p>
            <w:pPr>
              <w:spacing w:before="0" w:after="0" w:line="276" w:lineRule="auto"/>
            </w:pPr>
            <w:r>
              <w:rPr>
                <w:rFonts w:ascii="Calibri" w:hAnsi="Calibri" w:eastAsia="Calibri"/>
                <w:color w:val="162236"/>
                <w:sz w:val="19"/>
              </w:rPr>
              <w:t>We check whether the files align before planning begins.</w:t>
            </w:r>
          </w:p>
        </w:tc>
        <w:tc>
          <w:tcPr>
            <w:tcW w:type="dxa" w:w="4680"/>
            <w:vAlign w:val="center"/>
            <w:tcMar>
              <w:top w:w="100" w:type="dxa"/>
              <w:start w:w="120" w:type="dxa"/>
              <w:bottom w:w="100" w:type="dxa"/>
              <w:end w:w="120" w:type="dxa"/>
            </w:tcMar>
          </w:tcPr>
          <w:p>
            <w:pPr>
              <w:spacing w:before="0" w:after="0" w:line="276" w:lineRule="auto"/>
            </w:pPr>
            <w:r>
              <w:rPr>
                <w:rFonts w:ascii="Calibri" w:hAnsi="Calibri" w:eastAsia="Calibri"/>
                <w:color w:val="162236"/>
                <w:sz w:val="19"/>
              </w:rPr>
              <w:t>Seamless integration with cutting-edge technology.</w:t>
            </w:r>
          </w:p>
        </w:tc>
      </w:tr>
      <w:tr>
        <w:tc>
          <w:tcPr>
            <w:tcW w:type="dxa" w:w="4680"/>
            <w:vAlign w:val="center"/>
            <w:tcMar>
              <w:top w:w="100" w:type="dxa"/>
              <w:start w:w="120" w:type="dxa"/>
              <w:bottom w:w="100" w:type="dxa"/>
              <w:end w:w="120" w:type="dxa"/>
            </w:tcMar>
          </w:tcPr>
          <w:p>
            <w:pPr>
              <w:spacing w:before="0" w:after="0" w:line="276" w:lineRule="auto"/>
            </w:pPr>
            <w:r>
              <w:rPr>
                <w:rFonts w:ascii="Calibri" w:hAnsi="Calibri" w:eastAsia="Calibri"/>
                <w:color w:val="162236"/>
                <w:sz w:val="19"/>
              </w:rPr>
              <w:t>Choose the workflow your case needs.</w:t>
            </w:r>
          </w:p>
        </w:tc>
        <w:tc>
          <w:tcPr>
            <w:tcW w:type="dxa" w:w="4680"/>
            <w:vAlign w:val="center"/>
            <w:tcMar>
              <w:top w:w="100" w:type="dxa"/>
              <w:start w:w="120" w:type="dxa"/>
              <w:bottom w:w="100" w:type="dxa"/>
              <w:end w:w="120" w:type="dxa"/>
            </w:tcMar>
          </w:tcPr>
          <w:p>
            <w:pPr>
              <w:spacing w:before="0" w:after="0" w:line="276" w:lineRule="auto"/>
            </w:pPr>
            <w:r>
              <w:rPr>
                <w:rFonts w:ascii="Calibri" w:hAnsi="Calibri" w:eastAsia="Calibri"/>
                <w:color w:val="162236"/>
                <w:sz w:val="19"/>
              </w:rPr>
              <w:t>Unlock next-level dentistry.</w:t>
            </w:r>
          </w:p>
        </w:tc>
      </w:tr>
      <w:tr>
        <w:tc>
          <w:tcPr>
            <w:tcW w:type="dxa" w:w="4680"/>
            <w:vAlign w:val="center"/>
            <w:tcMar>
              <w:top w:w="100" w:type="dxa"/>
              <w:start w:w="120" w:type="dxa"/>
              <w:bottom w:w="100" w:type="dxa"/>
              <w:end w:w="120" w:type="dxa"/>
            </w:tcMar>
          </w:tcPr>
          <w:p>
            <w:pPr>
              <w:spacing w:before="0" w:after="0" w:line="276" w:lineRule="auto"/>
            </w:pPr>
            <w:r>
              <w:rPr>
                <w:rFonts w:ascii="Calibri" w:hAnsi="Calibri" w:eastAsia="Calibri"/>
                <w:color w:val="162236"/>
                <w:sz w:val="19"/>
              </w:rPr>
              <w:t>Bring us the cases that need more than a template.</w:t>
            </w:r>
          </w:p>
        </w:tc>
        <w:tc>
          <w:tcPr>
            <w:tcW w:type="dxa" w:w="4680"/>
            <w:vAlign w:val="center"/>
            <w:tcMar>
              <w:top w:w="100" w:type="dxa"/>
              <w:start w:w="120" w:type="dxa"/>
              <w:bottom w:w="100" w:type="dxa"/>
              <w:end w:w="120" w:type="dxa"/>
            </w:tcMar>
          </w:tcPr>
          <w:p>
            <w:pPr>
              <w:spacing w:before="0" w:after="0" w:line="276" w:lineRule="auto"/>
            </w:pPr>
            <w:r>
              <w:rPr>
                <w:rFonts w:ascii="Calibri" w:hAnsi="Calibri" w:eastAsia="Calibri"/>
                <w:color w:val="162236"/>
                <w:sz w:val="19"/>
              </w:rPr>
              <w:t>Revolutionising dentistry one smile at a time.</w:t>
            </w:r>
          </w:p>
        </w:tc>
      </w:tr>
      <w:tr>
        <w:tc>
          <w:tcPr>
            <w:tcW w:type="dxa" w:w="4680"/>
            <w:vAlign w:val="center"/>
            <w:tcMar>
              <w:top w:w="100" w:type="dxa"/>
              <w:start w:w="120" w:type="dxa"/>
              <w:bottom w:w="100" w:type="dxa"/>
              <w:end w:w="120" w:type="dxa"/>
            </w:tcMar>
          </w:tcPr>
          <w:p>
            <w:pPr>
              <w:spacing w:before="0" w:after="0" w:line="276" w:lineRule="auto"/>
            </w:pPr>
            <w:r>
              <w:rPr>
                <w:rFonts w:ascii="Calibri" w:hAnsi="Calibri" w:eastAsia="Calibri"/>
                <w:color w:val="162236"/>
                <w:sz w:val="19"/>
              </w:rPr>
              <w:t>Production begins after data, scope and approval are complete.</w:t>
            </w:r>
          </w:p>
        </w:tc>
        <w:tc>
          <w:tcPr>
            <w:tcW w:type="dxa" w:w="4680"/>
            <w:vAlign w:val="center"/>
            <w:tcMar>
              <w:top w:w="100" w:type="dxa"/>
              <w:start w:w="120" w:type="dxa"/>
              <w:bottom w:w="100" w:type="dxa"/>
              <w:end w:w="120" w:type="dxa"/>
            </w:tcMar>
          </w:tcPr>
          <w:p>
            <w:pPr>
              <w:spacing w:before="0" w:after="0" w:line="276" w:lineRule="auto"/>
            </w:pPr>
            <w:r>
              <w:rPr>
                <w:rFonts w:ascii="Calibri" w:hAnsi="Calibri" w:eastAsia="Calibri"/>
                <w:color w:val="162236"/>
                <w:sz w:val="19"/>
              </w:rPr>
              <w:t>Guaranteed delivery in 24 hours.</w:t>
            </w:r>
          </w:p>
        </w:tc>
      </w:tr>
    </w:tbl>
    <w:p>
      <w:pPr>
        <w:spacing w:before="0" w:after="80" w:line="300" w:lineRule="auto"/>
        <w:jc w:val="left"/>
      </w:pPr>
      <w:r>
        <w:rPr>
          <w:rFonts w:ascii="Calibri" w:hAnsi="Calibri" w:eastAsia="Calibri"/>
          <w:b w:val="0"/>
          <w:i w:val="0"/>
          <w:color w:val="162236"/>
          <w:sz w:val="22"/>
        </w:rPr>
      </w:r>
    </w:p>
    <w:p>
      <w:pPr>
        <w:pStyle w:val="Heading1"/>
        <w:keepNext w:val="1"/>
        <w:keepLines w:val="1"/>
      </w:pPr>
      <w:r>
        <w:t>2. SEO and page identity</w:t>
      </w:r>
    </w:p>
    <w:p>
      <w:pPr>
        <w:spacing w:before="0" w:after="80"/>
        <w:keepNext w:val="1"/>
      </w:pPr>
      <w:r>
        <w:rPr>
          <w:rFonts w:ascii="Calibri" w:hAnsi="Calibri" w:eastAsia="Calibri"/>
          <w:b/>
          <w:color w:val="2E74B5"/>
          <w:sz w:val="19"/>
        </w:rPr>
        <w:t>SEARCH-FRIENDLY, NOT SEARCH-ENGINE-WRITTEN</w:t>
      </w:r>
    </w:p>
    <w:p>
      <w:pPr>
        <w:spacing w:before="0" w:after="120" w:line="300" w:lineRule="auto"/>
        <w:jc w:val="left"/>
      </w:pPr>
      <w:r>
        <w:rPr>
          <w:rFonts w:ascii="Calibri" w:hAnsi="Calibri" w:eastAsia="Calibri"/>
          <w:b w:val="0"/>
          <w:i w:val="0"/>
          <w:color w:val="162236"/>
          <w:sz w:val="22"/>
        </w:rPr>
        <w:t>The homepage owns the broad commercial intent. Each specialised workflow has its own indexable page, so the homepage does not need repetitive keyword paragraphs.</w:t>
      </w:r>
    </w:p>
    <w:tbl>
      <w:tblPr>
        <w:tblW w:type="dxa" w:w="9360"/>
        <w:tblLayout w:type="fixed"/>
        <w:tblLook w:firstColumn="1" w:firstRow="1" w:lastColumn="0" w:lastRow="0" w:noHBand="0" w:noVBand="1" w:val="04A0"/>
        <w:jc w:val="left"/>
        <w:tblInd w:w="120" w:type="dxa"/>
        <w:tblBorders>
          <w:top w:val="single" w:sz="4" w:space="0" w:color="D9E0E8"/>
          <w:left w:val="single" w:sz="4" w:space="0" w:color="D9E0E8"/>
          <w:bottom w:val="single" w:sz="4" w:space="0" w:color="D9E0E8"/>
          <w:right w:val="single" w:sz="4" w:space="0" w:color="D9E0E8"/>
          <w:insideH w:val="single" w:sz="4" w:space="0" w:color="D9E0E8"/>
          <w:insideV w:val="single" w:sz="4" w:space="0" w:color="D9E0E8"/>
        </w:tblBorders>
      </w:tblPr>
      <w:tblGrid>
        <w:gridCol w:w="2160"/>
        <w:gridCol w:w="7200"/>
      </w:tblGrid>
      <w:tr>
        <w:trPr>
          <w:tblHeader w:val="true"/>
        </w:trPr>
        <w:tc>
          <w:tcPr>
            <w:tcW w:type="dxa" w:w="2160"/>
            <w:vAlign w:val="center"/>
            <w:tcMar>
              <w:top w:w="100" w:type="dxa"/>
              <w:start w:w="120" w:type="dxa"/>
              <w:bottom w:w="100" w:type="dxa"/>
              <w:end w:w="120" w:type="dxa"/>
            </w:tcMar>
            <w:shd w:fill="E8EEF5"/>
          </w:tcPr>
          <w:p>
            <w:pPr>
              <w:spacing w:before="0" w:after="0" w:line="276" w:lineRule="auto"/>
            </w:pPr>
            <w:r>
              <w:rPr>
                <w:rFonts w:ascii="Calibri" w:hAnsi="Calibri" w:eastAsia="Calibri"/>
                <w:b/>
                <w:color w:val="1F4D78"/>
                <w:sz w:val="19"/>
              </w:rPr>
              <w:t>Field</w:t>
            </w:r>
          </w:p>
        </w:tc>
        <w:tc>
          <w:tcPr>
            <w:tcW w:type="dxa" w:w="7200"/>
            <w:vAlign w:val="center"/>
            <w:tcMar>
              <w:top w:w="100" w:type="dxa"/>
              <w:start w:w="120" w:type="dxa"/>
              <w:bottom w:w="100" w:type="dxa"/>
              <w:end w:w="120" w:type="dxa"/>
            </w:tcMar>
            <w:shd w:fill="E8EEF5"/>
          </w:tcPr>
          <w:p>
            <w:pPr>
              <w:spacing w:before="0" w:after="0" w:line="276" w:lineRule="auto"/>
            </w:pPr>
            <w:r>
              <w:rPr>
                <w:rFonts w:ascii="Calibri" w:hAnsi="Calibri" w:eastAsia="Calibri"/>
                <w:b/>
                <w:color w:val="1F4D78"/>
                <w:sz w:val="19"/>
              </w:rPr>
              <w:t>Locked recommendation</w:t>
            </w:r>
          </w:p>
        </w:tc>
      </w:tr>
      <w:tr>
        <w:tc>
          <w:tcPr>
            <w:tcW w:type="dxa" w:w="2160"/>
            <w:vAlign w:val="center"/>
            <w:tcMar>
              <w:top w:w="100" w:type="dxa"/>
              <w:start w:w="120" w:type="dxa"/>
              <w:bottom w:w="100" w:type="dxa"/>
              <w:end w:w="120" w:type="dxa"/>
            </w:tcMar>
          </w:tcPr>
          <w:p>
            <w:pPr>
              <w:spacing w:before="0" w:after="0" w:line="276" w:lineRule="auto"/>
            </w:pPr>
            <w:r>
              <w:rPr>
                <w:rFonts w:ascii="Calibri" w:hAnsi="Calibri" w:eastAsia="Calibri"/>
                <w:color w:val="162236"/>
                <w:sz w:val="19"/>
              </w:rPr>
              <w:t>Route</w:t>
            </w:r>
          </w:p>
        </w:tc>
        <w:tc>
          <w:tcPr>
            <w:tcW w:type="dxa" w:w="7200"/>
            <w:vAlign w:val="center"/>
            <w:tcMar>
              <w:top w:w="100" w:type="dxa"/>
              <w:start w:w="120" w:type="dxa"/>
              <w:bottom w:w="100" w:type="dxa"/>
              <w:end w:w="120" w:type="dxa"/>
            </w:tcMar>
          </w:tcPr>
          <w:p>
            <w:pPr>
              <w:spacing w:before="0" w:after="0" w:line="276" w:lineRule="auto"/>
            </w:pPr>
            <w:r>
              <w:rPr>
                <w:rFonts w:ascii="Calibri" w:hAnsi="Calibri" w:eastAsia="Calibri"/>
                <w:color w:val="162236"/>
                <w:sz w:val="19"/>
              </w:rPr>
              <w:t>/</w:t>
            </w:r>
          </w:p>
        </w:tc>
      </w:tr>
      <w:tr>
        <w:tc>
          <w:tcPr>
            <w:tcW w:type="dxa" w:w="2160"/>
            <w:vAlign w:val="center"/>
            <w:tcMar>
              <w:top w:w="100" w:type="dxa"/>
              <w:start w:w="120" w:type="dxa"/>
              <w:bottom w:w="100" w:type="dxa"/>
              <w:end w:w="120" w:type="dxa"/>
            </w:tcMar>
          </w:tcPr>
          <w:p>
            <w:pPr>
              <w:spacing w:before="0" w:after="0" w:line="276" w:lineRule="auto"/>
            </w:pPr>
            <w:r>
              <w:rPr>
                <w:rFonts w:ascii="Calibri" w:hAnsi="Calibri" w:eastAsia="Calibri"/>
                <w:color w:val="162236"/>
                <w:sz w:val="19"/>
              </w:rPr>
              <w:t>Canonical</w:t>
            </w:r>
          </w:p>
        </w:tc>
        <w:tc>
          <w:tcPr>
            <w:tcW w:type="dxa" w:w="7200"/>
            <w:vAlign w:val="center"/>
            <w:tcMar>
              <w:top w:w="100" w:type="dxa"/>
              <w:start w:w="120" w:type="dxa"/>
              <w:bottom w:w="100" w:type="dxa"/>
              <w:end w:w="120" w:type="dxa"/>
            </w:tcMar>
          </w:tcPr>
          <w:p>
            <w:pPr>
              <w:spacing w:before="0" w:after="0" w:line="276" w:lineRule="auto"/>
            </w:pPr>
            <w:r>
              <w:rPr>
                <w:rFonts w:ascii="Calibri" w:hAnsi="Calibri" w:eastAsia="Calibri"/>
                <w:color w:val="162236"/>
                <w:sz w:val="19"/>
              </w:rPr>
              <w:t>https://www.image3dconversion.com/</w:t>
            </w:r>
          </w:p>
        </w:tc>
      </w:tr>
      <w:tr>
        <w:tc>
          <w:tcPr>
            <w:tcW w:type="dxa" w:w="2160"/>
            <w:vAlign w:val="center"/>
            <w:tcMar>
              <w:top w:w="100" w:type="dxa"/>
              <w:start w:w="120" w:type="dxa"/>
              <w:bottom w:w="100" w:type="dxa"/>
              <w:end w:w="120" w:type="dxa"/>
            </w:tcMar>
          </w:tcPr>
          <w:p>
            <w:pPr>
              <w:spacing w:before="0" w:after="0" w:line="276" w:lineRule="auto"/>
            </w:pPr>
            <w:r>
              <w:rPr>
                <w:rFonts w:ascii="Calibri" w:hAnsi="Calibri" w:eastAsia="Calibri"/>
                <w:color w:val="162236"/>
                <w:sz w:val="19"/>
              </w:rPr>
              <w:t>Indexing</w:t>
            </w:r>
          </w:p>
        </w:tc>
        <w:tc>
          <w:tcPr>
            <w:tcW w:type="dxa" w:w="7200"/>
            <w:vAlign w:val="center"/>
            <w:tcMar>
              <w:top w:w="100" w:type="dxa"/>
              <w:start w:w="120" w:type="dxa"/>
              <w:bottom w:w="100" w:type="dxa"/>
              <w:end w:w="120" w:type="dxa"/>
            </w:tcMar>
          </w:tcPr>
          <w:p>
            <w:pPr>
              <w:spacing w:before="0" w:after="0" w:line="276" w:lineRule="auto"/>
            </w:pPr>
            <w:r>
              <w:rPr>
                <w:rFonts w:ascii="Calibri" w:hAnsi="Calibri" w:eastAsia="Calibri"/>
                <w:color w:val="162236"/>
                <w:sz w:val="19"/>
              </w:rPr>
              <w:t>Index, follow</w:t>
            </w:r>
          </w:p>
        </w:tc>
      </w:tr>
      <w:tr>
        <w:tc>
          <w:tcPr>
            <w:tcW w:type="dxa" w:w="2160"/>
            <w:vAlign w:val="center"/>
            <w:tcMar>
              <w:top w:w="100" w:type="dxa"/>
              <w:start w:w="120" w:type="dxa"/>
              <w:bottom w:w="100" w:type="dxa"/>
              <w:end w:w="120" w:type="dxa"/>
            </w:tcMar>
          </w:tcPr>
          <w:p>
            <w:pPr>
              <w:spacing w:before="0" w:after="0" w:line="276" w:lineRule="auto"/>
            </w:pPr>
            <w:r>
              <w:rPr>
                <w:rFonts w:ascii="Calibri" w:hAnsi="Calibri" w:eastAsia="Calibri"/>
                <w:color w:val="162236"/>
                <w:sz w:val="19"/>
              </w:rPr>
              <w:t>Primary search intent</w:t>
            </w:r>
          </w:p>
        </w:tc>
        <w:tc>
          <w:tcPr>
            <w:tcW w:type="dxa" w:w="7200"/>
            <w:vAlign w:val="center"/>
            <w:tcMar>
              <w:top w:w="100" w:type="dxa"/>
              <w:start w:w="120" w:type="dxa"/>
              <w:bottom w:w="100" w:type="dxa"/>
              <w:end w:w="120" w:type="dxa"/>
            </w:tcMar>
          </w:tcPr>
          <w:p>
            <w:pPr>
              <w:spacing w:before="0" w:after="0" w:line="276" w:lineRule="auto"/>
            </w:pPr>
            <w:r>
              <w:rPr>
                <w:rFonts w:ascii="Calibri" w:hAnsi="Calibri" w:eastAsia="Calibri"/>
                <w:color w:val="162236"/>
                <w:sz w:val="19"/>
              </w:rPr>
              <w:t>digital implant planning services; surgical guide services</w:t>
            </w:r>
          </w:p>
        </w:tc>
      </w:tr>
      <w:tr>
        <w:tc>
          <w:tcPr>
            <w:tcW w:type="dxa" w:w="2160"/>
            <w:vAlign w:val="center"/>
            <w:tcMar>
              <w:top w:w="100" w:type="dxa"/>
              <w:start w:w="120" w:type="dxa"/>
              <w:bottom w:w="100" w:type="dxa"/>
              <w:end w:w="120" w:type="dxa"/>
            </w:tcMar>
          </w:tcPr>
          <w:p>
            <w:pPr>
              <w:spacing w:before="0" w:after="0" w:line="276" w:lineRule="auto"/>
            </w:pPr>
            <w:r>
              <w:rPr>
                <w:rFonts w:ascii="Calibri" w:hAnsi="Calibri" w:eastAsia="Calibri"/>
                <w:color w:val="162236"/>
                <w:sz w:val="19"/>
              </w:rPr>
              <w:t>SEO title</w:t>
            </w:r>
          </w:p>
        </w:tc>
        <w:tc>
          <w:tcPr>
            <w:tcW w:type="dxa" w:w="7200"/>
            <w:vAlign w:val="center"/>
            <w:tcMar>
              <w:top w:w="100" w:type="dxa"/>
              <w:start w:w="120" w:type="dxa"/>
              <w:bottom w:w="100" w:type="dxa"/>
              <w:end w:w="120" w:type="dxa"/>
            </w:tcMar>
          </w:tcPr>
          <w:p>
            <w:pPr>
              <w:spacing w:before="0" w:after="0" w:line="276" w:lineRule="auto"/>
            </w:pPr>
            <w:r>
              <w:rPr>
                <w:rFonts w:ascii="Calibri" w:hAnsi="Calibri" w:eastAsia="Calibri"/>
                <w:color w:val="162236"/>
                <w:sz w:val="19"/>
              </w:rPr>
              <w:t>Digital Implant Planning &amp; Surgical Guides | Image3DConversion</w:t>
            </w:r>
          </w:p>
        </w:tc>
      </w:tr>
      <w:tr>
        <w:tc>
          <w:tcPr>
            <w:tcW w:type="dxa" w:w="2160"/>
            <w:vAlign w:val="center"/>
            <w:tcMar>
              <w:top w:w="100" w:type="dxa"/>
              <w:start w:w="120" w:type="dxa"/>
              <w:bottom w:w="100" w:type="dxa"/>
              <w:end w:w="120" w:type="dxa"/>
            </w:tcMar>
          </w:tcPr>
          <w:p>
            <w:pPr>
              <w:spacing w:before="0" w:after="0" w:line="276" w:lineRule="auto"/>
            </w:pPr>
            <w:r>
              <w:rPr>
                <w:rFonts w:ascii="Calibri" w:hAnsi="Calibri" w:eastAsia="Calibri"/>
                <w:color w:val="162236"/>
                <w:sz w:val="19"/>
              </w:rPr>
              <w:t>Meta description</w:t>
            </w:r>
          </w:p>
        </w:tc>
        <w:tc>
          <w:tcPr>
            <w:tcW w:type="dxa" w:w="7200"/>
            <w:vAlign w:val="center"/>
            <w:tcMar>
              <w:top w:w="100" w:type="dxa"/>
              <w:start w:w="120" w:type="dxa"/>
              <w:bottom w:w="100" w:type="dxa"/>
              <w:end w:w="120" w:type="dxa"/>
            </w:tcMar>
          </w:tcPr>
          <w:p>
            <w:pPr>
              <w:spacing w:before="0" w:after="0" w:line="276" w:lineRule="auto"/>
            </w:pPr>
            <w:r>
              <w:rPr>
                <w:rFonts w:ascii="Calibri" w:hAnsi="Calibri" w:eastAsia="Calibri"/>
                <w:color w:val="162236"/>
                <w:sz w:val="19"/>
              </w:rPr>
              <w:t>Plan routine and complex guided implant cases with expert digital planning, surgical guides, full-arch workflows and clinician review before production.</w:t>
            </w:r>
          </w:p>
        </w:tc>
      </w:tr>
      <w:tr>
        <w:tc>
          <w:tcPr>
            <w:tcW w:type="dxa" w:w="2160"/>
            <w:vAlign w:val="center"/>
            <w:tcMar>
              <w:top w:w="100" w:type="dxa"/>
              <w:start w:w="120" w:type="dxa"/>
              <w:bottom w:w="100" w:type="dxa"/>
              <w:end w:w="120" w:type="dxa"/>
            </w:tcMar>
          </w:tcPr>
          <w:p>
            <w:pPr>
              <w:spacing w:before="0" w:after="0" w:line="276" w:lineRule="auto"/>
            </w:pPr>
            <w:r>
              <w:rPr>
                <w:rFonts w:ascii="Calibri" w:hAnsi="Calibri" w:eastAsia="Calibri"/>
                <w:color w:val="162236"/>
                <w:sz w:val="19"/>
              </w:rPr>
              <w:t>Visible H1</w:t>
            </w:r>
          </w:p>
        </w:tc>
        <w:tc>
          <w:tcPr>
            <w:tcW w:type="dxa" w:w="7200"/>
            <w:vAlign w:val="center"/>
            <w:tcMar>
              <w:top w:w="100" w:type="dxa"/>
              <w:start w:w="120" w:type="dxa"/>
              <w:bottom w:w="100" w:type="dxa"/>
              <w:end w:w="120" w:type="dxa"/>
            </w:tcMar>
          </w:tcPr>
          <w:p>
            <w:pPr>
              <w:spacing w:before="0" w:after="0" w:line="276" w:lineRule="auto"/>
            </w:pPr>
            <w:r>
              <w:rPr>
                <w:rFonts w:ascii="Calibri" w:hAnsi="Calibri" w:eastAsia="Calibri"/>
                <w:color w:val="162236"/>
                <w:sz w:val="19"/>
              </w:rPr>
              <w:t>Plan the outcome. Guide the execution.</w:t>
            </w:r>
          </w:p>
        </w:tc>
      </w:tr>
      <w:tr>
        <w:tc>
          <w:tcPr>
            <w:tcW w:type="dxa" w:w="2160"/>
            <w:vAlign w:val="center"/>
            <w:tcMar>
              <w:top w:w="100" w:type="dxa"/>
              <w:start w:w="120" w:type="dxa"/>
              <w:bottom w:w="100" w:type="dxa"/>
              <w:end w:w="120" w:type="dxa"/>
            </w:tcMar>
          </w:tcPr>
          <w:p>
            <w:pPr>
              <w:spacing w:before="0" w:after="0" w:line="276" w:lineRule="auto"/>
            </w:pPr>
            <w:r>
              <w:rPr>
                <w:rFonts w:ascii="Calibri" w:hAnsi="Calibri" w:eastAsia="Calibri"/>
                <w:color w:val="162236"/>
                <w:sz w:val="19"/>
              </w:rPr>
              <w:t>Primary CTA</w:t>
            </w:r>
          </w:p>
        </w:tc>
        <w:tc>
          <w:tcPr>
            <w:tcW w:type="dxa" w:w="7200"/>
            <w:vAlign w:val="center"/>
            <w:tcMar>
              <w:top w:w="100" w:type="dxa"/>
              <w:start w:w="120" w:type="dxa"/>
              <w:bottom w:w="100" w:type="dxa"/>
              <w:end w:w="120" w:type="dxa"/>
            </w:tcMar>
          </w:tcPr>
          <w:p>
            <w:pPr>
              <w:spacing w:before="0" w:after="0" w:line="276" w:lineRule="auto"/>
            </w:pPr>
            <w:r>
              <w:rPr>
                <w:rFonts w:ascii="Calibri" w:hAnsi="Calibri" w:eastAsia="Calibri"/>
                <w:color w:val="162236"/>
                <w:sz w:val="19"/>
              </w:rPr>
              <w:t>Start a Case</w:t>
            </w:r>
          </w:p>
        </w:tc>
      </w:tr>
      <w:tr>
        <w:tc>
          <w:tcPr>
            <w:tcW w:type="dxa" w:w="2160"/>
            <w:vAlign w:val="center"/>
            <w:tcMar>
              <w:top w:w="100" w:type="dxa"/>
              <w:start w:w="120" w:type="dxa"/>
              <w:bottom w:w="100" w:type="dxa"/>
              <w:end w:w="120" w:type="dxa"/>
            </w:tcMar>
          </w:tcPr>
          <w:p>
            <w:pPr>
              <w:spacing w:before="0" w:after="0" w:line="276" w:lineRule="auto"/>
            </w:pPr>
            <w:r>
              <w:rPr>
                <w:rFonts w:ascii="Calibri" w:hAnsi="Calibri" w:eastAsia="Calibri"/>
                <w:color w:val="162236"/>
                <w:sz w:val="19"/>
              </w:rPr>
              <w:t>Secondary CTA</w:t>
            </w:r>
          </w:p>
        </w:tc>
        <w:tc>
          <w:tcPr>
            <w:tcW w:type="dxa" w:w="7200"/>
            <w:vAlign w:val="center"/>
            <w:tcMar>
              <w:top w:w="100" w:type="dxa"/>
              <w:start w:w="120" w:type="dxa"/>
              <w:bottom w:w="100" w:type="dxa"/>
              <w:end w:w="120" w:type="dxa"/>
            </w:tcMar>
          </w:tcPr>
          <w:p>
            <w:pPr>
              <w:spacing w:before="0" w:after="0" w:line="276" w:lineRule="auto"/>
            </w:pPr>
            <w:r>
              <w:rPr>
                <w:rFonts w:ascii="Calibri" w:hAnsi="Calibri" w:eastAsia="Calibri"/>
                <w:color w:val="162236"/>
                <w:sz w:val="19"/>
              </w:rPr>
              <w:t>Discuss a Complex Case</w:t>
            </w:r>
          </w:p>
        </w:tc>
      </w:tr>
      <w:tr>
        <w:tc>
          <w:tcPr>
            <w:tcW w:type="dxa" w:w="2160"/>
            <w:vAlign w:val="center"/>
            <w:tcMar>
              <w:top w:w="100" w:type="dxa"/>
              <w:start w:w="120" w:type="dxa"/>
              <w:bottom w:w="100" w:type="dxa"/>
              <w:end w:w="120" w:type="dxa"/>
            </w:tcMar>
          </w:tcPr>
          <w:p>
            <w:pPr>
              <w:spacing w:before="0" w:after="0" w:line="276" w:lineRule="auto"/>
            </w:pPr>
            <w:r>
              <w:rPr>
                <w:rFonts w:ascii="Calibri" w:hAnsi="Calibri" w:eastAsia="Calibri"/>
                <w:color w:val="162236"/>
                <w:sz w:val="19"/>
              </w:rPr>
              <w:t>Returning-user link</w:t>
            </w:r>
          </w:p>
        </w:tc>
        <w:tc>
          <w:tcPr>
            <w:tcW w:type="dxa" w:w="7200"/>
            <w:vAlign w:val="center"/>
            <w:tcMar>
              <w:top w:w="100" w:type="dxa"/>
              <w:start w:w="120" w:type="dxa"/>
              <w:bottom w:w="100" w:type="dxa"/>
              <w:end w:w="120" w:type="dxa"/>
            </w:tcMar>
          </w:tcPr>
          <w:p>
            <w:pPr>
              <w:spacing w:before="0" w:after="0" w:line="276" w:lineRule="auto"/>
            </w:pPr>
            <w:r>
              <w:rPr>
                <w:rFonts w:ascii="Calibri" w:hAnsi="Calibri" w:eastAsia="Calibri"/>
                <w:color w:val="162236"/>
                <w:sz w:val="19"/>
              </w:rPr>
              <w:t>Open the Case Portal</w:t>
            </w:r>
          </w:p>
        </w:tc>
      </w:tr>
    </w:tbl>
    <w:p>
      <w:pPr>
        <w:spacing w:before="0" w:after="80" w:line="300" w:lineRule="auto"/>
        <w:jc w:val="left"/>
      </w:pPr>
      <w:r>
        <w:rPr>
          <w:rFonts w:ascii="Calibri" w:hAnsi="Calibri" w:eastAsia="Calibri"/>
          <w:b w:val="0"/>
          <w:i w:val="0"/>
          <w:color w:val="162236"/>
          <w:sz w:val="22"/>
        </w:rPr>
      </w:r>
    </w:p>
    <w:p>
      <w:pPr>
        <w:pStyle w:val="Heading2"/>
        <w:keepNext w:val="1"/>
        <w:keepLines w:val="1"/>
      </w:pPr>
      <w:r>
        <w:t>Heading and intent hierarchy</w:t>
      </w:r>
    </w:p>
    <w:p>
      <w:pPr>
        <w:numPr>
          <w:ilvl w:val="0"/>
          <w:numId w:val="13"/>
        </w:numPr>
        <w:spacing w:before="0" w:after="80" w:line="300" w:lineRule="auto"/>
        <w:keepLines w:val="1"/>
      </w:pPr>
      <w:r>
        <w:rPr>
          <w:rFonts w:ascii="Calibri" w:hAnsi="Calibri" w:eastAsia="Calibri"/>
          <w:b/>
          <w:color w:val="162236"/>
          <w:sz w:val="22"/>
        </w:rPr>
        <w:t xml:space="preserve">H1 — </w:t>
      </w:r>
      <w:r>
        <w:rPr>
          <w:rFonts w:ascii="Calibri" w:hAnsi="Calibri" w:eastAsia="Calibri"/>
          <w:color w:val="162236"/>
          <w:sz w:val="22"/>
        </w:rPr>
        <w:t>Plan the outcome. Guide the execution.</w:t>
      </w:r>
    </w:p>
    <w:p>
      <w:pPr>
        <w:numPr>
          <w:ilvl w:val="0"/>
          <w:numId w:val="13"/>
        </w:numPr>
        <w:spacing w:before="0" w:after="80" w:line="300" w:lineRule="auto"/>
        <w:keepLines w:val="1"/>
      </w:pPr>
      <w:r>
        <w:rPr>
          <w:rFonts w:ascii="Calibri" w:hAnsi="Calibri" w:eastAsia="Calibri"/>
          <w:b/>
          <w:color w:val="162236"/>
          <w:sz w:val="22"/>
        </w:rPr>
        <w:t xml:space="preserve">H2 — </w:t>
      </w:r>
      <w:r>
        <w:rPr>
          <w:rFonts w:ascii="Calibri" w:hAnsi="Calibri" w:eastAsia="Calibri"/>
          <w:color w:val="162236"/>
          <w:sz w:val="22"/>
        </w:rPr>
        <w:t>Choose the workflow your case needs.</w:t>
      </w:r>
    </w:p>
    <w:p>
      <w:pPr>
        <w:numPr>
          <w:ilvl w:val="0"/>
          <w:numId w:val="13"/>
        </w:numPr>
        <w:spacing w:before="0" w:after="80" w:line="300" w:lineRule="auto"/>
        <w:keepLines w:val="1"/>
      </w:pPr>
      <w:r>
        <w:rPr>
          <w:rFonts w:ascii="Calibri" w:hAnsi="Calibri" w:eastAsia="Calibri"/>
          <w:b/>
          <w:color w:val="162236"/>
          <w:sz w:val="22"/>
        </w:rPr>
        <w:t xml:space="preserve">H2 — </w:t>
      </w:r>
      <w:r>
        <w:rPr>
          <w:rFonts w:ascii="Calibri" w:hAnsi="Calibri" w:eastAsia="Calibri"/>
          <w:color w:val="162236"/>
          <w:sz w:val="22"/>
        </w:rPr>
        <w:t>The guide is one part of the workflow.</w:t>
      </w:r>
    </w:p>
    <w:p>
      <w:pPr>
        <w:numPr>
          <w:ilvl w:val="0"/>
          <w:numId w:val="13"/>
        </w:numPr>
        <w:spacing w:before="0" w:after="80" w:line="300" w:lineRule="auto"/>
        <w:keepLines w:val="1"/>
      </w:pPr>
      <w:r>
        <w:rPr>
          <w:rFonts w:ascii="Calibri" w:hAnsi="Calibri" w:eastAsia="Calibri"/>
          <w:b/>
          <w:color w:val="162236"/>
          <w:sz w:val="22"/>
        </w:rPr>
        <w:t xml:space="preserve">H2 — </w:t>
      </w:r>
      <w:r>
        <w:rPr>
          <w:rFonts w:ascii="Calibri" w:hAnsi="Calibri" w:eastAsia="Calibri"/>
          <w:color w:val="162236"/>
          <w:sz w:val="22"/>
        </w:rPr>
        <w:t>One case. Five visible steps.</w:t>
      </w:r>
    </w:p>
    <w:p>
      <w:pPr>
        <w:numPr>
          <w:ilvl w:val="0"/>
          <w:numId w:val="13"/>
        </w:numPr>
        <w:spacing w:before="0" w:after="80" w:line="300" w:lineRule="auto"/>
        <w:keepLines w:val="1"/>
      </w:pPr>
      <w:r>
        <w:rPr>
          <w:rFonts w:ascii="Calibri" w:hAnsi="Calibri" w:eastAsia="Calibri"/>
          <w:b/>
          <w:color w:val="162236"/>
          <w:sz w:val="22"/>
        </w:rPr>
        <w:t xml:space="preserve">H2 — </w:t>
      </w:r>
      <w:r>
        <w:rPr>
          <w:rFonts w:ascii="Calibri" w:hAnsi="Calibri" w:eastAsia="Calibri"/>
          <w:color w:val="162236"/>
          <w:sz w:val="22"/>
        </w:rPr>
        <w:t>Choose how much support your practice needs.</w:t>
      </w:r>
    </w:p>
    <w:p>
      <w:pPr>
        <w:numPr>
          <w:ilvl w:val="0"/>
          <w:numId w:val="13"/>
        </w:numPr>
        <w:spacing w:before="0" w:after="80" w:line="300" w:lineRule="auto"/>
        <w:keepLines w:val="1"/>
      </w:pPr>
      <w:r>
        <w:rPr>
          <w:rFonts w:ascii="Calibri" w:hAnsi="Calibri" w:eastAsia="Calibri"/>
          <w:b/>
          <w:color w:val="162236"/>
          <w:sz w:val="22"/>
        </w:rPr>
        <w:t xml:space="preserve">H2 — </w:t>
      </w:r>
      <w:r>
        <w:rPr>
          <w:rFonts w:ascii="Calibri" w:hAnsi="Calibri" w:eastAsia="Calibri"/>
          <w:color w:val="162236"/>
          <w:sz w:val="22"/>
        </w:rPr>
        <w:t>Bring us the cases that need more than a template.</w:t>
      </w:r>
    </w:p>
    <w:p>
      <w:pPr>
        <w:numPr>
          <w:ilvl w:val="0"/>
          <w:numId w:val="13"/>
        </w:numPr>
        <w:spacing w:before="0" w:after="80" w:line="300" w:lineRule="auto"/>
        <w:keepLines w:val="1"/>
      </w:pPr>
      <w:r>
        <w:rPr>
          <w:rFonts w:ascii="Calibri" w:hAnsi="Calibri" w:eastAsia="Calibri"/>
          <w:b/>
          <w:color w:val="162236"/>
          <w:sz w:val="22"/>
        </w:rPr>
        <w:t xml:space="preserve">H2 — </w:t>
      </w:r>
      <w:r>
        <w:rPr>
          <w:rFonts w:ascii="Calibri" w:hAnsi="Calibri" w:eastAsia="Calibri"/>
          <w:color w:val="162236"/>
          <w:sz w:val="22"/>
        </w:rPr>
        <w:t>Evidence, not adjectives.</w:t>
      </w:r>
    </w:p>
    <w:p>
      <w:pPr>
        <w:numPr>
          <w:ilvl w:val="0"/>
          <w:numId w:val="13"/>
        </w:numPr>
        <w:spacing w:before="0" w:after="80" w:line="300" w:lineRule="auto"/>
        <w:keepLines w:val="1"/>
      </w:pPr>
      <w:r>
        <w:rPr>
          <w:rFonts w:ascii="Calibri" w:hAnsi="Calibri" w:eastAsia="Calibri"/>
          <w:b/>
          <w:color w:val="162236"/>
          <w:sz w:val="22"/>
        </w:rPr>
        <w:t xml:space="preserve">H2 — </w:t>
      </w:r>
      <w:r>
        <w:rPr>
          <w:rFonts w:ascii="Calibri" w:hAnsi="Calibri" w:eastAsia="Calibri"/>
          <w:color w:val="162236"/>
          <w:sz w:val="22"/>
        </w:rPr>
        <w:t>Send the right data before planning begins.</w:t>
      </w:r>
    </w:p>
    <w:p>
      <w:pPr>
        <w:numPr>
          <w:ilvl w:val="0"/>
          <w:numId w:val="13"/>
        </w:numPr>
        <w:spacing w:before="0" w:after="80" w:line="300" w:lineRule="auto"/>
        <w:keepLines w:val="1"/>
      </w:pPr>
      <w:r>
        <w:rPr>
          <w:rFonts w:ascii="Calibri" w:hAnsi="Calibri" w:eastAsia="Calibri"/>
          <w:b/>
          <w:color w:val="162236"/>
          <w:sz w:val="22"/>
        </w:rPr>
        <w:t xml:space="preserve">H2 — </w:t>
      </w:r>
      <w:r>
        <w:rPr>
          <w:rFonts w:ascii="Calibri" w:hAnsi="Calibri" w:eastAsia="Calibri"/>
          <w:color w:val="162236"/>
          <w:sz w:val="22"/>
        </w:rPr>
        <w:t>Ready when the case is.</w:t>
      </w:r>
    </w:p>
    <w:p>
      <w:pPr>
        <w:pStyle w:val="Heading2"/>
        <w:keepNext w:val="1"/>
        <w:keepLines w:val="1"/>
      </w:pPr>
      <w:r>
        <w:t>Primary internal links</w:t>
      </w:r>
    </w:p>
    <w:tbl>
      <w:tblPr>
        <w:tblW w:type="dxa" w:w="9360"/>
        <w:tblLayout w:type="fixed"/>
        <w:tblLook w:firstColumn="1" w:firstRow="1" w:lastColumn="0" w:lastRow="0" w:noHBand="0" w:noVBand="1" w:val="04A0"/>
        <w:jc w:val="left"/>
        <w:tblInd w:w="120" w:type="dxa"/>
        <w:tblBorders>
          <w:top w:val="single" w:sz="4" w:space="0" w:color="D9E0E8"/>
          <w:left w:val="single" w:sz="4" w:space="0" w:color="D9E0E8"/>
          <w:bottom w:val="single" w:sz="4" w:space="0" w:color="D9E0E8"/>
          <w:right w:val="single" w:sz="4" w:space="0" w:color="D9E0E8"/>
          <w:insideH w:val="single" w:sz="4" w:space="0" w:color="D9E0E8"/>
          <w:insideV w:val="single" w:sz="4" w:space="0" w:color="D9E0E8"/>
        </w:tblBorders>
      </w:tblPr>
      <w:tblGrid>
        <w:gridCol w:w="4320"/>
        <w:gridCol w:w="5040"/>
      </w:tblGrid>
      <w:tr>
        <w:trPr>
          <w:tblHeader w:val="true"/>
        </w:trPr>
        <w:tc>
          <w:tcPr>
            <w:tcW w:type="dxa" w:w="4320"/>
            <w:vAlign w:val="center"/>
            <w:tcMar>
              <w:top w:w="100" w:type="dxa"/>
              <w:start w:w="120" w:type="dxa"/>
              <w:bottom w:w="100" w:type="dxa"/>
              <w:end w:w="120" w:type="dxa"/>
            </w:tcMar>
            <w:shd w:fill="E8EEF5"/>
          </w:tcPr>
          <w:p>
            <w:pPr>
              <w:spacing w:before="0" w:after="0" w:line="276" w:lineRule="auto"/>
            </w:pPr>
            <w:r>
              <w:rPr>
                <w:rFonts w:ascii="Calibri" w:hAnsi="Calibri" w:eastAsia="Calibri"/>
                <w:b/>
                <w:color w:val="1F4D78"/>
                <w:sz w:val="19"/>
              </w:rPr>
              <w:t>Anchor text</w:t>
            </w:r>
          </w:p>
        </w:tc>
        <w:tc>
          <w:tcPr>
            <w:tcW w:type="dxa" w:w="5040"/>
            <w:vAlign w:val="center"/>
            <w:tcMar>
              <w:top w:w="100" w:type="dxa"/>
              <w:start w:w="120" w:type="dxa"/>
              <w:bottom w:w="100" w:type="dxa"/>
              <w:end w:w="120" w:type="dxa"/>
            </w:tcMar>
            <w:shd w:fill="E8EEF5"/>
          </w:tcPr>
          <w:p>
            <w:pPr>
              <w:spacing w:before="0" w:after="0" w:line="276" w:lineRule="auto"/>
            </w:pPr>
            <w:r>
              <w:rPr>
                <w:rFonts w:ascii="Calibri" w:hAnsi="Calibri" w:eastAsia="Calibri"/>
                <w:b/>
                <w:color w:val="1F4D78"/>
                <w:sz w:val="19"/>
              </w:rPr>
              <w:t>Destination</w:t>
            </w:r>
          </w:p>
        </w:tc>
      </w:tr>
      <w:tr>
        <w:tc>
          <w:tcPr>
            <w:tcW w:type="dxa" w:w="4320"/>
            <w:vAlign w:val="center"/>
            <w:tcMar>
              <w:top w:w="100" w:type="dxa"/>
              <w:start w:w="120" w:type="dxa"/>
              <w:bottom w:w="100" w:type="dxa"/>
              <w:end w:w="120" w:type="dxa"/>
            </w:tcMar>
          </w:tcPr>
          <w:p>
            <w:pPr>
              <w:spacing w:before="0" w:after="0" w:line="276" w:lineRule="auto"/>
            </w:pPr>
            <w:r>
              <w:rPr>
                <w:rFonts w:ascii="Calibri" w:hAnsi="Calibri" w:eastAsia="Calibri"/>
                <w:color w:val="162236"/>
                <w:sz w:val="19"/>
              </w:rPr>
              <w:t>Explore the Guided Implant Workflow</w:t>
            </w:r>
          </w:p>
        </w:tc>
        <w:tc>
          <w:tcPr>
            <w:tcW w:type="dxa" w:w="5040"/>
            <w:vAlign w:val="center"/>
            <w:tcMar>
              <w:top w:w="100" w:type="dxa"/>
              <w:start w:w="120" w:type="dxa"/>
              <w:bottom w:w="100" w:type="dxa"/>
              <w:end w:w="120" w:type="dxa"/>
            </w:tcMar>
          </w:tcPr>
          <w:p>
            <w:pPr>
              <w:spacing w:before="0" w:after="0" w:line="276" w:lineRule="auto"/>
            </w:pPr>
            <w:r>
              <w:rPr>
                <w:rFonts w:ascii="Calibri" w:hAnsi="Calibri" w:eastAsia="Calibri"/>
                <w:color w:val="162236"/>
                <w:sz w:val="19"/>
              </w:rPr>
              <w:t>/guided-implant-workflow/</w:t>
            </w:r>
          </w:p>
        </w:tc>
      </w:tr>
      <w:tr>
        <w:tc>
          <w:tcPr>
            <w:tcW w:type="dxa" w:w="4320"/>
            <w:vAlign w:val="center"/>
            <w:tcMar>
              <w:top w:w="100" w:type="dxa"/>
              <w:start w:w="120" w:type="dxa"/>
              <w:bottom w:w="100" w:type="dxa"/>
              <w:end w:w="120" w:type="dxa"/>
            </w:tcMar>
          </w:tcPr>
          <w:p>
            <w:pPr>
              <w:spacing w:before="0" w:after="0" w:line="276" w:lineRule="auto"/>
            </w:pPr>
            <w:r>
              <w:rPr>
                <w:rFonts w:ascii="Calibri" w:hAnsi="Calibri" w:eastAsia="Calibri"/>
                <w:color w:val="162236"/>
                <w:sz w:val="19"/>
              </w:rPr>
              <w:t>Explore the Full-Arch Stackable Workflow</w:t>
            </w:r>
          </w:p>
        </w:tc>
        <w:tc>
          <w:tcPr>
            <w:tcW w:type="dxa" w:w="5040"/>
            <w:vAlign w:val="center"/>
            <w:tcMar>
              <w:top w:w="100" w:type="dxa"/>
              <w:start w:w="120" w:type="dxa"/>
              <w:bottom w:w="100" w:type="dxa"/>
              <w:end w:w="120" w:type="dxa"/>
            </w:tcMar>
          </w:tcPr>
          <w:p>
            <w:pPr>
              <w:spacing w:before="0" w:after="0" w:line="276" w:lineRule="auto"/>
            </w:pPr>
            <w:r>
              <w:rPr>
                <w:rFonts w:ascii="Calibri" w:hAnsi="Calibri" w:eastAsia="Calibri"/>
                <w:color w:val="162236"/>
                <w:sz w:val="19"/>
              </w:rPr>
              <w:t>/full-arch-stackable-workflow/</w:t>
            </w:r>
          </w:p>
        </w:tc>
      </w:tr>
      <w:tr>
        <w:tc>
          <w:tcPr>
            <w:tcW w:type="dxa" w:w="4320"/>
            <w:vAlign w:val="center"/>
            <w:tcMar>
              <w:top w:w="100" w:type="dxa"/>
              <w:start w:w="120" w:type="dxa"/>
              <w:bottom w:w="100" w:type="dxa"/>
              <w:end w:w="120" w:type="dxa"/>
            </w:tcMar>
          </w:tcPr>
          <w:p>
            <w:pPr>
              <w:spacing w:before="0" w:after="0" w:line="276" w:lineRule="auto"/>
            </w:pPr>
            <w:r>
              <w:rPr>
                <w:rFonts w:ascii="Calibri" w:hAnsi="Calibri" w:eastAsia="Calibri"/>
                <w:color w:val="162236"/>
                <w:sz w:val="19"/>
              </w:rPr>
              <w:t>Review Zygoma &amp; Pterygoid Planning</w:t>
            </w:r>
          </w:p>
        </w:tc>
        <w:tc>
          <w:tcPr>
            <w:tcW w:type="dxa" w:w="5040"/>
            <w:vAlign w:val="center"/>
            <w:tcMar>
              <w:top w:w="100" w:type="dxa"/>
              <w:start w:w="120" w:type="dxa"/>
              <w:bottom w:w="100" w:type="dxa"/>
              <w:end w:w="120" w:type="dxa"/>
            </w:tcMar>
          </w:tcPr>
          <w:p>
            <w:pPr>
              <w:spacing w:before="0" w:after="0" w:line="276" w:lineRule="auto"/>
            </w:pPr>
            <w:r>
              <w:rPr>
                <w:rFonts w:ascii="Calibri" w:hAnsi="Calibri" w:eastAsia="Calibri"/>
                <w:color w:val="162236"/>
                <w:sz w:val="19"/>
              </w:rPr>
              <w:t>/zygoma-pterygoid-planning/</w:t>
            </w:r>
          </w:p>
        </w:tc>
      </w:tr>
      <w:tr>
        <w:tc>
          <w:tcPr>
            <w:tcW w:type="dxa" w:w="4320"/>
            <w:vAlign w:val="center"/>
            <w:tcMar>
              <w:top w:w="100" w:type="dxa"/>
              <w:start w:w="120" w:type="dxa"/>
              <w:bottom w:w="100" w:type="dxa"/>
              <w:end w:w="120" w:type="dxa"/>
            </w:tcMar>
          </w:tcPr>
          <w:p>
            <w:pPr>
              <w:spacing w:before="0" w:after="0" w:line="276" w:lineRule="auto"/>
            </w:pPr>
            <w:r>
              <w:rPr>
                <w:rFonts w:ascii="Calibri" w:hAnsi="Calibri" w:eastAsia="Calibri"/>
                <w:color w:val="162236"/>
                <w:sz w:val="19"/>
              </w:rPr>
              <w:t>Review the Immediate-Loading Workflow</w:t>
            </w:r>
          </w:p>
        </w:tc>
        <w:tc>
          <w:tcPr>
            <w:tcW w:type="dxa" w:w="5040"/>
            <w:vAlign w:val="center"/>
            <w:tcMar>
              <w:top w:w="100" w:type="dxa"/>
              <w:start w:w="120" w:type="dxa"/>
              <w:bottom w:w="100" w:type="dxa"/>
              <w:end w:w="120" w:type="dxa"/>
            </w:tcMar>
          </w:tcPr>
          <w:p>
            <w:pPr>
              <w:spacing w:before="0" w:after="0" w:line="276" w:lineRule="auto"/>
            </w:pPr>
            <w:r>
              <w:rPr>
                <w:rFonts w:ascii="Calibri" w:hAnsi="Calibri" w:eastAsia="Calibri"/>
                <w:color w:val="162236"/>
                <w:sz w:val="19"/>
              </w:rPr>
              <w:t>/immediate-loading-workflow/</w:t>
            </w:r>
          </w:p>
        </w:tc>
      </w:tr>
      <w:tr>
        <w:tc>
          <w:tcPr>
            <w:tcW w:type="dxa" w:w="4320"/>
            <w:vAlign w:val="center"/>
            <w:tcMar>
              <w:top w:w="100" w:type="dxa"/>
              <w:start w:w="120" w:type="dxa"/>
              <w:bottom w:w="100" w:type="dxa"/>
              <w:end w:w="120" w:type="dxa"/>
            </w:tcMar>
          </w:tcPr>
          <w:p>
            <w:pPr>
              <w:spacing w:before="0" w:after="0" w:line="276" w:lineRule="auto"/>
            </w:pPr>
            <w:r>
              <w:rPr>
                <w:rFonts w:ascii="Calibri" w:hAnsi="Calibri" w:eastAsia="Calibri"/>
                <w:color w:val="162236"/>
                <w:sz w:val="19"/>
              </w:rPr>
              <w:t>See how the case workflow works</w:t>
            </w:r>
          </w:p>
        </w:tc>
        <w:tc>
          <w:tcPr>
            <w:tcW w:type="dxa" w:w="5040"/>
            <w:vAlign w:val="center"/>
            <w:tcMar>
              <w:top w:w="100" w:type="dxa"/>
              <w:start w:w="120" w:type="dxa"/>
              <w:bottom w:w="100" w:type="dxa"/>
              <w:end w:w="120" w:type="dxa"/>
            </w:tcMar>
          </w:tcPr>
          <w:p>
            <w:pPr>
              <w:spacing w:before="0" w:after="0" w:line="276" w:lineRule="auto"/>
            </w:pPr>
            <w:r>
              <w:rPr>
                <w:rFonts w:ascii="Calibri" w:hAnsi="Calibri" w:eastAsia="Calibri"/>
                <w:color w:val="162236"/>
                <w:sz w:val="19"/>
              </w:rPr>
              <w:t>/how-it-works/</w:t>
            </w:r>
          </w:p>
        </w:tc>
      </w:tr>
      <w:tr>
        <w:tc>
          <w:tcPr>
            <w:tcW w:type="dxa" w:w="4320"/>
            <w:vAlign w:val="center"/>
            <w:tcMar>
              <w:top w:w="100" w:type="dxa"/>
              <w:start w:w="120" w:type="dxa"/>
              <w:bottom w:w="100" w:type="dxa"/>
              <w:end w:w="120" w:type="dxa"/>
            </w:tcMar>
          </w:tcPr>
          <w:p>
            <w:pPr>
              <w:spacing w:before="0" w:after="0" w:line="276" w:lineRule="auto"/>
            </w:pPr>
            <w:r>
              <w:rPr>
                <w:rFonts w:ascii="Calibri" w:hAnsi="Calibri" w:eastAsia="Calibri"/>
                <w:color w:val="162236"/>
                <w:sz w:val="19"/>
              </w:rPr>
              <w:t>Review case requirements</w:t>
            </w:r>
          </w:p>
        </w:tc>
        <w:tc>
          <w:tcPr>
            <w:tcW w:type="dxa" w:w="5040"/>
            <w:vAlign w:val="center"/>
            <w:tcMar>
              <w:top w:w="100" w:type="dxa"/>
              <w:start w:w="120" w:type="dxa"/>
              <w:bottom w:w="100" w:type="dxa"/>
              <w:end w:w="120" w:type="dxa"/>
            </w:tcMar>
          </w:tcPr>
          <w:p>
            <w:pPr>
              <w:spacing w:before="0" w:after="0" w:line="276" w:lineRule="auto"/>
            </w:pPr>
            <w:r>
              <w:rPr>
                <w:rFonts w:ascii="Calibri" w:hAnsi="Calibri" w:eastAsia="Calibri"/>
                <w:color w:val="162236"/>
                <w:sz w:val="19"/>
              </w:rPr>
              <w:t>/case-requirements/</w:t>
            </w:r>
          </w:p>
        </w:tc>
      </w:tr>
      <w:tr>
        <w:tc>
          <w:tcPr>
            <w:tcW w:type="dxa" w:w="4320"/>
            <w:vAlign w:val="center"/>
            <w:tcMar>
              <w:top w:w="100" w:type="dxa"/>
              <w:start w:w="120" w:type="dxa"/>
              <w:bottom w:w="100" w:type="dxa"/>
              <w:end w:w="120" w:type="dxa"/>
            </w:tcMar>
          </w:tcPr>
          <w:p>
            <w:pPr>
              <w:spacing w:before="0" w:after="0" w:line="276" w:lineRule="auto"/>
            </w:pPr>
            <w:r>
              <w:rPr>
                <w:rFonts w:ascii="Calibri" w:hAnsi="Calibri" w:eastAsia="Calibri"/>
                <w:color w:val="162236"/>
                <w:sz w:val="19"/>
              </w:rPr>
              <w:t>View case workflows</w:t>
            </w:r>
          </w:p>
        </w:tc>
        <w:tc>
          <w:tcPr>
            <w:tcW w:type="dxa" w:w="5040"/>
            <w:vAlign w:val="center"/>
            <w:tcMar>
              <w:top w:w="100" w:type="dxa"/>
              <w:start w:w="120" w:type="dxa"/>
              <w:bottom w:w="100" w:type="dxa"/>
              <w:end w:w="120" w:type="dxa"/>
            </w:tcMar>
          </w:tcPr>
          <w:p>
            <w:pPr>
              <w:spacing w:before="0" w:after="0" w:line="276" w:lineRule="auto"/>
            </w:pPr>
            <w:r>
              <w:rPr>
                <w:rFonts w:ascii="Calibri" w:hAnsi="Calibri" w:eastAsia="Calibri"/>
                <w:color w:val="162236"/>
                <w:sz w:val="19"/>
              </w:rPr>
              <w:t>/case-evidence/</w:t>
            </w:r>
          </w:p>
        </w:tc>
      </w:tr>
      <w:tr>
        <w:tc>
          <w:tcPr>
            <w:tcW w:type="dxa" w:w="4320"/>
            <w:vAlign w:val="center"/>
            <w:tcMar>
              <w:top w:w="100" w:type="dxa"/>
              <w:start w:w="120" w:type="dxa"/>
              <w:bottom w:w="100" w:type="dxa"/>
              <w:end w:w="120" w:type="dxa"/>
            </w:tcMar>
          </w:tcPr>
          <w:p>
            <w:pPr>
              <w:spacing w:before="0" w:after="0" w:line="276" w:lineRule="auto"/>
            </w:pPr>
            <w:r>
              <w:rPr>
                <w:rFonts w:ascii="Calibri" w:hAnsi="Calibri" w:eastAsia="Calibri"/>
                <w:color w:val="162236"/>
                <w:sz w:val="19"/>
              </w:rPr>
              <w:t>Compare ways to work with us</w:t>
            </w:r>
          </w:p>
        </w:tc>
        <w:tc>
          <w:tcPr>
            <w:tcW w:type="dxa" w:w="5040"/>
            <w:vAlign w:val="center"/>
            <w:tcMar>
              <w:top w:w="100" w:type="dxa"/>
              <w:start w:w="120" w:type="dxa"/>
              <w:bottom w:w="100" w:type="dxa"/>
              <w:end w:w="120" w:type="dxa"/>
            </w:tcMar>
          </w:tcPr>
          <w:p>
            <w:pPr>
              <w:spacing w:before="0" w:after="0" w:line="276" w:lineRule="auto"/>
            </w:pPr>
            <w:r>
              <w:rPr>
                <w:rFonts w:ascii="Calibri" w:hAnsi="Calibri" w:eastAsia="Calibri"/>
                <w:color w:val="162236"/>
                <w:sz w:val="19"/>
              </w:rPr>
              <w:t>/digital-implant-workflows/</w:t>
            </w:r>
          </w:p>
        </w:tc>
      </w:tr>
      <w:tr>
        <w:tc>
          <w:tcPr>
            <w:tcW w:type="dxa" w:w="4320"/>
            <w:vAlign w:val="center"/>
            <w:tcMar>
              <w:top w:w="100" w:type="dxa"/>
              <w:start w:w="120" w:type="dxa"/>
              <w:bottom w:w="100" w:type="dxa"/>
              <w:end w:w="120" w:type="dxa"/>
            </w:tcMar>
          </w:tcPr>
          <w:p>
            <w:pPr>
              <w:spacing w:before="0" w:after="0" w:line="276" w:lineRule="auto"/>
            </w:pPr>
            <w:r>
              <w:rPr>
                <w:rFonts w:ascii="Calibri" w:hAnsi="Calibri" w:eastAsia="Calibri"/>
                <w:color w:val="162236"/>
                <w:sz w:val="19"/>
              </w:rPr>
              <w:t>Discuss a Complex Case</w:t>
            </w:r>
          </w:p>
        </w:tc>
        <w:tc>
          <w:tcPr>
            <w:tcW w:type="dxa" w:w="5040"/>
            <w:vAlign w:val="center"/>
            <w:tcMar>
              <w:top w:w="100" w:type="dxa"/>
              <w:start w:w="120" w:type="dxa"/>
              <w:bottom w:w="100" w:type="dxa"/>
              <w:end w:w="120" w:type="dxa"/>
            </w:tcMar>
          </w:tcPr>
          <w:p>
            <w:pPr>
              <w:spacing w:before="0" w:after="0" w:line="276" w:lineRule="auto"/>
            </w:pPr>
            <w:r>
              <w:rPr>
                <w:rFonts w:ascii="Calibri" w:hAnsi="Calibri" w:eastAsia="Calibri"/>
                <w:color w:val="162236"/>
                <w:sz w:val="19"/>
              </w:rPr>
              <w:t>/discuss-a-case/</w:t>
            </w:r>
          </w:p>
        </w:tc>
      </w:tr>
      <w:tr>
        <w:tc>
          <w:tcPr>
            <w:tcW w:type="dxa" w:w="4320"/>
            <w:vAlign w:val="center"/>
            <w:tcMar>
              <w:top w:w="100" w:type="dxa"/>
              <w:start w:w="120" w:type="dxa"/>
              <w:bottom w:w="100" w:type="dxa"/>
              <w:end w:w="120" w:type="dxa"/>
            </w:tcMar>
          </w:tcPr>
          <w:p>
            <w:pPr>
              <w:spacing w:before="0" w:after="0" w:line="276" w:lineRule="auto"/>
            </w:pPr>
            <w:r>
              <w:rPr>
                <w:rFonts w:ascii="Calibri" w:hAnsi="Calibri" w:eastAsia="Calibri"/>
                <w:color w:val="162236"/>
                <w:sz w:val="19"/>
              </w:rPr>
              <w:t>Open the Case Portal</w:t>
            </w:r>
          </w:p>
        </w:tc>
        <w:tc>
          <w:tcPr>
            <w:tcW w:type="dxa" w:w="5040"/>
            <w:vAlign w:val="center"/>
            <w:tcMar>
              <w:top w:w="100" w:type="dxa"/>
              <w:start w:w="120" w:type="dxa"/>
              <w:bottom w:w="100" w:type="dxa"/>
              <w:end w:w="120" w:type="dxa"/>
            </w:tcMar>
          </w:tcPr>
          <w:p>
            <w:pPr>
              <w:spacing w:before="0" w:after="0" w:line="276" w:lineRule="auto"/>
            </w:pPr>
            <w:r>
              <w:rPr>
                <w:rFonts w:ascii="Calibri" w:hAnsi="Calibri" w:eastAsia="Calibri"/>
                <w:color w:val="162236"/>
                <w:sz w:val="19"/>
              </w:rPr>
              <w:t>/case-portal/</w:t>
            </w:r>
          </w:p>
        </w:tc>
      </w:tr>
    </w:tbl>
    <w:p>
      <w:pPr>
        <w:spacing w:before="0" w:after="80" w:line="300" w:lineRule="auto"/>
        <w:jc w:val="left"/>
      </w:pPr>
      <w:r>
        <w:rPr>
          <w:rFonts w:ascii="Calibri" w:hAnsi="Calibri" w:eastAsia="Calibri"/>
          <w:b w:val="0"/>
          <w:i w:val="0"/>
          <w:color w:val="162236"/>
          <w:sz w:val="22"/>
        </w:rPr>
      </w:r>
    </w:p>
    <w:p>
      <w:pPr>
        <w:spacing w:before="60" w:after="180" w:line="300" w:lineRule="auto"/>
        <w:ind w:left="173" w:right="115"/>
        <w:shd w:fill="F4F6F9"/>
        <w:pBdr>
          <w:left w:val="single" w:sz="18" w:space="8" w:color="A67C00"/>
        </w:pBdr>
        <w:keepLines w:val="1"/>
      </w:pPr>
      <w:r>
        <w:rPr>
          <w:rFonts w:ascii="Calibri" w:hAnsi="Calibri" w:eastAsia="Calibri"/>
          <w:b/>
          <w:color w:val="A67C00"/>
          <w:sz w:val="19"/>
        </w:rPr>
        <w:t xml:space="preserve">SEO GUARDRAIL  </w:t>
      </w:r>
      <w:r>
        <w:rPr>
          <w:rFonts w:ascii="Calibri" w:hAnsi="Calibri" w:eastAsia="Calibri"/>
          <w:b w:val="0"/>
          <w:color w:val="162236"/>
          <w:sz w:val="22"/>
        </w:rPr>
        <w:t>Do not add a keyword list, hidden text, location stuffing, duplicated city pages or an FAQ block merely to make the homepage longer. The specialised workflow pages carry the depth.</w:t>
      </w:r>
    </w:p>
    <w:p>
      <w:pPr>
        <w:pStyle w:val="Heading1"/>
        <w:pageBreakBefore w:val="1"/>
        <w:keepNext w:val="1"/>
        <w:keepLines w:val="1"/>
      </w:pPr>
      <w:r>
        <w:t>3. Global header and first-screen behaviour</w:t>
      </w:r>
    </w:p>
    <w:p>
      <w:pPr>
        <w:spacing w:before="0" w:after="80"/>
        <w:keepNext w:val="1"/>
      </w:pPr>
      <w:r>
        <w:rPr>
          <w:rFonts w:ascii="Calibri" w:hAnsi="Calibri" w:eastAsia="Calibri"/>
          <w:b/>
          <w:color w:val="2E74B5"/>
          <w:sz w:val="19"/>
        </w:rPr>
        <w:t>FAST ORIENTATION</w:t>
      </w:r>
    </w:p>
    <w:tbl>
      <w:tblPr>
        <w:tblW w:type="dxa" w:w="9360"/>
        <w:tblLayout w:type="fixed"/>
        <w:tblLook w:firstColumn="1" w:firstRow="1" w:lastColumn="0" w:lastRow="0" w:noHBand="0" w:noVBand="1" w:val="04A0"/>
        <w:jc w:val="left"/>
        <w:tblInd w:w="120" w:type="dxa"/>
        <w:tblBorders>
          <w:top w:val="single" w:sz="4" w:space="0" w:color="D9E0E8"/>
          <w:left w:val="single" w:sz="4" w:space="0" w:color="D9E0E8"/>
          <w:bottom w:val="single" w:sz="4" w:space="0" w:color="D9E0E8"/>
          <w:right w:val="single" w:sz="4" w:space="0" w:color="D9E0E8"/>
          <w:insideH w:val="single" w:sz="4" w:space="0" w:color="D9E0E8"/>
          <w:insideV w:val="single" w:sz="4" w:space="0" w:color="D9E0E8"/>
        </w:tblBorders>
      </w:tblPr>
      <w:tblGrid>
        <w:gridCol w:w="1800"/>
        <w:gridCol w:w="2520"/>
        <w:gridCol w:w="5040"/>
      </w:tblGrid>
      <w:tr>
        <w:trPr>
          <w:tblHeader w:val="true"/>
        </w:trPr>
        <w:tc>
          <w:tcPr>
            <w:tcW w:type="dxa" w:w="1800"/>
            <w:vAlign w:val="center"/>
            <w:tcMar>
              <w:top w:w="100" w:type="dxa"/>
              <w:start w:w="120" w:type="dxa"/>
              <w:bottom w:w="100" w:type="dxa"/>
              <w:end w:w="120" w:type="dxa"/>
            </w:tcMar>
            <w:shd w:fill="E8EEF5"/>
          </w:tcPr>
          <w:p>
            <w:pPr>
              <w:spacing w:before="0" w:after="0" w:line="276" w:lineRule="auto"/>
            </w:pPr>
            <w:r>
              <w:rPr>
                <w:rFonts w:ascii="Calibri" w:hAnsi="Calibri" w:eastAsia="Calibri"/>
                <w:b/>
                <w:color w:val="1F4D78"/>
                <w:sz w:val="19"/>
              </w:rPr>
              <w:t>Zone</w:t>
            </w:r>
          </w:p>
        </w:tc>
        <w:tc>
          <w:tcPr>
            <w:tcW w:type="dxa" w:w="2520"/>
            <w:vAlign w:val="center"/>
            <w:tcMar>
              <w:top w:w="100" w:type="dxa"/>
              <w:start w:w="120" w:type="dxa"/>
              <w:bottom w:w="100" w:type="dxa"/>
              <w:end w:w="120" w:type="dxa"/>
            </w:tcMar>
            <w:shd w:fill="E8EEF5"/>
          </w:tcPr>
          <w:p>
            <w:pPr>
              <w:spacing w:before="0" w:after="0" w:line="276" w:lineRule="auto"/>
            </w:pPr>
            <w:r>
              <w:rPr>
                <w:rFonts w:ascii="Calibri" w:hAnsi="Calibri" w:eastAsia="Calibri"/>
                <w:b/>
                <w:color w:val="1F4D78"/>
                <w:sz w:val="19"/>
              </w:rPr>
              <w:t>Visible label</w:t>
            </w:r>
          </w:p>
        </w:tc>
        <w:tc>
          <w:tcPr>
            <w:tcW w:type="dxa" w:w="5040"/>
            <w:vAlign w:val="center"/>
            <w:tcMar>
              <w:top w:w="100" w:type="dxa"/>
              <w:start w:w="120" w:type="dxa"/>
              <w:bottom w:w="100" w:type="dxa"/>
              <w:end w:w="120" w:type="dxa"/>
            </w:tcMar>
            <w:shd w:fill="E8EEF5"/>
          </w:tcPr>
          <w:p>
            <w:pPr>
              <w:spacing w:before="0" w:after="0" w:line="276" w:lineRule="auto"/>
            </w:pPr>
            <w:r>
              <w:rPr>
                <w:rFonts w:ascii="Calibri" w:hAnsi="Calibri" w:eastAsia="Calibri"/>
                <w:b/>
                <w:color w:val="1F4D78"/>
                <w:sz w:val="19"/>
              </w:rPr>
              <w:t>Behaviour</w:t>
            </w:r>
          </w:p>
        </w:tc>
      </w:tr>
      <w:tr>
        <w:tc>
          <w:tcPr>
            <w:tcW w:type="dxa" w:w="180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Logo</w:t>
            </w:r>
          </w:p>
        </w:tc>
        <w:tc>
          <w:tcPr>
            <w:tcW w:type="dxa" w:w="252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Image3DConversion</w:t>
            </w:r>
          </w:p>
        </w:tc>
        <w:tc>
          <w:tcPr>
            <w:tcW w:type="dxa" w:w="504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Returns to homepage.</w:t>
            </w:r>
          </w:p>
        </w:tc>
      </w:tr>
      <w:tr>
        <w:tc>
          <w:tcPr>
            <w:tcW w:type="dxa" w:w="180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Primary navigation</w:t>
            </w:r>
          </w:p>
        </w:tc>
        <w:tc>
          <w:tcPr>
            <w:tcW w:type="dxa" w:w="252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Solutions</w:t>
            </w:r>
          </w:p>
        </w:tc>
        <w:tc>
          <w:tcPr>
            <w:tcW w:type="dxa" w:w="504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Opens a concise workflow menu.</w:t>
            </w:r>
          </w:p>
        </w:tc>
      </w:tr>
      <w:tr>
        <w:tc>
          <w:tcPr>
            <w:tcW w:type="dxa" w:w="180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Primary navigation</w:t>
            </w:r>
          </w:p>
        </w:tc>
        <w:tc>
          <w:tcPr>
            <w:tcW w:type="dxa" w:w="252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How It Works</w:t>
            </w:r>
          </w:p>
        </w:tc>
        <w:tc>
          <w:tcPr>
            <w:tcW w:type="dxa" w:w="504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Links to /how-it-works/.</w:t>
            </w:r>
          </w:p>
        </w:tc>
      </w:tr>
      <w:tr>
        <w:tc>
          <w:tcPr>
            <w:tcW w:type="dxa" w:w="180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Primary navigation</w:t>
            </w:r>
          </w:p>
        </w:tc>
        <w:tc>
          <w:tcPr>
            <w:tcW w:type="dxa" w:w="252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Case Workflows</w:t>
            </w:r>
          </w:p>
        </w:tc>
        <w:tc>
          <w:tcPr>
            <w:tcW w:type="dxa" w:w="504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Links to /case-evidence/.</w:t>
            </w:r>
          </w:p>
        </w:tc>
      </w:tr>
      <w:tr>
        <w:tc>
          <w:tcPr>
            <w:tcW w:type="dxa" w:w="180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Primary navigation</w:t>
            </w:r>
          </w:p>
        </w:tc>
        <w:tc>
          <w:tcPr>
            <w:tcW w:type="dxa" w:w="252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For Partners</w:t>
            </w:r>
          </w:p>
        </w:tc>
        <w:tc>
          <w:tcPr>
            <w:tcW w:type="dxa" w:w="504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Links to /white-label-workflow-partner/.</w:t>
            </w:r>
          </w:p>
        </w:tc>
      </w:tr>
      <w:tr>
        <w:tc>
          <w:tcPr>
            <w:tcW w:type="dxa" w:w="180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Primary navigation</w:t>
            </w:r>
          </w:p>
        </w:tc>
        <w:tc>
          <w:tcPr>
            <w:tcW w:type="dxa" w:w="252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About</w:t>
            </w:r>
          </w:p>
        </w:tc>
        <w:tc>
          <w:tcPr>
            <w:tcW w:type="dxa" w:w="504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Links to /about/.</w:t>
            </w:r>
          </w:p>
        </w:tc>
      </w:tr>
      <w:tr>
        <w:tc>
          <w:tcPr>
            <w:tcW w:type="dxa" w:w="180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Utility</w:t>
            </w:r>
          </w:p>
        </w:tc>
        <w:tc>
          <w:tcPr>
            <w:tcW w:type="dxa" w:w="252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Open Case Portal</w:t>
            </w:r>
          </w:p>
        </w:tc>
        <w:tc>
          <w:tcPr>
            <w:tcW w:type="dxa" w:w="504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Text link; always visible on desktop.</w:t>
            </w:r>
          </w:p>
        </w:tc>
      </w:tr>
      <w:tr>
        <w:tc>
          <w:tcPr>
            <w:tcW w:type="dxa" w:w="180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Primary button</w:t>
            </w:r>
          </w:p>
        </w:tc>
        <w:tc>
          <w:tcPr>
            <w:tcW w:type="dxa" w:w="252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Start a Case</w:t>
            </w:r>
          </w:p>
        </w:tc>
        <w:tc>
          <w:tcPr>
            <w:tcW w:type="dxa" w:w="504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Routes to the tested portal registration/login path.</w:t>
            </w:r>
          </w:p>
        </w:tc>
      </w:tr>
    </w:tbl>
    <w:p>
      <w:pPr>
        <w:spacing w:before="0" w:after="80" w:line="300" w:lineRule="auto"/>
        <w:jc w:val="left"/>
      </w:pPr>
      <w:r>
        <w:rPr>
          <w:rFonts w:ascii="Calibri" w:hAnsi="Calibri" w:eastAsia="Calibri"/>
          <w:b w:val="0"/>
          <w:i w:val="0"/>
          <w:color w:val="162236"/>
          <w:sz w:val="22"/>
        </w:rPr>
      </w:r>
    </w:p>
    <w:p>
      <w:pPr>
        <w:pStyle w:val="Heading2"/>
        <w:keepNext w:val="1"/>
        <w:keepLines w:val="1"/>
      </w:pPr>
      <w:r>
        <w:t>Solutions menu</w:t>
      </w:r>
    </w:p>
    <w:p>
      <w:pPr>
        <w:numPr>
          <w:ilvl w:val="0"/>
          <w:numId w:val="14"/>
        </w:numPr>
        <w:spacing w:before="0" w:after="80" w:line="300" w:lineRule="auto"/>
        <w:keepLines w:val="1"/>
      </w:pPr>
      <w:r>
        <w:rPr>
          <w:rFonts w:ascii="Calibri" w:hAnsi="Calibri" w:eastAsia="Calibri"/>
          <w:color w:val="162236"/>
          <w:sz w:val="22"/>
        </w:rPr>
        <w:t>Guided Implant Workflow</w:t>
      </w:r>
    </w:p>
    <w:p>
      <w:pPr>
        <w:numPr>
          <w:ilvl w:val="0"/>
          <w:numId w:val="14"/>
        </w:numPr>
        <w:spacing w:before="0" w:after="80" w:line="300" w:lineRule="auto"/>
        <w:keepLines w:val="1"/>
      </w:pPr>
      <w:r>
        <w:rPr>
          <w:rFonts w:ascii="Calibri" w:hAnsi="Calibri" w:eastAsia="Calibri"/>
          <w:color w:val="162236"/>
          <w:sz w:val="22"/>
        </w:rPr>
        <w:t>Full-Arch Stackable Workflow</w:t>
      </w:r>
    </w:p>
    <w:p>
      <w:pPr>
        <w:numPr>
          <w:ilvl w:val="0"/>
          <w:numId w:val="14"/>
        </w:numPr>
        <w:spacing w:before="0" w:after="80" w:line="300" w:lineRule="auto"/>
        <w:keepLines w:val="1"/>
      </w:pPr>
      <w:r>
        <w:rPr>
          <w:rFonts w:ascii="Calibri" w:hAnsi="Calibri" w:eastAsia="Calibri"/>
          <w:color w:val="162236"/>
          <w:sz w:val="22"/>
        </w:rPr>
        <w:t>Zygoma &amp; Pterygoid Planning</w:t>
      </w:r>
    </w:p>
    <w:p>
      <w:pPr>
        <w:numPr>
          <w:ilvl w:val="0"/>
          <w:numId w:val="14"/>
        </w:numPr>
        <w:spacing w:before="0" w:after="80" w:line="300" w:lineRule="auto"/>
        <w:keepLines w:val="1"/>
      </w:pPr>
      <w:r>
        <w:rPr>
          <w:rFonts w:ascii="Calibri" w:hAnsi="Calibri" w:eastAsia="Calibri"/>
          <w:color w:val="162236"/>
          <w:sz w:val="22"/>
        </w:rPr>
        <w:t>Immediate-Loading Workflow</w:t>
      </w:r>
    </w:p>
    <w:p>
      <w:pPr>
        <w:numPr>
          <w:ilvl w:val="0"/>
          <w:numId w:val="14"/>
        </w:numPr>
        <w:spacing w:before="0" w:after="80" w:line="300" w:lineRule="auto"/>
        <w:keepLines w:val="1"/>
      </w:pPr>
      <w:r>
        <w:rPr>
          <w:rFonts w:ascii="Calibri" w:hAnsi="Calibri" w:eastAsia="Calibri"/>
          <w:color w:val="162236"/>
          <w:sz w:val="22"/>
        </w:rPr>
        <w:t>Case Data &amp; Diagnostic Preparation</w:t>
      </w:r>
    </w:p>
    <w:p>
      <w:pPr>
        <w:numPr>
          <w:ilvl w:val="0"/>
          <w:numId w:val="14"/>
        </w:numPr>
        <w:spacing w:before="0" w:after="80" w:line="300" w:lineRule="auto"/>
        <w:keepLines w:val="1"/>
      </w:pPr>
      <w:r>
        <w:rPr>
          <w:rFonts w:ascii="Calibri" w:hAnsi="Calibri" w:eastAsia="Calibri"/>
          <w:color w:val="162236"/>
          <w:sz w:val="22"/>
        </w:rPr>
        <w:t>Design Only</w:t>
      </w:r>
    </w:p>
    <w:p>
      <w:pPr>
        <w:numPr>
          <w:ilvl w:val="0"/>
          <w:numId w:val="14"/>
        </w:numPr>
        <w:spacing w:before="0" w:after="80" w:line="300" w:lineRule="auto"/>
        <w:keepLines w:val="1"/>
      </w:pPr>
      <w:r>
        <w:rPr>
          <w:rFonts w:ascii="Calibri" w:hAnsi="Calibri" w:eastAsia="Calibri"/>
          <w:color w:val="162236"/>
          <w:sz w:val="22"/>
        </w:rPr>
        <w:t>Design to Delivery</w:t>
      </w:r>
    </w:p>
    <w:p>
      <w:pPr>
        <w:spacing w:before="0" w:after="120" w:line="300" w:lineRule="auto"/>
        <w:jc w:val="left"/>
      </w:pPr>
      <w:r>
        <w:rPr>
          <w:rFonts w:ascii="Calibri" w:hAnsi="Calibri" w:eastAsia="Calibri"/>
          <w:b w:val="0"/>
          <w:i w:val="0"/>
          <w:color w:val="5F6B7A"/>
          <w:sz w:val="20"/>
        </w:rPr>
        <w:t>Do not place Orthodontics, Training, Blogs, Careers or every secondary service in the first navigation level. They can remain in the footer or their appropriate external destination.</w:t>
      </w:r>
    </w:p>
    <w:p>
      <w:pPr>
        <w:pStyle w:val="Heading2"/>
        <w:pageBreakBefore w:val="1"/>
        <w:keepNext w:val="1"/>
        <w:keepLines w:val="1"/>
      </w:pPr>
      <w:r>
        <w:t>Hero: final publish copy</w:t>
      </w:r>
    </w:p>
    <w:p>
      <w:pPr>
        <w:spacing w:before="0" w:after="100" w:line="300" w:lineRule="auto"/>
        <w:ind w:left="158" w:right="86"/>
        <w:shd w:fill="F4F6F9"/>
        <w:pBdr>
          <w:left w:val="single" w:sz="14" w:space="8" w:color="2E74B5"/>
        </w:pBdr>
        <w:keepLines w:val="1"/>
      </w:pPr>
      <w:r>
        <w:rPr>
          <w:rFonts w:ascii="Calibri" w:hAnsi="Calibri" w:eastAsia="Calibri"/>
          <w:b/>
          <w:color w:val="1F4D78"/>
          <w:sz w:val="21"/>
        </w:rPr>
        <w:t xml:space="preserve">Eyebrow: </w:t>
      </w:r>
      <w:r>
        <w:rPr>
          <w:rFonts w:ascii="Calibri" w:hAnsi="Calibri" w:eastAsia="Calibri"/>
          <w:color w:val="162236"/>
          <w:sz w:val="21"/>
        </w:rPr>
        <w:t>DIGITAL IMPLANT PLANNING &amp; SURGICAL GUIDE SERVICES</w:t>
      </w:r>
    </w:p>
    <w:p>
      <w:pPr>
        <w:spacing w:before="0" w:after="100" w:line="300" w:lineRule="auto"/>
        <w:ind w:left="158" w:right="86"/>
        <w:shd w:fill="F4F6F9"/>
        <w:pBdr>
          <w:left w:val="single" w:sz="14" w:space="8" w:color="2E74B5"/>
        </w:pBdr>
        <w:keepLines w:val="1"/>
      </w:pPr>
      <w:r>
        <w:rPr>
          <w:rFonts w:ascii="Calibri" w:hAnsi="Calibri" w:eastAsia="Calibri"/>
          <w:b/>
          <w:color w:val="1F4D78"/>
          <w:sz w:val="21"/>
        </w:rPr>
        <w:t xml:space="preserve">H1: </w:t>
      </w:r>
      <w:r>
        <w:rPr>
          <w:rFonts w:ascii="Calibri" w:hAnsi="Calibri" w:eastAsia="Calibri"/>
          <w:color w:val="162236"/>
          <w:sz w:val="21"/>
        </w:rPr>
        <w:t>Plan the outcome. Guide the execution.</w:t>
      </w:r>
    </w:p>
    <w:p>
      <w:pPr>
        <w:spacing w:before="0" w:after="100" w:line="300" w:lineRule="auto"/>
        <w:ind w:left="158" w:right="86"/>
        <w:shd w:fill="F4F6F9"/>
        <w:pBdr>
          <w:left w:val="single" w:sz="14" w:space="8" w:color="2E74B5"/>
        </w:pBdr>
        <w:keepLines w:val="1"/>
      </w:pPr>
      <w:r>
        <w:rPr>
          <w:rFonts w:ascii="Calibri" w:hAnsi="Calibri" w:eastAsia="Calibri"/>
          <w:b/>
          <w:color w:val="1F4D78"/>
          <w:sz w:val="21"/>
        </w:rPr>
        <w:t xml:space="preserve">Body: </w:t>
      </w:r>
      <w:r>
        <w:rPr>
          <w:rFonts w:ascii="Calibri" w:hAnsi="Calibri" w:eastAsia="Calibri"/>
          <w:color w:val="162236"/>
          <w:sz w:val="21"/>
        </w:rPr>
        <w:t>Image3DConversion supports dentists with digital implant planning, surgical guide design and the coordinated steps between the scan, the approved plan and delivery. Your treatment plan remains under your approval at every critical stage.</w:t>
      </w:r>
    </w:p>
    <w:p>
      <w:pPr>
        <w:spacing w:before="0" w:after="100" w:line="300" w:lineRule="auto"/>
        <w:ind w:left="158" w:right="86"/>
        <w:shd w:fill="F4F6F9"/>
        <w:pBdr>
          <w:left w:val="single" w:sz="14" w:space="8" w:color="2E74B5"/>
        </w:pBdr>
        <w:keepLines w:val="1"/>
      </w:pPr>
      <w:r>
        <w:rPr>
          <w:rFonts w:ascii="Calibri" w:hAnsi="Calibri" w:eastAsia="Calibri"/>
          <w:b/>
          <w:color w:val="1F4D78"/>
          <w:sz w:val="21"/>
        </w:rPr>
        <w:t xml:space="preserve">Primary button: </w:t>
      </w:r>
      <w:r>
        <w:rPr>
          <w:rFonts w:ascii="Calibri" w:hAnsi="Calibri" w:eastAsia="Calibri"/>
          <w:color w:val="162236"/>
          <w:sz w:val="21"/>
        </w:rPr>
        <w:t>Start a Case</w:t>
      </w:r>
    </w:p>
    <w:p>
      <w:pPr>
        <w:spacing w:before="0" w:after="100" w:line="300" w:lineRule="auto"/>
        <w:ind w:left="158" w:right="86"/>
        <w:shd w:fill="F4F6F9"/>
        <w:pBdr>
          <w:left w:val="single" w:sz="14" w:space="8" w:color="2E74B5"/>
        </w:pBdr>
        <w:keepLines w:val="1"/>
      </w:pPr>
      <w:r>
        <w:rPr>
          <w:rFonts w:ascii="Calibri" w:hAnsi="Calibri" w:eastAsia="Calibri"/>
          <w:b/>
          <w:color w:val="1F4D78"/>
          <w:sz w:val="21"/>
        </w:rPr>
        <w:t xml:space="preserve">Secondary button: </w:t>
      </w:r>
      <w:r>
        <w:rPr>
          <w:rFonts w:ascii="Calibri" w:hAnsi="Calibri" w:eastAsia="Calibri"/>
          <w:color w:val="162236"/>
          <w:sz w:val="21"/>
        </w:rPr>
        <w:t>Discuss a Complex Case</w:t>
      </w:r>
    </w:p>
    <w:p>
      <w:pPr>
        <w:spacing w:before="0" w:after="100" w:line="300" w:lineRule="auto"/>
        <w:ind w:left="158" w:right="86"/>
        <w:shd w:fill="F4F6F9"/>
        <w:pBdr>
          <w:left w:val="single" w:sz="14" w:space="8" w:color="2E74B5"/>
        </w:pBdr>
        <w:keepLines w:val="1"/>
      </w:pPr>
      <w:r>
        <w:rPr>
          <w:rFonts w:ascii="Calibri" w:hAnsi="Calibri" w:eastAsia="Calibri"/>
          <w:b/>
          <w:color w:val="1F4D78"/>
          <w:sz w:val="21"/>
        </w:rPr>
        <w:t xml:space="preserve">Utility link: </w:t>
      </w:r>
      <w:r>
        <w:rPr>
          <w:rFonts w:ascii="Calibri" w:hAnsi="Calibri" w:eastAsia="Calibri"/>
          <w:color w:val="162236"/>
          <w:sz w:val="21"/>
        </w:rPr>
        <w:t>Already working with us? Open the Case Portal.</w:t>
      </w:r>
    </w:p>
    <w:p>
      <w:pPr>
        <w:spacing w:before="0" w:after="100" w:line="300" w:lineRule="auto"/>
        <w:ind w:left="158" w:right="86"/>
        <w:shd w:fill="F2F4F7"/>
        <w:pBdr>
          <w:left w:val="single" w:sz="14" w:space="8" w:color="5F6B7A"/>
        </w:pBdr>
        <w:keepLines w:val="1"/>
      </w:pPr>
      <w:r>
        <w:rPr>
          <w:rFonts w:ascii="Calibri" w:hAnsi="Calibri" w:eastAsia="Calibri"/>
          <w:b/>
          <w:color w:val="1F4D78"/>
          <w:sz w:val="21"/>
        </w:rPr>
        <w:t xml:space="preserve">Professional note: </w:t>
      </w:r>
      <w:r>
        <w:rPr>
          <w:rFonts w:ascii="Calibri" w:hAnsi="Calibri" w:eastAsia="Calibri"/>
          <w:color w:val="162236"/>
          <w:sz w:val="21"/>
        </w:rPr>
        <w:t>Services are provided to dental professionals and authorised workflow partners.</w:t>
      </w:r>
    </w:p>
    <w:p>
      <w:pPr>
        <w:spacing w:before="0" w:after="60" w:line="300" w:lineRule="auto"/>
        <w:jc w:val="left"/>
        <w:keepNext w:val="1"/>
        <w:keepLines w:val="1"/>
      </w:pPr>
      <w:r>
        <w:rPr>
          <w:rFonts w:ascii="Calibri" w:hAnsi="Calibri" w:eastAsia="Calibri"/>
          <w:b w:val="0"/>
          <w:i/>
          <w:color w:val="5F6B7A"/>
          <w:sz w:val="19"/>
        </w:rPr>
        <w:t>Psychological job: Category clarity first; control and safety second; action third. The hero tells the dentist what the company does without asking them to believe an adjective.</w:t>
      </w:r>
    </w:p>
    <w:p>
      <w:pPr>
        <w:spacing w:before="0" w:after="60" w:line="300" w:lineRule="auto"/>
        <w:jc w:val="left"/>
        <w:keepNext w:val="1"/>
        <w:keepLines w:val="1"/>
      </w:pPr>
      <w:r>
        <w:rPr>
          <w:rFonts w:ascii="Calibri" w:hAnsi="Calibri" w:eastAsia="Calibri"/>
          <w:b w:val="0"/>
          <w:i w:val="0"/>
          <w:color w:val="5F6B7A"/>
          <w:sz w:val="19"/>
        </w:rPr>
        <w:t>Visual direction: Use a real, de-identified workflow composition: planned restoration, implant plan and guide visible in one frame. Text occupies about 42% of the desktop width; the case visual occupies 58%.</w:t>
      </w:r>
    </w:p>
    <w:p>
      <w:pPr>
        <w:spacing w:before="0" w:after="60" w:line="300" w:lineRule="auto"/>
        <w:jc w:val="left"/>
        <w:keepNext w:val="1"/>
        <w:keepLines w:val="1"/>
      </w:pPr>
      <w:r>
        <w:rPr>
          <w:rFonts w:ascii="Calibri" w:hAnsi="Calibri" w:eastAsia="Calibri"/>
          <w:b w:val="0"/>
          <w:i w:val="0"/>
          <w:color w:val="5F6B7A"/>
          <w:sz w:val="19"/>
        </w:rPr>
        <w:t>Mobile: Copy appears before the visual. Start a Case is full width; Discuss a Complex Case is a restrained secondary button; the portal link remains visible below.</w:t>
      </w:r>
    </w:p>
    <w:p>
      <w:pPr>
        <w:spacing w:before="0" w:after="140" w:line="300" w:lineRule="auto"/>
        <w:jc w:val="left"/>
        <w:keepLines w:val="1"/>
      </w:pPr>
      <w:r>
        <w:rPr>
          <w:rFonts w:ascii="Calibri" w:hAnsi="Calibri" w:eastAsia="Calibri"/>
          <w:b w:val="0"/>
          <w:i w:val="0"/>
          <w:color w:val="5F6B7A"/>
          <w:sz w:val="19"/>
        </w:rPr>
        <w:t>Implementation: No stock dentist, smiling patient, AI brain, robot, abstract mesh or text baked into the image. Avoid an autoplay video as the largest content element.</w:t>
      </w:r>
    </w:p>
    <w:p>
      <w:pPr>
        <w:pStyle w:val="Heading1"/>
        <w:pageBreakBefore w:val="1"/>
        <w:keepNext w:val="1"/>
        <w:keepLines w:val="1"/>
      </w:pPr>
      <w:r>
        <w:t>4. Section-by-section homepage copy</w:t>
      </w:r>
    </w:p>
    <w:p>
      <w:pPr>
        <w:spacing w:before="0" w:after="80"/>
        <w:keepNext w:val="1"/>
      </w:pPr>
      <w:r>
        <w:rPr>
          <w:rFonts w:ascii="Calibri" w:hAnsi="Calibri" w:eastAsia="Calibri"/>
          <w:b/>
          <w:color w:val="2E74B5"/>
          <w:sz w:val="19"/>
        </w:rPr>
        <w:t>SECTION 2  /  CASE RECOGNITION</w:t>
      </w:r>
    </w:p>
    <w:p>
      <w:pPr>
        <w:pStyle w:val="Heading2"/>
        <w:keepNext w:val="1"/>
        <w:keepLines w:val="1"/>
      </w:pPr>
      <w:r>
        <w:t>Choose the workflow your case needs.</w:t>
      </w:r>
    </w:p>
    <w:p>
      <w:pPr>
        <w:spacing w:before="0" w:after="100" w:line="300" w:lineRule="auto"/>
        <w:ind w:left="158" w:right="86"/>
        <w:shd w:fill="F4F6F9"/>
        <w:pBdr>
          <w:left w:val="single" w:sz="14" w:space="8" w:color="2E74B5"/>
        </w:pBdr>
        <w:keepLines w:val="1"/>
      </w:pPr>
      <w:r>
        <w:rPr>
          <w:rFonts w:ascii="Calibri" w:hAnsi="Calibri" w:eastAsia="Calibri"/>
          <w:b/>
          <w:color w:val="1F4D78"/>
          <w:sz w:val="21"/>
        </w:rPr>
        <w:t xml:space="preserve">Intro: </w:t>
      </w:r>
      <w:r>
        <w:rPr>
          <w:rFonts w:ascii="Calibri" w:hAnsi="Calibri" w:eastAsia="Calibri"/>
          <w:color w:val="162236"/>
          <w:sz w:val="21"/>
        </w:rPr>
        <w:t>Start with the clinical situation. We will show you the records, planning path and deliverables that belong together.</w:t>
      </w:r>
    </w:p>
    <w:p>
      <w:pPr>
        <w:spacing w:before="80" w:after="40"/>
        <w:keepNext w:val="1"/>
      </w:pPr>
      <w:r>
        <w:rPr>
          <w:rFonts w:ascii="Calibri" w:hAnsi="Calibri" w:eastAsia="Calibri"/>
          <w:b/>
          <w:color w:val="1F4D78"/>
          <w:sz w:val="23"/>
        </w:rPr>
        <w:t>Guided Implant Workflow</w:t>
      </w:r>
    </w:p>
    <w:p>
      <w:pPr>
        <w:spacing w:before="0" w:after="100" w:line="300" w:lineRule="auto"/>
        <w:ind w:left="173" w:right="115"/>
        <w:shd w:fill="F4F6F9"/>
        <w:pBdr>
          <w:left w:val="single" w:sz="14" w:space="8" w:color="2E74B5"/>
        </w:pBdr>
        <w:keepLines w:val="1"/>
      </w:pPr>
      <w:r>
        <w:rPr>
          <w:rFonts w:ascii="Calibri" w:hAnsi="Calibri" w:eastAsia="Calibri"/>
          <w:color w:val="162236"/>
          <w:sz w:val="21"/>
        </w:rPr>
        <w:t>Restoration-led planning and surgical guide support for single and multiple implant cases.</w:t>
      </w:r>
      <w:r>
        <w:rPr>
          <w:rFonts w:ascii="Calibri" w:hAnsi="Calibri" w:eastAsia="Calibri"/>
          <w:b/>
          <w:color w:val="2E74B5"/>
          <w:sz w:val="19"/>
        </w:rPr>
        <w:t xml:space="preserve">  Link label: Explore the Guided Implant Workflow</w:t>
      </w:r>
    </w:p>
    <w:p>
      <w:pPr>
        <w:spacing w:before="80" w:after="40"/>
        <w:keepNext w:val="1"/>
      </w:pPr>
      <w:r>
        <w:rPr>
          <w:rFonts w:ascii="Calibri" w:hAnsi="Calibri" w:eastAsia="Calibri"/>
          <w:b/>
          <w:color w:val="1F4D78"/>
          <w:sz w:val="23"/>
        </w:rPr>
        <w:t>Full-Arch Stackable Workflow</w:t>
      </w:r>
    </w:p>
    <w:p>
      <w:pPr>
        <w:spacing w:before="0" w:after="100" w:line="300" w:lineRule="auto"/>
        <w:ind w:left="173" w:right="115"/>
        <w:shd w:fill="F4F6F9"/>
        <w:pBdr>
          <w:left w:val="single" w:sz="14" w:space="8" w:color="2E74B5"/>
        </w:pBdr>
        <w:keepLines w:val="1"/>
      </w:pPr>
      <w:r>
        <w:rPr>
          <w:rFonts w:ascii="Calibri" w:hAnsi="Calibri" w:eastAsia="Calibri"/>
          <w:color w:val="162236"/>
          <w:sz w:val="21"/>
        </w:rPr>
        <w:t>A coordinated sequence for bone reduction, implant placement, MUA positioning and provisional delivery.</w:t>
      </w:r>
      <w:r>
        <w:rPr>
          <w:rFonts w:ascii="Calibri" w:hAnsi="Calibri" w:eastAsia="Calibri"/>
          <w:b/>
          <w:color w:val="2E74B5"/>
          <w:sz w:val="19"/>
        </w:rPr>
        <w:t xml:space="preserve">  Link label: Explore the Full-Arch Stackable Workflow</w:t>
      </w:r>
    </w:p>
    <w:p>
      <w:pPr>
        <w:spacing w:before="80" w:after="40"/>
        <w:keepNext w:val="1"/>
      </w:pPr>
      <w:r>
        <w:rPr>
          <w:rFonts w:ascii="Calibri" w:hAnsi="Calibri" w:eastAsia="Calibri"/>
          <w:b/>
          <w:color w:val="1F4D78"/>
          <w:sz w:val="23"/>
        </w:rPr>
        <w:t>Zygoma &amp; Pterygoid Planning</w:t>
      </w:r>
    </w:p>
    <w:p>
      <w:pPr>
        <w:spacing w:before="0" w:after="100" w:line="300" w:lineRule="auto"/>
        <w:ind w:left="173" w:right="115"/>
        <w:shd w:fill="F4F6F9"/>
        <w:pBdr>
          <w:left w:val="single" w:sz="14" w:space="8" w:color="2E74B5"/>
        </w:pBdr>
        <w:keepLines w:val="1"/>
      </w:pPr>
      <w:r>
        <w:rPr>
          <w:rFonts w:ascii="Calibri" w:hAnsi="Calibri" w:eastAsia="Calibri"/>
          <w:color w:val="162236"/>
          <w:sz w:val="21"/>
        </w:rPr>
        <w:t>Advanced planning support where anatomy, implant trajectory and prosthetic intent must be reviewed together.</w:t>
      </w:r>
      <w:r>
        <w:rPr>
          <w:rFonts w:ascii="Calibri" w:hAnsi="Calibri" w:eastAsia="Calibri"/>
          <w:b/>
          <w:color w:val="2E74B5"/>
          <w:sz w:val="19"/>
        </w:rPr>
        <w:t xml:space="preserve">  Link label: Review Zygoma &amp; Pterygoid Planning</w:t>
      </w:r>
    </w:p>
    <w:p>
      <w:pPr>
        <w:spacing w:before="80" w:after="40"/>
        <w:keepNext w:val="1"/>
      </w:pPr>
      <w:r>
        <w:rPr>
          <w:rFonts w:ascii="Calibri" w:hAnsi="Calibri" w:eastAsia="Calibri"/>
          <w:b/>
          <w:color w:val="1F4D78"/>
          <w:sz w:val="23"/>
        </w:rPr>
        <w:t>Immediate-Loading Workflow</w:t>
      </w:r>
    </w:p>
    <w:p>
      <w:pPr>
        <w:spacing w:before="0" w:after="100" w:line="300" w:lineRule="auto"/>
        <w:ind w:left="173" w:right="115"/>
        <w:shd w:fill="F4F6F9"/>
        <w:pBdr>
          <w:left w:val="single" w:sz="14" w:space="8" w:color="2E74B5"/>
        </w:pBdr>
        <w:keepLines w:val="1"/>
      </w:pPr>
      <w:r>
        <w:rPr>
          <w:rFonts w:ascii="Calibri" w:hAnsi="Calibri" w:eastAsia="Calibri"/>
          <w:color w:val="162236"/>
          <w:sz w:val="21"/>
        </w:rPr>
        <w:t>Align the approved plan, guide and provisional reference before the surgical appointment.</w:t>
      </w:r>
      <w:r>
        <w:rPr>
          <w:rFonts w:ascii="Calibri" w:hAnsi="Calibri" w:eastAsia="Calibri"/>
          <w:b/>
          <w:color w:val="2E74B5"/>
          <w:sz w:val="19"/>
        </w:rPr>
        <w:t xml:space="preserve">  Link label: Review the Immediate-Loading Workflow</w:t>
      </w:r>
    </w:p>
    <w:p>
      <w:pPr>
        <w:spacing w:before="0" w:after="60" w:line="300" w:lineRule="auto"/>
        <w:jc w:val="left"/>
        <w:keepNext w:val="1"/>
        <w:keepLines w:val="1"/>
      </w:pPr>
      <w:r>
        <w:rPr>
          <w:rFonts w:ascii="Calibri" w:hAnsi="Calibri" w:eastAsia="Calibri"/>
          <w:b w:val="0"/>
          <w:i/>
          <w:color w:val="5F6B7A"/>
          <w:sz w:val="19"/>
        </w:rPr>
        <w:t>Psychological job: Recognition beats persuasion. The visitor chooses a case type before encountering company claims.</w:t>
      </w:r>
    </w:p>
    <w:p>
      <w:pPr>
        <w:spacing w:before="0" w:after="60" w:line="300" w:lineRule="auto"/>
        <w:jc w:val="left"/>
        <w:keepNext w:val="1"/>
        <w:keepLines w:val="1"/>
      </w:pPr>
      <w:r>
        <w:rPr>
          <w:rFonts w:ascii="Calibri" w:hAnsi="Calibri" w:eastAsia="Calibri"/>
          <w:b w:val="0"/>
          <w:i w:val="0"/>
          <w:color w:val="5F6B7A"/>
          <w:sz w:val="19"/>
        </w:rPr>
        <w:t>Visual direction: Four large case cards use real planning views, not service icons. Keep card labels and descriptions visible without hover. Use a quiet two-by-two grid on desktop.</w:t>
      </w:r>
    </w:p>
    <w:p>
      <w:pPr>
        <w:spacing w:before="0" w:after="60" w:line="300" w:lineRule="auto"/>
        <w:jc w:val="left"/>
        <w:keepNext w:val="1"/>
        <w:keepLines w:val="1"/>
      </w:pPr>
      <w:r>
        <w:rPr>
          <w:rFonts w:ascii="Calibri" w:hAnsi="Calibri" w:eastAsia="Calibri"/>
          <w:b w:val="0"/>
          <w:i w:val="0"/>
          <w:color w:val="5F6B7A"/>
          <w:sz w:val="19"/>
        </w:rPr>
        <w:t>Mobile: Single-column cards in the same order; no horizontal swipe carousel. Each card has a clear text link.</w:t>
      </w:r>
    </w:p>
    <w:p>
      <w:pPr>
        <w:spacing w:before="0" w:after="140" w:line="300" w:lineRule="auto"/>
        <w:jc w:val="left"/>
        <w:keepLines w:val="1"/>
      </w:pPr>
      <w:r>
        <w:rPr>
          <w:rFonts w:ascii="Calibri" w:hAnsi="Calibri" w:eastAsia="Calibri"/>
          <w:b w:val="0"/>
          <w:i w:val="0"/>
          <w:color w:val="5F6B7A"/>
          <w:sz w:val="19"/>
        </w:rPr>
        <w:t>Implementation: Every card is one semantic link with crawlable HTML text. The image alt text must describe the actual planning view shown.</w:t>
      </w:r>
    </w:p>
    <w:p>
      <w:pPr>
        <w:spacing w:before="0" w:after="80"/>
        <w:keepNext w:val="1"/>
      </w:pPr>
      <w:r>
        <w:rPr>
          <w:rFonts w:ascii="Calibri" w:hAnsi="Calibri" w:eastAsia="Calibri"/>
          <w:b/>
          <w:color w:val="2E74B5"/>
          <w:sz w:val="19"/>
        </w:rPr>
        <w:t>SECTION 3  /  DIFFERENTIATION</w:t>
      </w:r>
    </w:p>
    <w:p>
      <w:pPr>
        <w:pStyle w:val="Heading2"/>
        <w:keepNext w:val="1"/>
        <w:keepLines w:val="1"/>
      </w:pPr>
      <w:r>
        <w:t>The guide is one part of the workflow.</w:t>
      </w:r>
    </w:p>
    <w:p>
      <w:pPr>
        <w:spacing w:before="0" w:after="100" w:line="300" w:lineRule="auto"/>
        <w:ind w:left="158" w:right="86"/>
        <w:shd w:fill="F4F6F9"/>
        <w:pBdr>
          <w:left w:val="single" w:sz="14" w:space="8" w:color="2E74B5"/>
        </w:pBdr>
        <w:keepLines w:val="1"/>
      </w:pPr>
      <w:r>
        <w:rPr>
          <w:rFonts w:ascii="Calibri" w:hAnsi="Calibri" w:eastAsia="Calibri"/>
          <w:b/>
          <w:color w:val="1F4D78"/>
          <w:sz w:val="21"/>
        </w:rPr>
        <w:t xml:space="preserve">Body: </w:t>
      </w:r>
      <w:r>
        <w:rPr>
          <w:rFonts w:ascii="Calibri" w:hAnsi="Calibri" w:eastAsia="Calibri"/>
          <w:color w:val="162236"/>
          <w:sz w:val="21"/>
        </w:rPr>
        <w:t>A usable guide begins before guide design. The patient data must align. The planned restoration must be visible. The implant system and drilling protocol must be confirmed. The clinician must review the plan. We coordinate those steps before production begins.</w:t>
      </w:r>
    </w:p>
    <w:p>
      <w:pPr>
        <w:spacing w:before="0" w:after="100" w:line="300" w:lineRule="auto"/>
        <w:ind w:left="158" w:right="86"/>
        <w:shd w:fill="F4F6F9"/>
        <w:pBdr>
          <w:left w:val="single" w:sz="14" w:space="8" w:color="2E74B5"/>
        </w:pBdr>
        <w:keepLines w:val="1"/>
      </w:pPr>
      <w:r>
        <w:rPr>
          <w:rFonts w:ascii="Calibri" w:hAnsi="Calibri" w:eastAsia="Calibri"/>
          <w:b/>
          <w:color w:val="1F4D78"/>
          <w:sz w:val="21"/>
        </w:rPr>
        <w:t xml:space="preserve">Pull line: </w:t>
      </w:r>
      <w:r>
        <w:rPr>
          <w:rFonts w:ascii="Calibri" w:hAnsi="Calibri" w:eastAsia="Calibri"/>
          <w:color w:val="162236"/>
          <w:sz w:val="21"/>
        </w:rPr>
        <w:t>The guide is the last step, not the point.</w:t>
      </w:r>
    </w:p>
    <w:p>
      <w:pPr>
        <w:spacing w:before="0" w:after="100" w:line="300" w:lineRule="auto"/>
        <w:ind w:left="158" w:right="86"/>
        <w:shd w:fill="F4F6F9"/>
        <w:pBdr>
          <w:left w:val="single" w:sz="14" w:space="8" w:color="2E74B5"/>
        </w:pBdr>
        <w:keepLines w:val="1"/>
      </w:pPr>
      <w:r>
        <w:rPr>
          <w:rFonts w:ascii="Calibri" w:hAnsi="Calibri" w:eastAsia="Calibri"/>
          <w:b/>
          <w:color w:val="1F4D78"/>
          <w:sz w:val="21"/>
        </w:rPr>
        <w:t xml:space="preserve">Text link: </w:t>
      </w:r>
      <w:r>
        <w:rPr>
          <w:rFonts w:ascii="Calibri" w:hAnsi="Calibri" w:eastAsia="Calibri"/>
          <w:color w:val="162236"/>
          <w:sz w:val="21"/>
        </w:rPr>
        <w:t>See how the case workflow works</w:t>
      </w:r>
    </w:p>
    <w:p>
      <w:pPr>
        <w:spacing w:before="0" w:after="60" w:line="300" w:lineRule="auto"/>
        <w:jc w:val="left"/>
        <w:keepNext w:val="1"/>
        <w:keepLines w:val="1"/>
      </w:pPr>
      <w:r>
        <w:rPr>
          <w:rFonts w:ascii="Calibri" w:hAnsi="Calibri" w:eastAsia="Calibri"/>
          <w:b w:val="0"/>
          <w:i/>
          <w:color w:val="5F6B7A"/>
          <w:sz w:val="19"/>
        </w:rPr>
        <w:t>Psychological job: Reframe Image3DConversion from a guide fabricator to the digital workflow partner behind the guide.</w:t>
      </w:r>
    </w:p>
    <w:p>
      <w:pPr>
        <w:spacing w:before="0" w:after="60" w:line="300" w:lineRule="auto"/>
        <w:jc w:val="left"/>
        <w:keepNext w:val="1"/>
        <w:keepLines w:val="1"/>
      </w:pPr>
      <w:r>
        <w:rPr>
          <w:rFonts w:ascii="Calibri" w:hAnsi="Calibri" w:eastAsia="Calibri"/>
          <w:b w:val="0"/>
          <w:i w:val="0"/>
          <w:color w:val="5F6B7A"/>
          <w:sz w:val="19"/>
        </w:rPr>
        <w:t>Visual direction: Use a five-layer vertical or scroll-led sequence: planned restoration; anatomy and scan data; implant/component plan; guide/provisional design; approved delivery.</w:t>
      </w:r>
    </w:p>
    <w:p>
      <w:pPr>
        <w:spacing w:before="0" w:after="60" w:line="300" w:lineRule="auto"/>
        <w:jc w:val="left"/>
        <w:keepNext w:val="1"/>
        <w:keepLines w:val="1"/>
      </w:pPr>
      <w:r>
        <w:rPr>
          <w:rFonts w:ascii="Calibri" w:hAnsi="Calibri" w:eastAsia="Calibri"/>
          <w:b w:val="0"/>
          <w:i w:val="0"/>
          <w:color w:val="5F6B7A"/>
          <w:sz w:val="19"/>
        </w:rPr>
        <w:t>Mobile: Show all five layers as a compact vertical sequence. Do not hide core copy behind tabs.</w:t>
      </w:r>
    </w:p>
    <w:p>
      <w:pPr>
        <w:spacing w:before="0" w:after="140" w:line="300" w:lineRule="auto"/>
        <w:jc w:val="left"/>
        <w:keepLines w:val="1"/>
      </w:pPr>
      <w:r>
        <w:rPr>
          <w:rFonts w:ascii="Calibri" w:hAnsi="Calibri" w:eastAsia="Calibri"/>
          <w:b w:val="0"/>
          <w:i w:val="0"/>
          <w:color w:val="5F6B7A"/>
          <w:sz w:val="19"/>
        </w:rPr>
        <w:t>Implementation: Use de-identified screenshots and production photographs from the same representative case whenever possible. Do not assemble unrelated stock visuals into a false case story.</w:t>
      </w:r>
    </w:p>
    <w:p>
      <w:pPr>
        <w:spacing w:before="0" w:after="80"/>
        <w:keepNext w:val="1"/>
      </w:pPr>
      <w:r>
        <w:rPr>
          <w:rFonts w:ascii="Calibri" w:hAnsi="Calibri" w:eastAsia="Calibri"/>
          <w:b/>
          <w:color w:val="2E74B5"/>
          <w:sz w:val="19"/>
        </w:rPr>
        <w:t>SECTION 4  /  OPERATIONAL CLARITY</w:t>
      </w:r>
    </w:p>
    <w:p>
      <w:pPr>
        <w:pStyle w:val="Heading2"/>
        <w:keepNext w:val="1"/>
        <w:keepLines w:val="1"/>
      </w:pPr>
      <w:r>
        <w:t>One case. Five visible steps.</w:t>
      </w:r>
    </w:p>
    <w:p>
      <w:pPr>
        <w:numPr>
          <w:ilvl w:val="0"/>
          <w:numId w:val="15"/>
        </w:numPr>
        <w:spacing w:before="0" w:after="100" w:line="300" w:lineRule="auto"/>
        <w:keepLines w:val="1"/>
      </w:pPr>
      <w:r>
        <w:rPr>
          <w:rFonts w:ascii="Calibri" w:hAnsi="Calibri" w:eastAsia="Calibri"/>
          <w:b/>
          <w:color w:val="162236"/>
          <w:sz w:val="22"/>
        </w:rPr>
        <w:t xml:space="preserve">Submit securely. </w:t>
      </w:r>
      <w:r>
        <w:rPr>
          <w:rFonts w:ascii="Calibri" w:hAnsi="Calibri" w:eastAsia="Calibri"/>
          <w:color w:val="162236"/>
          <w:sz w:val="22"/>
        </w:rPr>
        <w:t>Create a practice account and upload the prescription and required case records inside the Case Portal.</w:t>
      </w:r>
    </w:p>
    <w:p>
      <w:pPr>
        <w:numPr>
          <w:ilvl w:val="0"/>
          <w:numId w:val="15"/>
        </w:numPr>
        <w:spacing w:before="0" w:after="100" w:line="300" w:lineRule="auto"/>
        <w:keepLines w:val="1"/>
      </w:pPr>
      <w:r>
        <w:rPr>
          <w:rFonts w:ascii="Calibri" w:hAnsi="Calibri" w:eastAsia="Calibri"/>
          <w:b/>
          <w:color w:val="162236"/>
          <w:sz w:val="22"/>
        </w:rPr>
        <w:t xml:space="preserve">Validate the data. </w:t>
      </w:r>
      <w:r>
        <w:rPr>
          <w:rFonts w:ascii="Calibri" w:hAnsi="Calibri" w:eastAsia="Calibri"/>
          <w:color w:val="162236"/>
          <w:sz w:val="22"/>
        </w:rPr>
        <w:t>We check file completeness, scan alignment and the information needed for the selected workflow.</w:t>
      </w:r>
    </w:p>
    <w:p>
      <w:pPr>
        <w:numPr>
          <w:ilvl w:val="0"/>
          <w:numId w:val="15"/>
        </w:numPr>
        <w:spacing w:before="0" w:after="100" w:line="300" w:lineRule="auto"/>
        <w:keepLines w:val="1"/>
      </w:pPr>
      <w:r>
        <w:rPr>
          <w:rFonts w:ascii="Calibri" w:hAnsi="Calibri" w:eastAsia="Calibri"/>
          <w:b/>
          <w:color w:val="162236"/>
          <w:sz w:val="22"/>
        </w:rPr>
        <w:t xml:space="preserve">Review the plan. </w:t>
      </w:r>
      <w:r>
        <w:rPr>
          <w:rFonts w:ascii="Calibri" w:hAnsi="Calibri" w:eastAsia="Calibri"/>
          <w:color w:val="162236"/>
          <w:sz w:val="22"/>
        </w:rPr>
        <w:t>The proposed plan and relevant references are shared for clinician review.</w:t>
      </w:r>
    </w:p>
    <w:p>
      <w:pPr>
        <w:numPr>
          <w:ilvl w:val="0"/>
          <w:numId w:val="15"/>
        </w:numPr>
        <w:spacing w:before="0" w:after="100" w:line="300" w:lineRule="auto"/>
        <w:keepLines w:val="1"/>
      </w:pPr>
      <w:r>
        <w:rPr>
          <w:rFonts w:ascii="Calibri" w:hAnsi="Calibri" w:eastAsia="Calibri"/>
          <w:b/>
          <w:color w:val="162236"/>
          <w:sz w:val="22"/>
        </w:rPr>
        <w:t xml:space="preserve">Approve production. </w:t>
      </w:r>
      <w:r>
        <w:rPr>
          <w:rFonts w:ascii="Calibri" w:hAnsi="Calibri" w:eastAsia="Calibri"/>
          <w:color w:val="162236"/>
          <w:sz w:val="22"/>
        </w:rPr>
        <w:t>Production begins only after the required approval and scope confirmation.</w:t>
      </w:r>
    </w:p>
    <w:p>
      <w:pPr>
        <w:numPr>
          <w:ilvl w:val="0"/>
          <w:numId w:val="15"/>
        </w:numPr>
        <w:spacing w:before="0" w:after="100" w:line="300" w:lineRule="auto"/>
        <w:keepLines w:val="1"/>
      </w:pPr>
      <w:r>
        <w:rPr>
          <w:rFonts w:ascii="Calibri" w:hAnsi="Calibri" w:eastAsia="Calibri"/>
          <w:b/>
          <w:color w:val="162236"/>
          <w:sz w:val="22"/>
        </w:rPr>
        <w:t xml:space="preserve">Track delivery. </w:t>
      </w:r>
      <w:r>
        <w:rPr>
          <w:rFonts w:ascii="Calibri" w:hAnsi="Calibri" w:eastAsia="Calibri"/>
          <w:color w:val="162236"/>
          <w:sz w:val="22"/>
        </w:rPr>
        <w:t>Follow the case status and receive files, dispatch details or completion information in one place.</w:t>
      </w:r>
    </w:p>
    <w:p>
      <w:pPr>
        <w:spacing w:before="0" w:after="100" w:line="300" w:lineRule="auto"/>
        <w:ind w:left="158" w:right="86"/>
        <w:shd w:fill="F2F4F7"/>
        <w:pBdr>
          <w:left w:val="single" w:sz="14" w:space="8" w:color="5F6B7A"/>
        </w:pBdr>
        <w:keepLines w:val="1"/>
      </w:pPr>
      <w:r>
        <w:rPr>
          <w:rFonts w:ascii="Calibri" w:hAnsi="Calibri" w:eastAsia="Calibri"/>
          <w:b/>
          <w:color w:val="1F4D78"/>
          <w:sz w:val="21"/>
        </w:rPr>
        <w:t xml:space="preserve">Responsibility note: </w:t>
      </w:r>
      <w:r>
        <w:rPr>
          <w:rFonts w:ascii="Calibri" w:hAnsi="Calibri" w:eastAsia="Calibri"/>
          <w:color w:val="162236"/>
          <w:sz w:val="21"/>
        </w:rPr>
        <w:t>The treating clinician remains responsible for diagnosis, treatment decisions and final approval.</w:t>
      </w:r>
    </w:p>
    <w:p>
      <w:pPr>
        <w:spacing w:before="0" w:after="100" w:line="300" w:lineRule="auto"/>
        <w:ind w:left="158" w:right="86"/>
        <w:shd w:fill="F4F6F9"/>
        <w:pBdr>
          <w:left w:val="single" w:sz="14" w:space="8" w:color="2E74B5"/>
        </w:pBdr>
        <w:keepLines w:val="1"/>
      </w:pPr>
      <w:r>
        <w:rPr>
          <w:rFonts w:ascii="Calibri" w:hAnsi="Calibri" w:eastAsia="Calibri"/>
          <w:b/>
          <w:color w:val="1F4D78"/>
          <w:sz w:val="21"/>
        </w:rPr>
        <w:t xml:space="preserve">Text link: </w:t>
      </w:r>
      <w:r>
        <w:rPr>
          <w:rFonts w:ascii="Calibri" w:hAnsi="Calibri" w:eastAsia="Calibri"/>
          <w:color w:val="162236"/>
          <w:sz w:val="21"/>
        </w:rPr>
        <w:t>Review case requirements</w:t>
      </w:r>
    </w:p>
    <w:p>
      <w:pPr>
        <w:spacing w:before="0" w:after="60" w:line="300" w:lineRule="auto"/>
        <w:jc w:val="left"/>
        <w:keepNext w:val="1"/>
        <w:keepLines w:val="1"/>
      </w:pPr>
      <w:r>
        <w:rPr>
          <w:rFonts w:ascii="Calibri" w:hAnsi="Calibri" w:eastAsia="Calibri"/>
          <w:b w:val="0"/>
          <w:i/>
          <w:color w:val="5F6B7A"/>
          <w:sz w:val="19"/>
        </w:rPr>
        <w:t>Psychological job: Make the process feel legible. Visibility and approval reduce the fear of handing a complex case to a remote team.</w:t>
      </w:r>
    </w:p>
    <w:p>
      <w:pPr>
        <w:spacing w:before="0" w:after="60" w:line="300" w:lineRule="auto"/>
        <w:jc w:val="left"/>
        <w:keepNext w:val="1"/>
        <w:keepLines w:val="1"/>
      </w:pPr>
      <w:r>
        <w:rPr>
          <w:rFonts w:ascii="Calibri" w:hAnsi="Calibri" w:eastAsia="Calibri"/>
          <w:b w:val="0"/>
          <w:i w:val="0"/>
          <w:color w:val="5F6B7A"/>
          <w:sz w:val="19"/>
        </w:rPr>
        <w:t>Visual direction: Use five numbered steps with one portal-status example beside each. Avoid a decorative zig-zag infographic.</w:t>
      </w:r>
    </w:p>
    <w:p>
      <w:pPr>
        <w:spacing w:before="0" w:after="60" w:line="300" w:lineRule="auto"/>
        <w:jc w:val="left"/>
        <w:keepNext w:val="1"/>
        <w:keepLines w:val="1"/>
      </w:pPr>
      <w:r>
        <w:rPr>
          <w:rFonts w:ascii="Calibri" w:hAnsi="Calibri" w:eastAsia="Calibri"/>
          <w:b w:val="0"/>
          <w:i w:val="0"/>
          <w:color w:val="5F6B7A"/>
          <w:sz w:val="19"/>
        </w:rPr>
        <w:t>Mobile: Stack steps vertically with the active action line in bold. All text remains present in the DOM.</w:t>
      </w:r>
    </w:p>
    <w:p>
      <w:pPr>
        <w:spacing w:before="0" w:after="140" w:line="300" w:lineRule="auto"/>
        <w:jc w:val="left"/>
        <w:keepLines w:val="1"/>
      </w:pPr>
      <w:r>
        <w:rPr>
          <w:rFonts w:ascii="Calibri" w:hAnsi="Calibri" w:eastAsia="Calibri"/>
          <w:b w:val="0"/>
          <w:i w:val="0"/>
          <w:color w:val="5F6B7A"/>
          <w:sz w:val="19"/>
        </w:rPr>
        <w:t>Implementation: The words Submit securely and Case Portal can publish only after the production route and security review are confirmed. If not confirmed, use Submit through the Case Portal.</w:t>
      </w:r>
    </w:p>
    <w:p>
      <w:pPr>
        <w:spacing w:before="0" w:after="80"/>
        <w:keepNext w:val="1"/>
      </w:pPr>
      <w:r>
        <w:rPr>
          <w:rFonts w:ascii="Calibri" w:hAnsi="Calibri" w:eastAsia="Calibri"/>
          <w:b/>
          <w:color w:val="2E74B5"/>
          <w:sz w:val="19"/>
        </w:rPr>
        <w:t>SECTION 5  /  AUTONOMY</w:t>
      </w:r>
    </w:p>
    <w:p>
      <w:pPr>
        <w:pStyle w:val="Heading2"/>
        <w:keepNext w:val="1"/>
        <w:keepLines w:val="1"/>
      </w:pPr>
      <w:r>
        <w:t>Choose how much support your practice needs.</w:t>
      </w:r>
    </w:p>
    <w:p>
      <w:pPr>
        <w:spacing w:before="80" w:after="40"/>
        <w:keepNext w:val="1"/>
      </w:pPr>
      <w:r>
        <w:rPr>
          <w:rFonts w:ascii="Calibri" w:hAnsi="Calibri" w:eastAsia="Calibri"/>
          <w:b/>
          <w:color w:val="1F4D78"/>
          <w:sz w:val="23"/>
        </w:rPr>
        <w:t>Design Only</w:t>
      </w:r>
    </w:p>
    <w:p>
      <w:pPr>
        <w:spacing w:before="0" w:after="100" w:line="300" w:lineRule="auto"/>
        <w:ind w:left="173" w:right="115"/>
        <w:shd w:fill="F4F6F9"/>
        <w:pBdr>
          <w:left w:val="single" w:sz="14" w:space="8" w:color="2E74B5"/>
        </w:pBdr>
        <w:keepLines w:val="1"/>
      </w:pPr>
      <w:r>
        <w:rPr>
          <w:rFonts w:ascii="Calibri" w:hAnsi="Calibri" w:eastAsia="Calibri"/>
          <w:color w:val="162236"/>
          <w:sz w:val="21"/>
        </w:rPr>
        <w:t>Planning and ready-to-print files for teams with a validated local production workflow.</w:t>
      </w:r>
      <w:r>
        <w:rPr>
          <w:rFonts w:ascii="Calibri" w:hAnsi="Calibri" w:eastAsia="Calibri"/>
          <w:b/>
          <w:color w:val="2E74B5"/>
          <w:sz w:val="19"/>
        </w:rPr>
        <w:t xml:space="preserve">  Link label: Review Design-Only Support</w:t>
      </w:r>
    </w:p>
    <w:p>
      <w:pPr>
        <w:spacing w:before="80" w:after="40"/>
        <w:keepNext w:val="1"/>
      </w:pPr>
      <w:r>
        <w:rPr>
          <w:rFonts w:ascii="Calibri" w:hAnsi="Calibri" w:eastAsia="Calibri"/>
          <w:b/>
          <w:color w:val="1F4D78"/>
          <w:sz w:val="23"/>
        </w:rPr>
        <w:t>Design to Delivery</w:t>
      </w:r>
    </w:p>
    <w:p>
      <w:pPr>
        <w:spacing w:before="0" w:after="100" w:line="300" w:lineRule="auto"/>
        <w:ind w:left="173" w:right="115"/>
        <w:shd w:fill="F4F6F9"/>
        <w:pBdr>
          <w:left w:val="single" w:sz="14" w:space="8" w:color="2E74B5"/>
        </w:pBdr>
        <w:keepLines w:val="1"/>
      </w:pPr>
      <w:r>
        <w:rPr>
          <w:rFonts w:ascii="Calibri" w:hAnsi="Calibri" w:eastAsia="Calibri"/>
          <w:color w:val="162236"/>
          <w:sz w:val="21"/>
        </w:rPr>
        <w:t>Planning, design, production coordination and delivery managed through one case.</w:t>
      </w:r>
      <w:r>
        <w:rPr>
          <w:rFonts w:ascii="Calibri" w:hAnsi="Calibri" w:eastAsia="Calibri"/>
          <w:b/>
          <w:color w:val="2E74B5"/>
          <w:sz w:val="19"/>
        </w:rPr>
        <w:t xml:space="preserve">  Link label: Review Design-to-Delivery Support</w:t>
      </w:r>
    </w:p>
    <w:p>
      <w:pPr>
        <w:spacing w:before="80" w:after="40"/>
        <w:keepNext w:val="1"/>
      </w:pPr>
      <w:r>
        <w:rPr>
          <w:rFonts w:ascii="Calibri" w:hAnsi="Calibri" w:eastAsia="Calibri"/>
          <w:b/>
          <w:color w:val="1F4D78"/>
          <w:sz w:val="23"/>
        </w:rPr>
        <w:t>White-Label Workflow Partnership</w:t>
      </w:r>
    </w:p>
    <w:p>
      <w:pPr>
        <w:spacing w:before="0" w:after="100" w:line="300" w:lineRule="auto"/>
        <w:ind w:left="173" w:right="115"/>
        <w:shd w:fill="F4F6F9"/>
        <w:pBdr>
          <w:left w:val="single" w:sz="14" w:space="8" w:color="2E74B5"/>
        </w:pBdr>
        <w:keepLines w:val="1"/>
      </w:pPr>
      <w:r>
        <w:rPr>
          <w:rFonts w:ascii="Calibri" w:hAnsi="Calibri" w:eastAsia="Calibri"/>
          <w:color w:val="162236"/>
          <w:sz w:val="21"/>
        </w:rPr>
        <w:t>Specialist workflow capacity for laboratories, practice groups, implant companies and international partners.</w:t>
      </w:r>
      <w:r>
        <w:rPr>
          <w:rFonts w:ascii="Calibri" w:hAnsi="Calibri" w:eastAsia="Calibri"/>
          <w:b/>
          <w:color w:val="2E74B5"/>
          <w:sz w:val="19"/>
        </w:rPr>
        <w:t xml:space="preserve">  Link label: Discuss a Workflow Partnership</w:t>
      </w:r>
    </w:p>
    <w:p>
      <w:pPr>
        <w:spacing w:before="0" w:after="100" w:line="300" w:lineRule="auto"/>
        <w:ind w:left="158" w:right="86"/>
        <w:shd w:fill="F4F6F9"/>
        <w:pBdr>
          <w:left w:val="single" w:sz="14" w:space="8" w:color="2E74B5"/>
        </w:pBdr>
        <w:keepLines w:val="1"/>
      </w:pPr>
      <w:r>
        <w:rPr>
          <w:rFonts w:ascii="Calibri" w:hAnsi="Calibri" w:eastAsia="Calibri"/>
          <w:b/>
          <w:color w:val="1F4D78"/>
          <w:sz w:val="21"/>
        </w:rPr>
        <w:t xml:space="preserve">Section link: </w:t>
      </w:r>
      <w:r>
        <w:rPr>
          <w:rFonts w:ascii="Calibri" w:hAnsi="Calibri" w:eastAsia="Calibri"/>
          <w:color w:val="162236"/>
          <w:sz w:val="21"/>
        </w:rPr>
        <w:t>Compare ways to work with us</w:t>
      </w:r>
    </w:p>
    <w:p>
      <w:pPr>
        <w:spacing w:before="0" w:after="60" w:line="300" w:lineRule="auto"/>
        <w:jc w:val="left"/>
        <w:keepNext w:val="1"/>
        <w:keepLines w:val="1"/>
      </w:pPr>
      <w:r>
        <w:rPr>
          <w:rFonts w:ascii="Calibri" w:hAnsi="Calibri" w:eastAsia="Calibri"/>
          <w:b w:val="0"/>
          <w:i/>
          <w:color w:val="5F6B7A"/>
          <w:sz w:val="19"/>
        </w:rPr>
        <w:t>Psychological job: Give the dentist or partner control over scope. The site should not force every visitor into the highest-service package.</w:t>
      </w:r>
    </w:p>
    <w:p>
      <w:pPr>
        <w:spacing w:before="0" w:after="60" w:line="300" w:lineRule="auto"/>
        <w:jc w:val="left"/>
        <w:keepNext w:val="1"/>
        <w:keepLines w:val="1"/>
      </w:pPr>
      <w:r>
        <w:rPr>
          <w:rFonts w:ascii="Calibri" w:hAnsi="Calibri" w:eastAsia="Calibri"/>
          <w:b w:val="0"/>
          <w:i w:val="0"/>
          <w:color w:val="5F6B7A"/>
          <w:sz w:val="19"/>
        </w:rPr>
        <w:t>Visual direction: Three calm columns with a short scope line and a concrete best-fit note. Use no pricing table on the homepage.</w:t>
      </w:r>
    </w:p>
    <w:p>
      <w:pPr>
        <w:spacing w:before="0" w:after="60" w:line="300" w:lineRule="auto"/>
        <w:jc w:val="left"/>
        <w:keepNext w:val="1"/>
        <w:keepLines w:val="1"/>
      </w:pPr>
      <w:r>
        <w:rPr>
          <w:rFonts w:ascii="Calibri" w:hAnsi="Calibri" w:eastAsia="Calibri"/>
          <w:b w:val="0"/>
          <w:i w:val="0"/>
          <w:color w:val="5F6B7A"/>
          <w:sz w:val="19"/>
        </w:rPr>
        <w:t>Mobile: Keep all three choices stacked and readable. Each CTA names the specific mode.</w:t>
      </w:r>
    </w:p>
    <w:p>
      <w:pPr>
        <w:spacing w:before="0" w:after="140" w:line="300" w:lineRule="auto"/>
        <w:jc w:val="left"/>
        <w:keepLines w:val="1"/>
      </w:pPr>
      <w:r>
        <w:rPr>
          <w:rFonts w:ascii="Calibri" w:hAnsi="Calibri" w:eastAsia="Calibri"/>
          <w:b w:val="0"/>
          <w:i w:val="0"/>
          <w:color w:val="5F6B7A"/>
          <w:sz w:val="19"/>
        </w:rPr>
        <w:t>Implementation: Publish only the modes that operations can support at launch. Do not show a mode as Coming Soon in the homepage grid.</w:t>
      </w:r>
    </w:p>
    <w:p>
      <w:pPr>
        <w:spacing w:before="0" w:after="80"/>
        <w:keepNext w:val="1"/>
      </w:pPr>
      <w:r>
        <w:rPr>
          <w:rFonts w:ascii="Calibri" w:hAnsi="Calibri" w:eastAsia="Calibri"/>
          <w:b/>
          <w:color w:val="2E74B5"/>
          <w:sz w:val="19"/>
        </w:rPr>
        <w:t>SECTION 6  /  COMPLEX-CASE AUTHORITY</w:t>
      </w:r>
    </w:p>
    <w:p>
      <w:pPr>
        <w:pStyle w:val="Heading2"/>
        <w:keepNext w:val="1"/>
        <w:keepLines w:val="1"/>
      </w:pPr>
      <w:r>
        <w:t>Bring us the cases that need more than a template.</w:t>
      </w:r>
    </w:p>
    <w:p>
      <w:pPr>
        <w:spacing w:before="0" w:after="100" w:line="300" w:lineRule="auto"/>
        <w:ind w:left="158" w:right="86"/>
        <w:shd w:fill="F4F6F9"/>
        <w:pBdr>
          <w:left w:val="single" w:sz="14" w:space="8" w:color="2E74B5"/>
        </w:pBdr>
        <w:keepLines w:val="1"/>
      </w:pPr>
      <w:r>
        <w:rPr>
          <w:rFonts w:ascii="Calibri" w:hAnsi="Calibri" w:eastAsia="Calibri"/>
          <w:b/>
          <w:color w:val="1F4D78"/>
          <w:sz w:val="21"/>
        </w:rPr>
        <w:t xml:space="preserve">Lead: </w:t>
      </w:r>
      <w:r>
        <w:rPr>
          <w:rFonts w:ascii="Calibri" w:hAnsi="Calibri" w:eastAsia="Calibri"/>
          <w:color w:val="162236"/>
          <w:sz w:val="21"/>
        </w:rPr>
        <w:t>A full-arch case is not a collection of products. It is one sequence.</w:t>
      </w:r>
    </w:p>
    <w:p>
      <w:pPr>
        <w:spacing w:before="0" w:after="100" w:line="300" w:lineRule="auto"/>
        <w:ind w:left="158" w:right="86"/>
        <w:shd w:fill="F4F6F9"/>
        <w:pBdr>
          <w:left w:val="single" w:sz="14" w:space="8" w:color="2E74B5"/>
        </w:pBdr>
        <w:keepLines w:val="1"/>
      </w:pPr>
      <w:r>
        <w:rPr>
          <w:rFonts w:ascii="Calibri" w:hAnsi="Calibri" w:eastAsia="Calibri"/>
          <w:b/>
          <w:color w:val="1F4D78"/>
          <w:sz w:val="21"/>
        </w:rPr>
        <w:t xml:space="preserve">Body: </w:t>
      </w:r>
      <w:r>
        <w:rPr>
          <w:rFonts w:ascii="Calibri" w:hAnsi="Calibri" w:eastAsia="Calibri"/>
          <w:color w:val="162236"/>
          <w:sz w:val="21"/>
        </w:rPr>
        <w:t>Full-arch, immediate-loading, pterygoid and zygomatic cases involve more than implant coordinates. They require a shared understanding of the restorative goal, support strategy, surgical sequence and approval points.</w:t>
      </w:r>
    </w:p>
    <w:p>
      <w:pPr>
        <w:spacing w:before="0" w:after="100" w:line="300" w:lineRule="auto"/>
        <w:ind w:left="158" w:right="86"/>
        <w:shd w:fill="F4F6F9"/>
        <w:pBdr>
          <w:left w:val="single" w:sz="14" w:space="8" w:color="2E74B5"/>
        </w:pBdr>
        <w:keepLines w:val="1"/>
      </w:pPr>
      <w:r>
        <w:rPr>
          <w:rFonts w:ascii="Calibri" w:hAnsi="Calibri" w:eastAsia="Calibri"/>
          <w:b/>
          <w:color w:val="1F4D78"/>
          <w:sz w:val="21"/>
        </w:rPr>
        <w:t xml:space="preserve">Sequence: </w:t>
      </w:r>
      <w:r>
        <w:rPr>
          <w:rFonts w:ascii="Calibri" w:hAnsi="Calibri" w:eastAsia="Calibri"/>
          <w:color w:val="162236"/>
          <w:sz w:val="21"/>
        </w:rPr>
        <w:t>Pin fixation → Bone reduction → Implant placement → MUA positioning → Prosthesis pickup</w:t>
      </w:r>
    </w:p>
    <w:p>
      <w:pPr>
        <w:spacing w:before="0" w:after="100" w:line="300" w:lineRule="auto"/>
        <w:ind w:left="158" w:right="86"/>
        <w:shd w:fill="F4F6F9"/>
        <w:pBdr>
          <w:left w:val="single" w:sz="14" w:space="8" w:color="2E74B5"/>
        </w:pBdr>
        <w:keepLines w:val="1"/>
      </w:pPr>
      <w:r>
        <w:rPr>
          <w:rFonts w:ascii="Calibri" w:hAnsi="Calibri" w:eastAsia="Calibri"/>
          <w:b/>
          <w:color w:val="1F4D78"/>
          <w:sz w:val="21"/>
        </w:rPr>
        <w:t xml:space="preserve">Closing line: </w:t>
      </w:r>
      <w:r>
        <w:rPr>
          <w:rFonts w:ascii="Calibri" w:hAnsi="Calibri" w:eastAsia="Calibri"/>
          <w:color w:val="162236"/>
          <w:sz w:val="21"/>
        </w:rPr>
        <w:t>Discuss the workflow before uploading the complete case if the scope is still being defined.</w:t>
      </w:r>
    </w:p>
    <w:p>
      <w:pPr>
        <w:spacing w:before="0" w:after="100" w:line="300" w:lineRule="auto"/>
        <w:ind w:left="158" w:right="86"/>
        <w:shd w:fill="F4F6F9"/>
        <w:pBdr>
          <w:left w:val="single" w:sz="14" w:space="8" w:color="2E74B5"/>
        </w:pBdr>
        <w:keepLines w:val="1"/>
      </w:pPr>
      <w:r>
        <w:rPr>
          <w:rFonts w:ascii="Calibri" w:hAnsi="Calibri" w:eastAsia="Calibri"/>
          <w:b/>
          <w:color w:val="1F4D78"/>
          <w:sz w:val="21"/>
        </w:rPr>
        <w:t xml:space="preserve">Primary button: </w:t>
      </w:r>
      <w:r>
        <w:rPr>
          <w:rFonts w:ascii="Calibri" w:hAnsi="Calibri" w:eastAsia="Calibri"/>
          <w:color w:val="162236"/>
          <w:sz w:val="21"/>
        </w:rPr>
        <w:t>Discuss a Complex Case</w:t>
      </w:r>
    </w:p>
    <w:p>
      <w:pPr>
        <w:spacing w:before="0" w:after="100" w:line="300" w:lineRule="auto"/>
        <w:ind w:left="158" w:right="86"/>
        <w:shd w:fill="F4F6F9"/>
        <w:pBdr>
          <w:left w:val="single" w:sz="14" w:space="8" w:color="2E74B5"/>
        </w:pBdr>
        <w:keepLines w:val="1"/>
      </w:pPr>
      <w:r>
        <w:rPr>
          <w:rFonts w:ascii="Calibri" w:hAnsi="Calibri" w:eastAsia="Calibri"/>
          <w:b/>
          <w:color w:val="1F4D78"/>
          <w:sz w:val="21"/>
        </w:rPr>
        <w:t xml:space="preserve">Text link: </w:t>
      </w:r>
      <w:r>
        <w:rPr>
          <w:rFonts w:ascii="Calibri" w:hAnsi="Calibri" w:eastAsia="Calibri"/>
          <w:color w:val="162236"/>
          <w:sz w:val="21"/>
        </w:rPr>
        <w:t>Explore the Full-Arch Stackable Workflow</w:t>
      </w:r>
    </w:p>
    <w:p>
      <w:pPr>
        <w:spacing w:before="0" w:after="60" w:line="300" w:lineRule="auto"/>
        <w:jc w:val="left"/>
        <w:keepNext w:val="1"/>
        <w:keepLines w:val="1"/>
      </w:pPr>
      <w:r>
        <w:rPr>
          <w:rFonts w:ascii="Calibri" w:hAnsi="Calibri" w:eastAsia="Calibri"/>
          <w:b w:val="0"/>
          <w:i/>
          <w:color w:val="5F6B7A"/>
          <w:sz w:val="19"/>
        </w:rPr>
        <w:t>Psychological job: Demonstrate specialist depth through dependency and sequence, not through claims of being the best.</w:t>
      </w:r>
    </w:p>
    <w:p>
      <w:pPr>
        <w:spacing w:before="0" w:after="60" w:line="300" w:lineRule="auto"/>
        <w:jc w:val="left"/>
        <w:keepNext w:val="1"/>
        <w:keepLines w:val="1"/>
      </w:pPr>
      <w:r>
        <w:rPr>
          <w:rFonts w:ascii="Calibri" w:hAnsi="Calibri" w:eastAsia="Calibri"/>
          <w:b w:val="0"/>
          <w:i w:val="0"/>
          <w:color w:val="5F6B7A"/>
          <w:sz w:val="19"/>
        </w:rPr>
        <w:t>Visual direction: Use one real case as a continuous sequence on a white field. A full Image3DConversion Blue band may create one controlled contrast moment, with the guide layers and captions kept simple.</w:t>
      </w:r>
    </w:p>
    <w:p>
      <w:pPr>
        <w:spacing w:before="0" w:after="60" w:line="300" w:lineRule="auto"/>
        <w:jc w:val="left"/>
        <w:keepNext w:val="1"/>
        <w:keepLines w:val="1"/>
      </w:pPr>
      <w:r>
        <w:rPr>
          <w:rFonts w:ascii="Calibri" w:hAnsi="Calibri" w:eastAsia="Calibri"/>
          <w:b w:val="0"/>
          <w:i w:val="0"/>
          <w:color w:val="5F6B7A"/>
          <w:sz w:val="19"/>
        </w:rPr>
        <w:t>Mobile: Use a top-to-bottom sequence with a small image at each stage. Do not compress five stages into an unreadable horizontal graphic.</w:t>
      </w:r>
    </w:p>
    <w:p>
      <w:pPr>
        <w:spacing w:before="0" w:after="140" w:line="300" w:lineRule="auto"/>
        <w:jc w:val="left"/>
        <w:keepLines w:val="1"/>
      </w:pPr>
      <w:r>
        <w:rPr>
          <w:rFonts w:ascii="Calibri" w:hAnsi="Calibri" w:eastAsia="Calibri"/>
          <w:b w:val="0"/>
          <w:i w:val="0"/>
          <w:color w:val="5F6B7A"/>
          <w:sz w:val="19"/>
        </w:rPr>
        <w:t>Implementation: The selected case must be de-identified and permission-cleared. Captions must state what is actually shown and must not imply a clinical outcome not documented by the treating team.</w:t>
      </w:r>
    </w:p>
    <w:p>
      <w:pPr>
        <w:spacing w:before="0" w:after="80"/>
        <w:keepNext w:val="1"/>
      </w:pPr>
      <w:r>
        <w:rPr>
          <w:rFonts w:ascii="Calibri" w:hAnsi="Calibri" w:eastAsia="Calibri"/>
          <w:b/>
          <w:color w:val="2E74B5"/>
          <w:sz w:val="19"/>
        </w:rPr>
        <w:t>SECTION 7  /  PROOF</w:t>
      </w:r>
    </w:p>
    <w:p>
      <w:pPr>
        <w:pStyle w:val="Heading2"/>
        <w:keepNext w:val="1"/>
        <w:keepLines w:val="1"/>
      </w:pPr>
      <w:r>
        <w:t>Evidence, not adjectives.</w:t>
      </w:r>
    </w:p>
    <w:p>
      <w:pPr>
        <w:spacing w:before="0" w:after="100" w:line="300" w:lineRule="auto"/>
        <w:ind w:left="158" w:right="86"/>
        <w:shd w:fill="F4F6F9"/>
        <w:pBdr>
          <w:left w:val="single" w:sz="14" w:space="8" w:color="2E74B5"/>
        </w:pBdr>
        <w:keepLines w:val="1"/>
      </w:pPr>
      <w:r>
        <w:rPr>
          <w:rFonts w:ascii="Calibri" w:hAnsi="Calibri" w:eastAsia="Calibri"/>
          <w:b/>
          <w:color w:val="1F4D78"/>
          <w:sz w:val="21"/>
        </w:rPr>
        <w:t xml:space="preserve">Body: </w:t>
      </w:r>
      <w:r>
        <w:rPr>
          <w:rFonts w:ascii="Calibri" w:hAnsi="Calibri" w:eastAsia="Calibri"/>
          <w:color w:val="162236"/>
          <w:sz w:val="21"/>
        </w:rPr>
        <w:t>See what was received, what had to be decided, what the treating team approved and what was delivered. Each published case is de-identified and permission-cleared.</w:t>
      </w:r>
    </w:p>
    <w:p>
      <w:pPr>
        <w:spacing w:before="0" w:after="100" w:line="300" w:lineRule="auto"/>
        <w:ind w:left="158" w:right="86"/>
        <w:shd w:fill="F4F6F9"/>
        <w:pBdr>
          <w:left w:val="single" w:sz="14" w:space="8" w:color="2E74B5"/>
        </w:pBdr>
        <w:keepLines w:val="1"/>
      </w:pPr>
      <w:r>
        <w:rPr>
          <w:rFonts w:ascii="Calibri" w:hAnsi="Calibri" w:eastAsia="Calibri"/>
          <w:b/>
          <w:color w:val="1F4D78"/>
          <w:sz w:val="21"/>
        </w:rPr>
        <w:t xml:space="preserve">Filter labels: </w:t>
      </w:r>
      <w:r>
        <w:rPr>
          <w:rFonts w:ascii="Calibri" w:hAnsi="Calibri" w:eastAsia="Calibri"/>
          <w:color w:val="162236"/>
          <w:sz w:val="21"/>
        </w:rPr>
        <w:t>Guided implant · Full arch · Immediate loading · Zygoma &amp; pterygoid</w:t>
      </w:r>
    </w:p>
    <w:p>
      <w:pPr>
        <w:spacing w:before="0" w:after="100" w:line="300" w:lineRule="auto"/>
        <w:ind w:left="158" w:right="86"/>
        <w:shd w:fill="F4F6F9"/>
        <w:pBdr>
          <w:left w:val="single" w:sz="14" w:space="8" w:color="2E74B5"/>
        </w:pBdr>
        <w:keepLines w:val="1"/>
      </w:pPr>
      <w:r>
        <w:rPr>
          <w:rFonts w:ascii="Calibri" w:hAnsi="Calibri" w:eastAsia="Calibri"/>
          <w:b/>
          <w:color w:val="1F4D78"/>
          <w:sz w:val="21"/>
        </w:rPr>
        <w:t xml:space="preserve">Primary link: </w:t>
      </w:r>
      <w:r>
        <w:rPr>
          <w:rFonts w:ascii="Calibri" w:hAnsi="Calibri" w:eastAsia="Calibri"/>
          <w:color w:val="162236"/>
          <w:sz w:val="21"/>
        </w:rPr>
        <w:t>View case workflows</w:t>
      </w:r>
    </w:p>
    <w:p>
      <w:pPr>
        <w:spacing w:before="60" w:after="180" w:line="300" w:lineRule="auto"/>
        <w:ind w:left="173" w:right="115"/>
        <w:shd w:fill="FFF7E1"/>
        <w:pBdr>
          <w:left w:val="single" w:sz="18" w:space="8" w:color="A67C00"/>
        </w:pBdr>
        <w:keepLines w:val="1"/>
      </w:pPr>
      <w:r>
        <w:rPr>
          <w:rFonts w:ascii="Calibri" w:hAnsi="Calibri" w:eastAsia="Calibri"/>
          <w:b/>
          <w:color w:val="A67C00"/>
          <w:sz w:val="19"/>
        </w:rPr>
        <w:t xml:space="preserve">NUMERIC PROOF GATE  </w:t>
      </w:r>
      <w:r>
        <w:rPr>
          <w:rFonts w:ascii="Calibri" w:hAnsi="Calibri" w:eastAsia="Calibri"/>
          <w:b w:val="0"/>
          <w:color w:val="162236"/>
          <w:sz w:val="22"/>
        </w:rPr>
        <w:t>Do not publish 50,000+, 100,000+, 17+ years, 300+ active users, 24-hour delivery, named partners or compatibility claims until each has a definition, evidence source, owner and review date. The current 50,000+ and 100,000+ case narratives conflict and must be reconciled.</w:t>
      </w:r>
    </w:p>
    <w:p>
      <w:pPr>
        <w:spacing w:before="0" w:after="60" w:line="300" w:lineRule="auto"/>
        <w:jc w:val="left"/>
        <w:keepNext w:val="1"/>
        <w:keepLines w:val="1"/>
      </w:pPr>
      <w:r>
        <w:rPr>
          <w:rFonts w:ascii="Calibri" w:hAnsi="Calibri" w:eastAsia="Calibri"/>
          <w:b w:val="0"/>
          <w:i/>
          <w:color w:val="5F6B7A"/>
          <w:sz w:val="19"/>
        </w:rPr>
        <w:t>Psychological job: Specific work earns trust more credibly than a wall of statistics.</w:t>
      </w:r>
    </w:p>
    <w:p>
      <w:pPr>
        <w:spacing w:before="0" w:after="60" w:line="300" w:lineRule="auto"/>
        <w:jc w:val="left"/>
        <w:keepNext w:val="1"/>
        <w:keepLines w:val="1"/>
      </w:pPr>
      <w:r>
        <w:rPr>
          <w:rFonts w:ascii="Calibri" w:hAnsi="Calibri" w:eastAsia="Calibri"/>
          <w:b w:val="0"/>
          <w:i w:val="0"/>
          <w:color w:val="5F6B7A"/>
          <w:sz w:val="19"/>
        </w:rPr>
        <w:t>Visual direction: Show one featured case plus three small workflow thumbnails. No auto-rotating testimonial carousel.</w:t>
      </w:r>
    </w:p>
    <w:p>
      <w:pPr>
        <w:spacing w:before="0" w:after="60" w:line="300" w:lineRule="auto"/>
        <w:jc w:val="left"/>
        <w:keepNext w:val="1"/>
        <w:keepLines w:val="1"/>
      </w:pPr>
      <w:r>
        <w:rPr>
          <w:rFonts w:ascii="Calibri" w:hAnsi="Calibri" w:eastAsia="Calibri"/>
          <w:b w:val="0"/>
          <w:i w:val="0"/>
          <w:color w:val="5F6B7A"/>
          <w:sz w:val="19"/>
        </w:rPr>
        <w:t>Mobile: Feature one case at a time with manual controls and visible captions.</w:t>
      </w:r>
    </w:p>
    <w:p>
      <w:pPr>
        <w:spacing w:before="0" w:after="140" w:line="300" w:lineRule="auto"/>
        <w:jc w:val="left"/>
        <w:keepLines w:val="1"/>
      </w:pPr>
      <w:r>
        <w:rPr>
          <w:rFonts w:ascii="Calibri" w:hAnsi="Calibri" w:eastAsia="Calibri"/>
          <w:b w:val="0"/>
          <w:i w:val="0"/>
          <w:color w:val="5F6B7A"/>
          <w:sz w:val="19"/>
        </w:rPr>
        <w:t>Implementation: If one approved case is not ready, remove this section from Release 1 rather than filling it with stock imagery or an invented example.</w:t>
      </w:r>
    </w:p>
    <w:p>
      <w:pPr>
        <w:spacing w:before="0" w:after="80"/>
        <w:keepNext w:val="1"/>
      </w:pPr>
      <w:r>
        <w:rPr>
          <w:rFonts w:ascii="Calibri" w:hAnsi="Calibri" w:eastAsia="Calibri"/>
          <w:b/>
          <w:color w:val="2E74B5"/>
          <w:sz w:val="19"/>
        </w:rPr>
        <w:t>SECTION 8  /  PREPARATION</w:t>
      </w:r>
    </w:p>
    <w:p>
      <w:pPr>
        <w:pStyle w:val="Heading2"/>
        <w:keepNext w:val="1"/>
        <w:keepLines w:val="1"/>
      </w:pPr>
      <w:r>
        <w:t>Send the right data before planning begins.</w:t>
      </w:r>
    </w:p>
    <w:p>
      <w:pPr>
        <w:spacing w:before="0" w:after="100" w:line="300" w:lineRule="auto"/>
        <w:ind w:left="158" w:right="86"/>
        <w:shd w:fill="F4F6F9"/>
        <w:pBdr>
          <w:left w:val="single" w:sz="14" w:space="8" w:color="2E74B5"/>
        </w:pBdr>
        <w:keepLines w:val="1"/>
      </w:pPr>
      <w:r>
        <w:rPr>
          <w:rFonts w:ascii="Calibri" w:hAnsi="Calibri" w:eastAsia="Calibri"/>
          <w:b/>
          <w:color w:val="1F4D78"/>
          <w:sz w:val="21"/>
        </w:rPr>
        <w:t xml:space="preserve">Body: </w:t>
      </w:r>
      <w:r>
        <w:rPr>
          <w:rFonts w:ascii="Calibri" w:hAnsi="Calibri" w:eastAsia="Calibri"/>
          <w:color w:val="162236"/>
          <w:sz w:val="21"/>
        </w:rPr>
        <w:t>Requirements change by workflow. Review the DICOM, intraoral scan, bite, prosthetic reference, implant system and supporting records before you submit.</w:t>
      </w:r>
    </w:p>
    <w:p>
      <w:pPr>
        <w:pStyle w:val="Heading3"/>
        <w:keepNext w:val="1"/>
        <w:keepLines w:val="1"/>
      </w:pPr>
      <w:r>
        <w:t>Homepage preview checklist</w:t>
      </w:r>
    </w:p>
    <w:p>
      <w:pPr>
        <w:numPr>
          <w:ilvl w:val="0"/>
          <w:numId w:val="16"/>
        </w:numPr>
        <w:spacing w:before="0" w:after="80" w:line="300" w:lineRule="auto"/>
        <w:keepLines w:val="1"/>
      </w:pPr>
      <w:r>
        <w:rPr>
          <w:rFonts w:ascii="Calibri" w:hAnsi="Calibri" w:eastAsia="Calibri"/>
          <w:color w:val="162236"/>
          <w:sz w:val="22"/>
        </w:rPr>
        <w:t>CBCT DICOM dataset</w:t>
      </w:r>
    </w:p>
    <w:p>
      <w:pPr>
        <w:numPr>
          <w:ilvl w:val="0"/>
          <w:numId w:val="16"/>
        </w:numPr>
        <w:spacing w:before="0" w:after="80" w:line="300" w:lineRule="auto"/>
        <w:keepLines w:val="1"/>
      </w:pPr>
      <w:r>
        <w:rPr>
          <w:rFonts w:ascii="Calibri" w:hAnsi="Calibri" w:eastAsia="Calibri"/>
          <w:color w:val="162236"/>
          <w:sz w:val="22"/>
        </w:rPr>
        <w:t>Intraoral or model scans</w:t>
      </w:r>
    </w:p>
    <w:p>
      <w:pPr>
        <w:numPr>
          <w:ilvl w:val="0"/>
          <w:numId w:val="16"/>
        </w:numPr>
        <w:spacing w:before="0" w:after="80" w:line="300" w:lineRule="auto"/>
        <w:keepLines w:val="1"/>
      </w:pPr>
      <w:r>
        <w:rPr>
          <w:rFonts w:ascii="Calibri" w:hAnsi="Calibri" w:eastAsia="Calibri"/>
          <w:color w:val="162236"/>
          <w:sz w:val="22"/>
        </w:rPr>
        <w:t>Bite record and prosthetic setup where relevant</w:t>
      </w:r>
    </w:p>
    <w:p>
      <w:pPr>
        <w:numPr>
          <w:ilvl w:val="0"/>
          <w:numId w:val="16"/>
        </w:numPr>
        <w:spacing w:before="0" w:after="80" w:line="300" w:lineRule="auto"/>
        <w:keepLines w:val="1"/>
      </w:pPr>
      <w:r>
        <w:rPr>
          <w:rFonts w:ascii="Calibri" w:hAnsi="Calibri" w:eastAsia="Calibri"/>
          <w:color w:val="162236"/>
          <w:sz w:val="22"/>
        </w:rPr>
        <w:t>Clinical photographs for aesthetic and immediate-loading workflows</w:t>
      </w:r>
    </w:p>
    <w:p>
      <w:pPr>
        <w:numPr>
          <w:ilvl w:val="0"/>
          <w:numId w:val="16"/>
        </w:numPr>
        <w:spacing w:before="0" w:after="80" w:line="300" w:lineRule="auto"/>
        <w:keepLines w:val="1"/>
      </w:pPr>
      <w:r>
        <w:rPr>
          <w:rFonts w:ascii="Calibri" w:hAnsi="Calibri" w:eastAsia="Calibri"/>
          <w:color w:val="162236"/>
          <w:sz w:val="22"/>
        </w:rPr>
        <w:t>Implant system, components and drill-kit information</w:t>
      </w:r>
    </w:p>
    <w:p>
      <w:pPr>
        <w:numPr>
          <w:ilvl w:val="0"/>
          <w:numId w:val="16"/>
        </w:numPr>
        <w:spacing w:before="0" w:after="80" w:line="300" w:lineRule="auto"/>
        <w:keepLines w:val="1"/>
      </w:pPr>
      <w:r>
        <w:rPr>
          <w:rFonts w:ascii="Calibri" w:hAnsi="Calibri" w:eastAsia="Calibri"/>
          <w:color w:val="162236"/>
          <w:sz w:val="22"/>
        </w:rPr>
        <w:t>Case prescription, planned surgery date and delivery location</w:t>
      </w:r>
    </w:p>
    <w:p>
      <w:pPr>
        <w:spacing w:before="0" w:after="100" w:line="300" w:lineRule="auto"/>
        <w:ind w:left="158" w:right="86"/>
        <w:shd w:fill="FCECEC"/>
        <w:pBdr>
          <w:left w:val="single" w:sz="14" w:space="8" w:color="9B1C1C"/>
        </w:pBdr>
        <w:keepLines w:val="1"/>
      </w:pPr>
      <w:r>
        <w:rPr>
          <w:rFonts w:ascii="Calibri" w:hAnsi="Calibri" w:eastAsia="Calibri"/>
          <w:b/>
          <w:color w:val="1F4D78"/>
          <w:sz w:val="21"/>
        </w:rPr>
        <w:t xml:space="preserve">Privacy notice: </w:t>
      </w:r>
      <w:r>
        <w:rPr>
          <w:rFonts w:ascii="Calibri" w:hAnsi="Calibri" w:eastAsia="Calibri"/>
          <w:color w:val="162236"/>
          <w:sz w:val="21"/>
        </w:rPr>
        <w:t>Do not email or place patient-identifying information in a public enquiry form. Clinical files are submitted only through the Case Portal.</w:t>
      </w:r>
    </w:p>
    <w:p>
      <w:pPr>
        <w:spacing w:before="0" w:after="100" w:line="300" w:lineRule="auto"/>
        <w:ind w:left="158" w:right="86"/>
        <w:shd w:fill="F4F6F9"/>
        <w:pBdr>
          <w:left w:val="single" w:sz="14" w:space="8" w:color="2E74B5"/>
        </w:pBdr>
        <w:keepLines w:val="1"/>
      </w:pPr>
      <w:r>
        <w:rPr>
          <w:rFonts w:ascii="Calibri" w:hAnsi="Calibri" w:eastAsia="Calibri"/>
          <w:b/>
          <w:color w:val="1F4D78"/>
          <w:sz w:val="21"/>
        </w:rPr>
        <w:t xml:space="preserve">Primary button: </w:t>
      </w:r>
      <w:r>
        <w:rPr>
          <w:rFonts w:ascii="Calibri" w:hAnsi="Calibri" w:eastAsia="Calibri"/>
          <w:color w:val="162236"/>
          <w:sz w:val="21"/>
        </w:rPr>
        <w:t>Review Case Requirements</w:t>
      </w:r>
    </w:p>
    <w:p>
      <w:pPr>
        <w:spacing w:before="0" w:after="100" w:line="300" w:lineRule="auto"/>
        <w:ind w:left="158" w:right="86"/>
        <w:shd w:fill="F4F6F9"/>
        <w:pBdr>
          <w:left w:val="single" w:sz="14" w:space="8" w:color="2E74B5"/>
        </w:pBdr>
        <w:keepLines w:val="1"/>
      </w:pPr>
      <w:r>
        <w:rPr>
          <w:rFonts w:ascii="Calibri" w:hAnsi="Calibri" w:eastAsia="Calibri"/>
          <w:b/>
          <w:color w:val="1F4D78"/>
          <w:sz w:val="21"/>
        </w:rPr>
        <w:t xml:space="preserve">Secondary text link: </w:t>
      </w:r>
      <w:r>
        <w:rPr>
          <w:rFonts w:ascii="Calibri" w:hAnsi="Calibri" w:eastAsia="Calibri"/>
          <w:color w:val="162236"/>
          <w:sz w:val="21"/>
        </w:rPr>
        <w:t>Start a Case</w:t>
      </w:r>
    </w:p>
    <w:p>
      <w:pPr>
        <w:spacing w:before="0" w:after="60" w:line="300" w:lineRule="auto"/>
        <w:jc w:val="left"/>
        <w:keepNext w:val="1"/>
        <w:keepLines w:val="1"/>
      </w:pPr>
      <w:r>
        <w:rPr>
          <w:rFonts w:ascii="Calibri" w:hAnsi="Calibri" w:eastAsia="Calibri"/>
          <w:b w:val="0"/>
          <w:i/>
          <w:color w:val="5F6B7A"/>
          <w:sz w:val="19"/>
        </w:rPr>
        <w:t>Psychological job: Make the work required from the practice visible before conversion. Transparency reduces incomplete submissions and later frustration.</w:t>
      </w:r>
    </w:p>
    <w:p>
      <w:pPr>
        <w:spacing w:before="0" w:after="60" w:line="300" w:lineRule="auto"/>
        <w:jc w:val="left"/>
        <w:keepNext w:val="1"/>
        <w:keepLines w:val="1"/>
      </w:pPr>
      <w:r>
        <w:rPr>
          <w:rFonts w:ascii="Calibri" w:hAnsi="Calibri" w:eastAsia="Calibri"/>
          <w:b w:val="0"/>
          <w:i w:val="0"/>
          <w:color w:val="5F6B7A"/>
          <w:sz w:val="19"/>
        </w:rPr>
        <w:t>Visual direction: Use a real file-preview pattern with DICOM, STL and image labels. Do not use generic folder icons as the dominant visual.</w:t>
      </w:r>
    </w:p>
    <w:p>
      <w:pPr>
        <w:spacing w:before="0" w:after="60" w:line="300" w:lineRule="auto"/>
        <w:jc w:val="left"/>
        <w:keepNext w:val="1"/>
        <w:keepLines w:val="1"/>
      </w:pPr>
      <w:r>
        <w:rPr>
          <w:rFonts w:ascii="Calibri" w:hAnsi="Calibri" w:eastAsia="Calibri"/>
          <w:b w:val="0"/>
          <w:i w:val="0"/>
          <w:color w:val="5F6B7A"/>
          <w:sz w:val="19"/>
        </w:rPr>
        <w:t>Mobile: Use a compact checklist; keep the privacy notice immediately above the CTA.</w:t>
      </w:r>
    </w:p>
    <w:p>
      <w:pPr>
        <w:spacing w:before="0" w:after="140" w:line="300" w:lineRule="auto"/>
        <w:jc w:val="left"/>
        <w:keepLines w:val="1"/>
      </w:pPr>
      <w:r>
        <w:rPr>
          <w:rFonts w:ascii="Calibri" w:hAnsi="Calibri" w:eastAsia="Calibri"/>
          <w:b w:val="0"/>
          <w:i w:val="0"/>
          <w:color w:val="5F6B7A"/>
          <w:sz w:val="19"/>
        </w:rPr>
        <w:t>Implementation: The full requirements page must be workflow-specific. Do not imply one universal upload checklist is sufficient for every case.</w:t>
      </w:r>
    </w:p>
    <w:p>
      <w:pPr>
        <w:spacing w:before="0" w:after="80"/>
        <w:keepNext w:val="1"/>
      </w:pPr>
      <w:r>
        <w:rPr>
          <w:rFonts w:ascii="Calibri" w:hAnsi="Calibri" w:eastAsia="Calibri"/>
          <w:b/>
          <w:color w:val="2E74B5"/>
          <w:sz w:val="19"/>
        </w:rPr>
        <w:t>SECTION 9  /  FINAL ACTION</w:t>
      </w:r>
    </w:p>
    <w:p>
      <w:pPr>
        <w:pStyle w:val="Heading2"/>
        <w:keepNext w:val="1"/>
        <w:keepLines w:val="1"/>
      </w:pPr>
      <w:r>
        <w:t>Ready when the case is.</w:t>
      </w:r>
    </w:p>
    <w:p>
      <w:pPr>
        <w:spacing w:before="0" w:after="100" w:line="300" w:lineRule="auto"/>
        <w:ind w:left="158" w:right="86"/>
        <w:shd w:fill="F4F6F9"/>
        <w:pBdr>
          <w:left w:val="single" w:sz="14" w:space="8" w:color="2E74B5"/>
        </w:pBdr>
        <w:keepLines w:val="1"/>
      </w:pPr>
      <w:r>
        <w:rPr>
          <w:rFonts w:ascii="Calibri" w:hAnsi="Calibri" w:eastAsia="Calibri"/>
          <w:b/>
          <w:color w:val="1F4D78"/>
          <w:sz w:val="21"/>
        </w:rPr>
        <w:t xml:space="preserve">Body: </w:t>
      </w:r>
      <w:r>
        <w:rPr>
          <w:rFonts w:ascii="Calibri" w:hAnsi="Calibri" w:eastAsia="Calibri"/>
          <w:color w:val="162236"/>
          <w:sz w:val="21"/>
        </w:rPr>
        <w:t>Start the case when your records and scope are clear. If the workflow is still being defined, speak with the team first.</w:t>
      </w:r>
    </w:p>
    <w:p>
      <w:pPr>
        <w:spacing w:before="0" w:after="100" w:line="300" w:lineRule="auto"/>
        <w:ind w:left="158" w:right="86"/>
        <w:shd w:fill="F4F6F9"/>
        <w:pBdr>
          <w:left w:val="single" w:sz="14" w:space="8" w:color="2E74B5"/>
        </w:pBdr>
        <w:keepLines w:val="1"/>
      </w:pPr>
      <w:r>
        <w:rPr>
          <w:rFonts w:ascii="Calibri" w:hAnsi="Calibri" w:eastAsia="Calibri"/>
          <w:b/>
          <w:color w:val="1F4D78"/>
          <w:sz w:val="21"/>
        </w:rPr>
        <w:t xml:space="preserve">Primary button: </w:t>
      </w:r>
      <w:r>
        <w:rPr>
          <w:rFonts w:ascii="Calibri" w:hAnsi="Calibri" w:eastAsia="Calibri"/>
          <w:color w:val="162236"/>
          <w:sz w:val="21"/>
        </w:rPr>
        <w:t>Start a Case</w:t>
      </w:r>
    </w:p>
    <w:p>
      <w:pPr>
        <w:spacing w:before="0" w:after="100" w:line="300" w:lineRule="auto"/>
        <w:ind w:left="158" w:right="86"/>
        <w:shd w:fill="F4F6F9"/>
        <w:pBdr>
          <w:left w:val="single" w:sz="14" w:space="8" w:color="2E74B5"/>
        </w:pBdr>
        <w:keepLines w:val="1"/>
      </w:pPr>
      <w:r>
        <w:rPr>
          <w:rFonts w:ascii="Calibri" w:hAnsi="Calibri" w:eastAsia="Calibri"/>
          <w:b/>
          <w:color w:val="1F4D78"/>
          <w:sz w:val="21"/>
        </w:rPr>
        <w:t xml:space="preserve">Secondary button: </w:t>
      </w:r>
      <w:r>
        <w:rPr>
          <w:rFonts w:ascii="Calibri" w:hAnsi="Calibri" w:eastAsia="Calibri"/>
          <w:color w:val="162236"/>
          <w:sz w:val="21"/>
        </w:rPr>
        <w:t>Discuss a Complex Case</w:t>
      </w:r>
    </w:p>
    <w:p>
      <w:pPr>
        <w:spacing w:before="0" w:after="100" w:line="300" w:lineRule="auto"/>
        <w:ind w:left="158" w:right="86"/>
        <w:shd w:fill="F4F6F9"/>
        <w:pBdr>
          <w:left w:val="single" w:sz="14" w:space="8" w:color="2E74B5"/>
        </w:pBdr>
        <w:keepLines w:val="1"/>
      </w:pPr>
      <w:r>
        <w:rPr>
          <w:rFonts w:ascii="Calibri" w:hAnsi="Calibri" w:eastAsia="Calibri"/>
          <w:b/>
          <w:color w:val="1F4D78"/>
          <w:sz w:val="21"/>
        </w:rPr>
        <w:t xml:space="preserve">Returning-user link: </w:t>
      </w:r>
      <w:r>
        <w:rPr>
          <w:rFonts w:ascii="Calibri" w:hAnsi="Calibri" w:eastAsia="Calibri"/>
          <w:color w:val="162236"/>
          <w:sz w:val="21"/>
        </w:rPr>
        <w:t>Open the Case Portal</w:t>
      </w:r>
    </w:p>
    <w:p>
      <w:pPr>
        <w:spacing w:before="0" w:after="60" w:line="300" w:lineRule="auto"/>
        <w:jc w:val="left"/>
        <w:keepNext w:val="1"/>
        <w:keepLines w:val="1"/>
      </w:pPr>
      <w:r>
        <w:rPr>
          <w:rFonts w:ascii="Calibri" w:hAnsi="Calibri" w:eastAsia="Calibri"/>
          <w:b w:val="0"/>
          <w:i/>
          <w:color w:val="5F6B7A"/>
          <w:sz w:val="19"/>
        </w:rPr>
        <w:t>Psychological job: Close without pressure. The two routes reflect genuine case readiness.</w:t>
      </w:r>
    </w:p>
    <w:p>
      <w:pPr>
        <w:spacing w:before="0" w:after="60" w:line="300" w:lineRule="auto"/>
        <w:jc w:val="left"/>
        <w:keepNext w:val="1"/>
        <w:keepLines w:val="1"/>
      </w:pPr>
      <w:r>
        <w:rPr>
          <w:rFonts w:ascii="Calibri" w:hAnsi="Calibri" w:eastAsia="Calibri"/>
          <w:b w:val="0"/>
          <w:i w:val="0"/>
          <w:color w:val="5F6B7A"/>
          <w:sz w:val="19"/>
        </w:rPr>
        <w:t>Visual direction: Use generous whitespace and a single de-identified planning image or a quiet ink background. Avoid urgency badges, countdowns or discount language.</w:t>
      </w:r>
    </w:p>
    <w:p>
      <w:pPr>
        <w:spacing w:before="0" w:after="60" w:line="300" w:lineRule="auto"/>
        <w:jc w:val="left"/>
        <w:keepNext w:val="1"/>
        <w:keepLines w:val="1"/>
      </w:pPr>
      <w:r>
        <w:rPr>
          <w:rFonts w:ascii="Calibri" w:hAnsi="Calibri" w:eastAsia="Calibri"/>
          <w:b w:val="0"/>
          <w:i w:val="0"/>
          <w:color w:val="5F6B7A"/>
          <w:sz w:val="19"/>
        </w:rPr>
        <w:t>Mobile: Buttons stack full width; portal link remains directly below.</w:t>
      </w:r>
    </w:p>
    <w:p>
      <w:pPr>
        <w:spacing w:before="0" w:after="140" w:line="300" w:lineRule="auto"/>
        <w:jc w:val="left"/>
        <w:keepLines w:val="1"/>
      </w:pPr>
      <w:r>
        <w:rPr>
          <w:rFonts w:ascii="Calibri" w:hAnsi="Calibri" w:eastAsia="Calibri"/>
          <w:b w:val="0"/>
          <w:i w:val="0"/>
          <w:color w:val="5F6B7A"/>
          <w:sz w:val="19"/>
        </w:rPr>
        <w:t>Implementation: All three routes must be tested on staging with dummy data before the homepage replaces the current live actions.</w:t>
      </w:r>
    </w:p>
    <w:p>
      <w:pPr>
        <w:pStyle w:val="Heading1"/>
        <w:pageBreakBefore w:val="1"/>
        <w:keepNext w:val="1"/>
        <w:keepLines w:val="1"/>
      </w:pPr>
      <w:r>
        <w:t>5. Footer copy and information architecture</w:t>
      </w:r>
    </w:p>
    <w:p>
      <w:pPr>
        <w:spacing w:before="0" w:after="80"/>
        <w:keepNext w:val="1"/>
      </w:pPr>
      <w:r>
        <w:rPr>
          <w:rFonts w:ascii="Calibri" w:hAnsi="Calibri" w:eastAsia="Calibri"/>
          <w:b/>
          <w:color w:val="2E74B5"/>
          <w:sz w:val="19"/>
        </w:rPr>
        <w:t>A QUIET END, NOT A SECOND HOMEPAGE</w:t>
      </w:r>
    </w:p>
    <w:p>
      <w:pPr>
        <w:spacing w:before="0" w:after="100" w:line="300" w:lineRule="auto"/>
        <w:ind w:left="158" w:right="86"/>
        <w:shd w:fill="F4F6F9"/>
        <w:pBdr>
          <w:left w:val="single" w:sz="14" w:space="8" w:color="2E74B5"/>
        </w:pBdr>
        <w:keepLines w:val="1"/>
      </w:pPr>
      <w:r>
        <w:rPr>
          <w:rFonts w:ascii="Calibri" w:hAnsi="Calibri" w:eastAsia="Calibri"/>
          <w:b/>
          <w:color w:val="1F4D78"/>
          <w:sz w:val="21"/>
        </w:rPr>
        <w:t xml:space="preserve">Brand descriptor: </w:t>
      </w:r>
      <w:r>
        <w:rPr>
          <w:rFonts w:ascii="Calibri" w:hAnsi="Calibri" w:eastAsia="Calibri"/>
          <w:color w:val="162236"/>
          <w:sz w:val="21"/>
        </w:rPr>
        <w:t>The Digital Workflow Partner for Guided Implantology</w:t>
      </w:r>
    </w:p>
    <w:p>
      <w:pPr>
        <w:spacing w:before="0" w:after="100" w:line="300" w:lineRule="auto"/>
        <w:ind w:left="158" w:right="86"/>
        <w:shd w:fill="F4F6F9"/>
        <w:pBdr>
          <w:left w:val="single" w:sz="14" w:space="8" w:color="2E74B5"/>
        </w:pBdr>
        <w:keepLines w:val="1"/>
      </w:pPr>
      <w:r>
        <w:rPr>
          <w:rFonts w:ascii="Calibri" w:hAnsi="Calibri" w:eastAsia="Calibri"/>
          <w:b/>
          <w:color w:val="1F4D78"/>
          <w:sz w:val="21"/>
        </w:rPr>
        <w:t xml:space="preserve">Short footer line: </w:t>
      </w:r>
      <w:r>
        <w:rPr>
          <w:rFonts w:ascii="Calibri" w:hAnsi="Calibri" w:eastAsia="Calibri"/>
          <w:color w:val="162236"/>
          <w:sz w:val="21"/>
        </w:rPr>
        <w:t>Digital implant planning, surgical guide workflows and case coordination for dental professionals.</w:t>
      </w:r>
    </w:p>
    <w:tbl>
      <w:tblPr>
        <w:tblW w:type="dxa" w:w="9360"/>
        <w:tblLayout w:type="fixed"/>
        <w:tblLook w:firstColumn="1" w:firstRow="1" w:lastColumn="0" w:lastRow="0" w:noHBand="0" w:noVBand="1" w:val="04A0"/>
        <w:jc w:val="left"/>
        <w:tblInd w:w="120" w:type="dxa"/>
        <w:tblBorders>
          <w:top w:val="single" w:sz="4" w:space="0" w:color="D9E0E8"/>
          <w:left w:val="single" w:sz="4" w:space="0" w:color="D9E0E8"/>
          <w:bottom w:val="single" w:sz="4" w:space="0" w:color="D9E0E8"/>
          <w:right w:val="single" w:sz="4" w:space="0" w:color="D9E0E8"/>
          <w:insideH w:val="single" w:sz="4" w:space="0" w:color="D9E0E8"/>
          <w:insideV w:val="single" w:sz="4" w:space="0" w:color="D9E0E8"/>
        </w:tblBorders>
      </w:tblPr>
      <w:tblGrid>
        <w:gridCol w:w="2520"/>
        <w:gridCol w:w="6840"/>
      </w:tblGrid>
      <w:tr>
        <w:trPr>
          <w:tblHeader w:val="true"/>
        </w:trPr>
        <w:tc>
          <w:tcPr>
            <w:tcW w:type="dxa" w:w="2520"/>
            <w:vAlign w:val="center"/>
            <w:tcMar>
              <w:top w:w="100" w:type="dxa"/>
              <w:start w:w="120" w:type="dxa"/>
              <w:bottom w:w="100" w:type="dxa"/>
              <w:end w:w="120" w:type="dxa"/>
            </w:tcMar>
            <w:shd w:fill="E8EEF5"/>
          </w:tcPr>
          <w:p>
            <w:pPr>
              <w:spacing w:before="0" w:after="0" w:line="276" w:lineRule="auto"/>
            </w:pPr>
            <w:r>
              <w:rPr>
                <w:rFonts w:ascii="Calibri" w:hAnsi="Calibri" w:eastAsia="Calibri"/>
                <w:b/>
                <w:color w:val="1F4D78"/>
                <w:sz w:val="19"/>
              </w:rPr>
              <w:t>Column</w:t>
            </w:r>
          </w:p>
        </w:tc>
        <w:tc>
          <w:tcPr>
            <w:tcW w:type="dxa" w:w="6840"/>
            <w:vAlign w:val="center"/>
            <w:tcMar>
              <w:top w:w="100" w:type="dxa"/>
              <w:start w:w="120" w:type="dxa"/>
              <w:bottom w:w="100" w:type="dxa"/>
              <w:end w:w="120" w:type="dxa"/>
            </w:tcMar>
            <w:shd w:fill="E8EEF5"/>
          </w:tcPr>
          <w:p>
            <w:pPr>
              <w:spacing w:before="0" w:after="0" w:line="276" w:lineRule="auto"/>
            </w:pPr>
            <w:r>
              <w:rPr>
                <w:rFonts w:ascii="Calibri" w:hAnsi="Calibri" w:eastAsia="Calibri"/>
                <w:b/>
                <w:color w:val="1F4D78"/>
                <w:sz w:val="19"/>
              </w:rPr>
              <w:t>Links</w:t>
            </w:r>
          </w:p>
        </w:tc>
      </w:tr>
      <w:tr>
        <w:tc>
          <w:tcPr>
            <w:tcW w:type="dxa" w:w="2520"/>
            <w:vAlign w:val="center"/>
            <w:tcMar>
              <w:top w:w="100" w:type="dxa"/>
              <w:start w:w="120" w:type="dxa"/>
              <w:bottom w:w="100" w:type="dxa"/>
              <w:end w:w="120" w:type="dxa"/>
            </w:tcMar>
          </w:tcPr>
          <w:p>
            <w:pPr>
              <w:spacing w:before="0" w:after="0" w:line="276" w:lineRule="auto"/>
            </w:pPr>
            <w:r>
              <w:rPr>
                <w:rFonts w:ascii="Calibri" w:hAnsi="Calibri" w:eastAsia="Calibri"/>
                <w:color w:val="162236"/>
                <w:sz w:val="19"/>
              </w:rPr>
              <w:t>Clinical workflows</w:t>
            </w:r>
          </w:p>
        </w:tc>
        <w:tc>
          <w:tcPr>
            <w:tcW w:type="dxa" w:w="6840"/>
            <w:vAlign w:val="center"/>
            <w:tcMar>
              <w:top w:w="100" w:type="dxa"/>
              <w:start w:w="120" w:type="dxa"/>
              <w:bottom w:w="100" w:type="dxa"/>
              <w:end w:w="120" w:type="dxa"/>
            </w:tcMar>
          </w:tcPr>
          <w:p>
            <w:pPr>
              <w:spacing w:before="0" w:after="0" w:line="276" w:lineRule="auto"/>
            </w:pPr>
            <w:r>
              <w:rPr>
                <w:rFonts w:ascii="Calibri" w:hAnsi="Calibri" w:eastAsia="Calibri"/>
                <w:color w:val="162236"/>
                <w:sz w:val="19"/>
              </w:rPr>
              <w:t>Guided Implant · Full-Arch Stackable · Zygoma &amp; Pterygoid · Immediate Loading</w:t>
            </w:r>
          </w:p>
        </w:tc>
      </w:tr>
      <w:tr>
        <w:tc>
          <w:tcPr>
            <w:tcW w:type="dxa" w:w="2520"/>
            <w:vAlign w:val="center"/>
            <w:tcMar>
              <w:top w:w="100" w:type="dxa"/>
              <w:start w:w="120" w:type="dxa"/>
              <w:bottom w:w="100" w:type="dxa"/>
              <w:end w:w="120" w:type="dxa"/>
            </w:tcMar>
          </w:tcPr>
          <w:p>
            <w:pPr>
              <w:spacing w:before="0" w:after="0" w:line="276" w:lineRule="auto"/>
            </w:pPr>
            <w:r>
              <w:rPr>
                <w:rFonts w:ascii="Calibri" w:hAnsi="Calibri" w:eastAsia="Calibri"/>
                <w:color w:val="162236"/>
                <w:sz w:val="19"/>
              </w:rPr>
              <w:t>Ways to work</w:t>
            </w:r>
          </w:p>
        </w:tc>
        <w:tc>
          <w:tcPr>
            <w:tcW w:type="dxa" w:w="6840"/>
            <w:vAlign w:val="center"/>
            <w:tcMar>
              <w:top w:w="100" w:type="dxa"/>
              <w:start w:w="120" w:type="dxa"/>
              <w:bottom w:w="100" w:type="dxa"/>
              <w:end w:w="120" w:type="dxa"/>
            </w:tcMar>
          </w:tcPr>
          <w:p>
            <w:pPr>
              <w:spacing w:before="0" w:after="0" w:line="276" w:lineRule="auto"/>
            </w:pPr>
            <w:r>
              <w:rPr>
                <w:rFonts w:ascii="Calibri" w:hAnsi="Calibri" w:eastAsia="Calibri"/>
                <w:color w:val="162236"/>
                <w:sz w:val="19"/>
              </w:rPr>
              <w:t>Design Only · Design to Delivery · White-Label Partnership · Case Portal</w:t>
            </w:r>
          </w:p>
        </w:tc>
      </w:tr>
      <w:tr>
        <w:tc>
          <w:tcPr>
            <w:tcW w:type="dxa" w:w="2520"/>
            <w:vAlign w:val="center"/>
            <w:tcMar>
              <w:top w:w="100" w:type="dxa"/>
              <w:start w:w="120" w:type="dxa"/>
              <w:bottom w:w="100" w:type="dxa"/>
              <w:end w:w="120" w:type="dxa"/>
            </w:tcMar>
          </w:tcPr>
          <w:p>
            <w:pPr>
              <w:spacing w:before="0" w:after="0" w:line="276" w:lineRule="auto"/>
            </w:pPr>
            <w:r>
              <w:rPr>
                <w:rFonts w:ascii="Calibri" w:hAnsi="Calibri" w:eastAsia="Calibri"/>
                <w:color w:val="162236"/>
                <w:sz w:val="19"/>
              </w:rPr>
              <w:t>Case support</w:t>
            </w:r>
          </w:p>
        </w:tc>
        <w:tc>
          <w:tcPr>
            <w:tcW w:type="dxa" w:w="6840"/>
            <w:vAlign w:val="center"/>
            <w:tcMar>
              <w:top w:w="100" w:type="dxa"/>
              <w:start w:w="120" w:type="dxa"/>
              <w:bottom w:w="100" w:type="dxa"/>
              <w:end w:w="120" w:type="dxa"/>
            </w:tcMar>
          </w:tcPr>
          <w:p>
            <w:pPr>
              <w:spacing w:before="0" w:after="0" w:line="276" w:lineRule="auto"/>
            </w:pPr>
            <w:r>
              <w:rPr>
                <w:rFonts w:ascii="Calibri" w:hAnsi="Calibri" w:eastAsia="Calibri"/>
                <w:color w:val="162236"/>
                <w:sz w:val="19"/>
              </w:rPr>
              <w:t>How It Works · Case Requirements · Discuss a Complex Case · Contact</w:t>
            </w:r>
          </w:p>
        </w:tc>
      </w:tr>
      <w:tr>
        <w:tc>
          <w:tcPr>
            <w:tcW w:type="dxa" w:w="2520"/>
            <w:vAlign w:val="center"/>
            <w:tcMar>
              <w:top w:w="100" w:type="dxa"/>
              <w:start w:w="120" w:type="dxa"/>
              <w:bottom w:w="100" w:type="dxa"/>
              <w:end w:w="120" w:type="dxa"/>
            </w:tcMar>
          </w:tcPr>
          <w:p>
            <w:pPr>
              <w:spacing w:before="0" w:after="0" w:line="276" w:lineRule="auto"/>
            </w:pPr>
            <w:r>
              <w:rPr>
                <w:rFonts w:ascii="Calibri" w:hAnsi="Calibri" w:eastAsia="Calibri"/>
                <w:color w:val="162236"/>
                <w:sz w:val="19"/>
              </w:rPr>
              <w:t>Company</w:t>
            </w:r>
          </w:p>
        </w:tc>
        <w:tc>
          <w:tcPr>
            <w:tcW w:type="dxa" w:w="6840"/>
            <w:vAlign w:val="center"/>
            <w:tcMar>
              <w:top w:w="100" w:type="dxa"/>
              <w:start w:w="120" w:type="dxa"/>
              <w:bottom w:w="100" w:type="dxa"/>
              <w:end w:w="120" w:type="dxa"/>
            </w:tcMar>
          </w:tcPr>
          <w:p>
            <w:pPr>
              <w:spacing w:before="0" w:after="0" w:line="276" w:lineRule="auto"/>
            </w:pPr>
            <w:r>
              <w:rPr>
                <w:rFonts w:ascii="Calibri" w:hAnsi="Calibri" w:eastAsia="Calibri"/>
                <w:color w:val="162236"/>
                <w:sz w:val="19"/>
              </w:rPr>
              <w:t>About · Case Workflows · Careers · Privacy · Terms</w:t>
            </w:r>
          </w:p>
        </w:tc>
      </w:tr>
      <w:tr>
        <w:tc>
          <w:tcPr>
            <w:tcW w:type="dxa" w:w="2520"/>
            <w:vAlign w:val="center"/>
            <w:tcMar>
              <w:top w:w="100" w:type="dxa"/>
              <w:start w:w="120" w:type="dxa"/>
              <w:bottom w:w="100" w:type="dxa"/>
              <w:end w:w="120" w:type="dxa"/>
            </w:tcMar>
          </w:tcPr>
          <w:p>
            <w:pPr>
              <w:spacing w:before="0" w:after="0" w:line="276" w:lineRule="auto"/>
            </w:pPr>
            <w:r>
              <w:rPr>
                <w:rFonts w:ascii="Calibri" w:hAnsi="Calibri" w:eastAsia="Calibri"/>
                <w:color w:val="162236"/>
                <w:sz w:val="19"/>
              </w:rPr>
              <w:t>Education</w:t>
            </w:r>
          </w:p>
        </w:tc>
        <w:tc>
          <w:tcPr>
            <w:tcW w:type="dxa" w:w="6840"/>
            <w:vAlign w:val="center"/>
            <w:tcMar>
              <w:top w:w="100" w:type="dxa"/>
              <w:start w:w="120" w:type="dxa"/>
              <w:bottom w:w="100" w:type="dxa"/>
              <w:end w:w="120" w:type="dxa"/>
            </w:tcMar>
          </w:tcPr>
          <w:p>
            <w:pPr>
              <w:spacing w:before="0" w:after="0" w:line="276" w:lineRule="auto"/>
            </w:pPr>
            <w:r>
              <w:rPr>
                <w:rFonts w:ascii="Calibri" w:hAnsi="Calibri" w:eastAsia="Calibri"/>
                <w:color w:val="162236"/>
                <w:sz w:val="19"/>
              </w:rPr>
              <w:t>SurgiGuideExcellence at PaulSudeep.com — external destination</w:t>
            </w:r>
          </w:p>
        </w:tc>
      </w:tr>
    </w:tbl>
    <w:p>
      <w:pPr>
        <w:spacing w:before="0" w:after="80" w:line="300" w:lineRule="auto"/>
        <w:jc w:val="left"/>
      </w:pPr>
      <w:r>
        <w:rPr>
          <w:rFonts w:ascii="Calibri" w:hAnsi="Calibri" w:eastAsia="Calibri"/>
          <w:b w:val="0"/>
          <w:i w:val="0"/>
          <w:color w:val="162236"/>
          <w:sz w:val="22"/>
        </w:rPr>
      </w:r>
    </w:p>
    <w:p>
      <w:pPr>
        <w:spacing w:before="0" w:after="100" w:line="300" w:lineRule="auto"/>
        <w:ind w:left="158" w:right="86"/>
        <w:shd w:fill="F2F4F7"/>
        <w:pBdr>
          <w:left w:val="single" w:sz="14" w:space="8" w:color="5F6B7A"/>
        </w:pBdr>
        <w:keepLines w:val="1"/>
      </w:pPr>
      <w:r>
        <w:rPr>
          <w:rFonts w:ascii="Calibri" w:hAnsi="Calibri" w:eastAsia="Calibri"/>
          <w:b/>
          <w:color w:val="1F4D78"/>
          <w:sz w:val="21"/>
        </w:rPr>
        <w:t xml:space="preserve">Professional-services notice: </w:t>
      </w:r>
      <w:r>
        <w:rPr>
          <w:rFonts w:ascii="Calibri" w:hAnsi="Calibri" w:eastAsia="Calibri"/>
          <w:color w:val="162236"/>
          <w:sz w:val="21"/>
        </w:rPr>
        <w:t>Image3DConversion works with dental professionals and authorised workflow partners. Patients should consult their treating dentist.</w:t>
      </w:r>
    </w:p>
    <w:p>
      <w:pPr>
        <w:spacing w:before="0" w:after="120" w:line="300" w:lineRule="auto"/>
        <w:jc w:val="left"/>
      </w:pPr>
      <w:r>
        <w:rPr>
          <w:rFonts w:ascii="Calibri" w:hAnsi="Calibri" w:eastAsia="Calibri"/>
          <w:b w:val="0"/>
          <w:i w:val="0"/>
          <w:color w:val="5F6B7A"/>
          <w:sz w:val="20"/>
        </w:rPr>
        <w:t>Company address, email, telephone, legal entity name, tax details and regional contact routes must be checked against current records before publishing. Do not introduce a Mumbai headquarters claim.</w:t>
      </w:r>
    </w:p>
    <w:p>
      <w:pPr>
        <w:pStyle w:val="Heading2"/>
        <w:keepNext w:val="1"/>
        <w:keepLines w:val="1"/>
      </w:pPr>
      <w:r>
        <w:t>Do not carry into the footer</w:t>
      </w:r>
    </w:p>
    <w:p>
      <w:pPr>
        <w:numPr>
          <w:ilvl w:val="0"/>
          <w:numId w:val="17"/>
        </w:numPr>
        <w:spacing w:before="0" w:after="80" w:line="300" w:lineRule="auto"/>
        <w:keepLines w:val="1"/>
      </w:pPr>
      <w:r>
        <w:rPr>
          <w:rFonts w:ascii="Calibri" w:hAnsi="Calibri" w:eastAsia="Calibri"/>
          <w:color w:val="162236"/>
          <w:sz w:val="22"/>
        </w:rPr>
        <w:t>A newsletter or catalogue gate that interrupts the case journey.</w:t>
      </w:r>
    </w:p>
    <w:p>
      <w:pPr>
        <w:numPr>
          <w:ilvl w:val="0"/>
          <w:numId w:val="17"/>
        </w:numPr>
        <w:spacing w:before="0" w:after="80" w:line="300" w:lineRule="auto"/>
        <w:keepLines w:val="1"/>
      </w:pPr>
      <w:r>
        <w:rPr>
          <w:rFonts w:ascii="Calibri" w:hAnsi="Calibri" w:eastAsia="Calibri"/>
          <w:color w:val="162236"/>
          <w:sz w:val="22"/>
        </w:rPr>
        <w:t>Workshops as a main Image3DConversion service.</w:t>
      </w:r>
    </w:p>
    <w:p>
      <w:pPr>
        <w:numPr>
          <w:ilvl w:val="0"/>
          <w:numId w:val="17"/>
        </w:numPr>
        <w:spacing w:before="0" w:after="80" w:line="300" w:lineRule="auto"/>
        <w:keepLines w:val="1"/>
      </w:pPr>
      <w:r>
        <w:rPr>
          <w:rFonts w:ascii="Calibri" w:hAnsi="Calibri" w:eastAsia="Calibri"/>
          <w:color w:val="162236"/>
          <w:sz w:val="22"/>
        </w:rPr>
        <w:t>Every legacy blog category.</w:t>
      </w:r>
    </w:p>
    <w:p>
      <w:pPr>
        <w:numPr>
          <w:ilvl w:val="0"/>
          <w:numId w:val="17"/>
        </w:numPr>
        <w:spacing w:before="0" w:after="80" w:line="300" w:lineRule="auto"/>
        <w:keepLines w:val="1"/>
      </w:pPr>
      <w:r>
        <w:rPr>
          <w:rFonts w:ascii="Calibri" w:hAnsi="Calibri" w:eastAsia="Calibri"/>
          <w:color w:val="162236"/>
          <w:sz w:val="22"/>
        </w:rPr>
        <w:t>Social icons with inactive or unmanaged destinations.</w:t>
      </w:r>
    </w:p>
    <w:p>
      <w:pPr>
        <w:numPr>
          <w:ilvl w:val="0"/>
          <w:numId w:val="17"/>
        </w:numPr>
        <w:spacing w:before="0" w:after="80" w:line="300" w:lineRule="auto"/>
        <w:keepLines w:val="1"/>
      </w:pPr>
      <w:r>
        <w:rPr>
          <w:rFonts w:ascii="Calibri" w:hAnsi="Calibri" w:eastAsia="Calibri"/>
          <w:color w:val="162236"/>
          <w:sz w:val="22"/>
        </w:rPr>
        <w:t>Unsupported HIPAA, AI, turnaround, accuracy or worldwide-delivery claims.</w:t>
      </w:r>
    </w:p>
    <w:p>
      <w:pPr>
        <w:pStyle w:val="Heading1"/>
        <w:pageBreakBefore w:val="1"/>
        <w:keepNext w:val="1"/>
        <w:keepLines w:val="1"/>
      </w:pPr>
      <w:r>
        <w:t>6. Design psychology and visual system</w:t>
      </w:r>
    </w:p>
    <w:p>
      <w:pPr>
        <w:spacing w:before="0" w:after="80"/>
        <w:keepNext w:val="1"/>
      </w:pPr>
      <w:r>
        <w:rPr>
          <w:rFonts w:ascii="Calibri" w:hAnsi="Calibri" w:eastAsia="Calibri"/>
          <w:b/>
          <w:color w:val="2E74B5"/>
          <w:sz w:val="19"/>
        </w:rPr>
        <w:t>PREMIUM CLINICAL, HUMAN, EVIDENCE-LED</w:t>
      </w:r>
    </w:p>
    <w:tbl>
      <w:tblPr>
        <w:tblW w:type="dxa" w:w="9360"/>
        <w:tblLayout w:type="fixed"/>
        <w:tblLook w:firstColumn="1" w:firstRow="1" w:lastColumn="0" w:lastRow="0" w:noHBand="0" w:noVBand="1" w:val="04A0"/>
        <w:jc w:val="left"/>
        <w:tblInd w:w="120" w:type="dxa"/>
        <w:tblBorders>
          <w:top w:val="single" w:sz="4" w:space="0" w:color="D9E0E8"/>
          <w:left w:val="single" w:sz="4" w:space="0" w:color="D9E0E8"/>
          <w:bottom w:val="single" w:sz="4" w:space="0" w:color="D9E0E8"/>
          <w:right w:val="single" w:sz="4" w:space="0" w:color="D9E0E8"/>
          <w:insideH w:val="single" w:sz="4" w:space="0" w:color="D9E0E8"/>
          <w:insideV w:val="single" w:sz="4" w:space="0" w:color="D9E0E8"/>
        </w:tblBorders>
      </w:tblPr>
      <w:tblGrid>
        <w:gridCol w:w="1440"/>
        <w:gridCol w:w="2520"/>
        <w:gridCol w:w="3780"/>
        <w:gridCol w:w="1620"/>
      </w:tblGrid>
      <w:tr>
        <w:trPr>
          <w:tblHeader w:val="true"/>
        </w:trPr>
        <w:tc>
          <w:tcPr>
            <w:tcW w:type="dxa" w:w="1440"/>
            <w:vAlign w:val="center"/>
            <w:tcMar>
              <w:top w:w="100" w:type="dxa"/>
              <w:start w:w="120" w:type="dxa"/>
              <w:bottom w:w="100" w:type="dxa"/>
              <w:end w:w="120" w:type="dxa"/>
            </w:tcMar>
            <w:shd w:fill="E8EEF5"/>
          </w:tcPr>
          <w:p>
            <w:pPr>
              <w:spacing w:before="0" w:after="0" w:line="276" w:lineRule="auto"/>
            </w:pPr>
            <w:r>
              <w:rPr>
                <w:rFonts w:ascii="Calibri" w:hAnsi="Calibri" w:eastAsia="Calibri"/>
                <w:b/>
                <w:color w:val="1F4D78"/>
                <w:sz w:val="19"/>
              </w:rPr>
              <w:t>Page stage</w:t>
            </w:r>
          </w:p>
        </w:tc>
        <w:tc>
          <w:tcPr>
            <w:tcW w:type="dxa" w:w="2520"/>
            <w:vAlign w:val="center"/>
            <w:tcMar>
              <w:top w:w="100" w:type="dxa"/>
              <w:start w:w="120" w:type="dxa"/>
              <w:bottom w:w="100" w:type="dxa"/>
              <w:end w:w="120" w:type="dxa"/>
            </w:tcMar>
            <w:shd w:fill="E8EEF5"/>
          </w:tcPr>
          <w:p>
            <w:pPr>
              <w:spacing w:before="0" w:after="0" w:line="276" w:lineRule="auto"/>
            </w:pPr>
            <w:r>
              <w:rPr>
                <w:rFonts w:ascii="Calibri" w:hAnsi="Calibri" w:eastAsia="Calibri"/>
                <w:b/>
                <w:color w:val="1F4D78"/>
                <w:sz w:val="19"/>
              </w:rPr>
              <w:t>Visitor state</w:t>
            </w:r>
          </w:p>
        </w:tc>
        <w:tc>
          <w:tcPr>
            <w:tcW w:type="dxa" w:w="3780"/>
            <w:vAlign w:val="center"/>
            <w:tcMar>
              <w:top w:w="100" w:type="dxa"/>
              <w:start w:w="120" w:type="dxa"/>
              <w:bottom w:w="100" w:type="dxa"/>
              <w:end w:w="120" w:type="dxa"/>
            </w:tcMar>
            <w:shd w:fill="E8EEF5"/>
          </w:tcPr>
          <w:p>
            <w:pPr>
              <w:spacing w:before="0" w:after="0" w:line="276" w:lineRule="auto"/>
            </w:pPr>
            <w:r>
              <w:rPr>
                <w:rFonts w:ascii="Calibri" w:hAnsi="Calibri" w:eastAsia="Calibri"/>
                <w:b/>
                <w:color w:val="1F4D78"/>
                <w:sz w:val="19"/>
              </w:rPr>
              <w:t>Design response</w:t>
            </w:r>
          </w:p>
        </w:tc>
        <w:tc>
          <w:tcPr>
            <w:tcW w:type="dxa" w:w="1620"/>
            <w:vAlign w:val="center"/>
            <w:tcMar>
              <w:top w:w="100" w:type="dxa"/>
              <w:start w:w="120" w:type="dxa"/>
              <w:bottom w:w="100" w:type="dxa"/>
              <w:end w:w="120" w:type="dxa"/>
            </w:tcMar>
            <w:shd w:fill="E8EEF5"/>
          </w:tcPr>
          <w:p>
            <w:pPr>
              <w:spacing w:before="0" w:after="0" w:line="276" w:lineRule="auto"/>
            </w:pPr>
            <w:r>
              <w:rPr>
                <w:rFonts w:ascii="Calibri" w:hAnsi="Calibri" w:eastAsia="Calibri"/>
                <w:b/>
                <w:color w:val="1F4D78"/>
                <w:sz w:val="19"/>
              </w:rPr>
              <w:t>Desired action</w:t>
            </w:r>
          </w:p>
        </w:tc>
      </w:tr>
      <w:tr>
        <w:tc>
          <w:tcPr>
            <w:tcW w:type="dxa" w:w="144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Hero</w:t>
            </w:r>
          </w:p>
        </w:tc>
        <w:tc>
          <w:tcPr>
            <w:tcW w:type="dxa" w:w="252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What is this?</w:t>
            </w:r>
          </w:p>
        </w:tc>
        <w:tc>
          <w:tcPr>
            <w:tcW w:type="dxa" w:w="378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One claim, one real workflow image, two routes</w:t>
            </w:r>
          </w:p>
        </w:tc>
        <w:tc>
          <w:tcPr>
            <w:tcW w:type="dxa" w:w="162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Stay and self-identify</w:t>
            </w:r>
          </w:p>
        </w:tc>
      </w:tr>
      <w:tr>
        <w:tc>
          <w:tcPr>
            <w:tcW w:type="dxa" w:w="144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Workflow cards</w:t>
            </w:r>
          </w:p>
        </w:tc>
        <w:tc>
          <w:tcPr>
            <w:tcW w:type="dxa" w:w="252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Is my case here?</w:t>
            </w:r>
          </w:p>
        </w:tc>
        <w:tc>
          <w:tcPr>
            <w:tcW w:type="dxa" w:w="378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Four case-led choices</w:t>
            </w:r>
          </w:p>
        </w:tc>
        <w:tc>
          <w:tcPr>
            <w:tcW w:type="dxa" w:w="162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Choose a workflow</w:t>
            </w:r>
          </w:p>
        </w:tc>
      </w:tr>
      <w:tr>
        <w:tc>
          <w:tcPr>
            <w:tcW w:type="dxa" w:w="144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Guide explanation</w:t>
            </w:r>
          </w:p>
        </w:tc>
        <w:tc>
          <w:tcPr>
            <w:tcW w:type="dxa" w:w="252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Why this team?</w:t>
            </w:r>
          </w:p>
        </w:tc>
        <w:tc>
          <w:tcPr>
            <w:tcW w:type="dxa" w:w="378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Show dependencies before production</w:t>
            </w:r>
          </w:p>
        </w:tc>
        <w:tc>
          <w:tcPr>
            <w:tcW w:type="dxa" w:w="162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Understand the difference</w:t>
            </w:r>
          </w:p>
        </w:tc>
      </w:tr>
      <w:tr>
        <w:tc>
          <w:tcPr>
            <w:tcW w:type="dxa" w:w="144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Five steps</w:t>
            </w:r>
          </w:p>
        </w:tc>
        <w:tc>
          <w:tcPr>
            <w:tcW w:type="dxa" w:w="252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What happens next?</w:t>
            </w:r>
          </w:p>
        </w:tc>
        <w:tc>
          <w:tcPr>
            <w:tcW w:type="dxa" w:w="378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Visible status sequence</w:t>
            </w:r>
          </w:p>
        </w:tc>
        <w:tc>
          <w:tcPr>
            <w:tcW w:type="dxa" w:w="162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Accept the process</w:t>
            </w:r>
          </w:p>
        </w:tc>
      </w:tr>
      <w:tr>
        <w:tc>
          <w:tcPr>
            <w:tcW w:type="dxa" w:w="144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Support modes</w:t>
            </w:r>
          </w:p>
        </w:tc>
        <w:tc>
          <w:tcPr>
            <w:tcW w:type="dxa" w:w="252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How much help?</w:t>
            </w:r>
          </w:p>
        </w:tc>
        <w:tc>
          <w:tcPr>
            <w:tcW w:type="dxa" w:w="378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Three scope choices</w:t>
            </w:r>
          </w:p>
        </w:tc>
        <w:tc>
          <w:tcPr>
            <w:tcW w:type="dxa" w:w="162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Choose autonomy</w:t>
            </w:r>
          </w:p>
        </w:tc>
      </w:tr>
      <w:tr>
        <w:tc>
          <w:tcPr>
            <w:tcW w:type="dxa" w:w="144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Complex case</w:t>
            </w:r>
          </w:p>
        </w:tc>
        <w:tc>
          <w:tcPr>
            <w:tcW w:type="dxa" w:w="252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Can they handle depth?</w:t>
            </w:r>
          </w:p>
        </w:tc>
        <w:tc>
          <w:tcPr>
            <w:tcW w:type="dxa" w:w="378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One connected sequence</w:t>
            </w:r>
          </w:p>
        </w:tc>
        <w:tc>
          <w:tcPr>
            <w:tcW w:type="dxa" w:w="162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Trust specialist capability</w:t>
            </w:r>
          </w:p>
        </w:tc>
      </w:tr>
      <w:tr>
        <w:tc>
          <w:tcPr>
            <w:tcW w:type="dxa" w:w="144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Evidence</w:t>
            </w:r>
          </w:p>
        </w:tc>
        <w:tc>
          <w:tcPr>
            <w:tcW w:type="dxa" w:w="252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Can I verify it?</w:t>
            </w:r>
          </w:p>
        </w:tc>
        <w:tc>
          <w:tcPr>
            <w:tcW w:type="dxa" w:w="378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Real case logic and approvals</w:t>
            </w:r>
          </w:p>
        </w:tc>
        <w:tc>
          <w:tcPr>
            <w:tcW w:type="dxa" w:w="162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Inspect proof</w:t>
            </w:r>
          </w:p>
        </w:tc>
      </w:tr>
      <w:tr>
        <w:tc>
          <w:tcPr>
            <w:tcW w:type="dxa" w:w="144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Requirements</w:t>
            </w:r>
          </w:p>
        </w:tc>
        <w:tc>
          <w:tcPr>
            <w:tcW w:type="dxa" w:w="252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Am I ready?</w:t>
            </w:r>
          </w:p>
        </w:tc>
        <w:tc>
          <w:tcPr>
            <w:tcW w:type="dxa" w:w="378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Concrete file preview</w:t>
            </w:r>
          </w:p>
        </w:tc>
        <w:tc>
          <w:tcPr>
            <w:tcW w:type="dxa" w:w="162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Prepare or submit</w:t>
            </w:r>
          </w:p>
        </w:tc>
      </w:tr>
      <w:tr>
        <w:tc>
          <w:tcPr>
            <w:tcW w:type="dxa" w:w="144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Final action</w:t>
            </w:r>
          </w:p>
        </w:tc>
        <w:tc>
          <w:tcPr>
            <w:tcW w:type="dxa" w:w="252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What now?</w:t>
            </w:r>
          </w:p>
        </w:tc>
        <w:tc>
          <w:tcPr>
            <w:tcW w:type="dxa" w:w="378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Repeat only the two valid routes</w:t>
            </w:r>
          </w:p>
        </w:tc>
        <w:tc>
          <w:tcPr>
            <w:tcW w:type="dxa" w:w="162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Start or discuss</w:t>
            </w:r>
          </w:p>
        </w:tc>
      </w:tr>
    </w:tbl>
    <w:p>
      <w:pPr>
        <w:spacing w:before="0" w:after="80" w:line="300" w:lineRule="auto"/>
        <w:jc w:val="left"/>
      </w:pPr>
      <w:r>
        <w:rPr>
          <w:rFonts w:ascii="Calibri" w:hAnsi="Calibri" w:eastAsia="Calibri"/>
          <w:b w:val="0"/>
          <w:i w:val="0"/>
          <w:color w:val="162236"/>
          <w:sz w:val="22"/>
        </w:rPr>
      </w:r>
    </w:p>
    <w:p>
      <w:pPr>
        <w:pStyle w:val="Heading2"/>
        <w:keepNext w:val="1"/>
        <w:keepLines w:val="1"/>
      </w:pPr>
      <w:r>
        <w:t>Recommended interface system</w:t>
      </w:r>
    </w:p>
    <w:p>
      <w:pPr>
        <w:numPr>
          <w:ilvl w:val="0"/>
          <w:numId w:val="18"/>
        </w:numPr>
        <w:spacing w:before="0" w:after="80" w:line="300" w:lineRule="auto"/>
        <w:keepLines w:val="1"/>
      </w:pPr>
      <w:r>
        <w:rPr>
          <w:rFonts w:ascii="Calibri" w:hAnsi="Calibri" w:eastAsia="Calibri"/>
          <w:b/>
          <w:color w:val="162236"/>
          <w:sz w:val="22"/>
        </w:rPr>
        <w:t xml:space="preserve">Layout — </w:t>
      </w:r>
      <w:r>
        <w:rPr>
          <w:rFonts w:ascii="Calibri" w:hAnsi="Calibri" w:eastAsia="Calibri"/>
          <w:color w:val="162236"/>
          <w:sz w:val="22"/>
        </w:rPr>
        <w:t>12-column desktop grid; 1,200–1,280 px content maximum; 88–112 px section spacing on desktop and 56–72 px on mobile.</w:t>
      </w:r>
    </w:p>
    <w:p>
      <w:pPr>
        <w:numPr>
          <w:ilvl w:val="0"/>
          <w:numId w:val="18"/>
        </w:numPr>
        <w:spacing w:before="0" w:after="80" w:line="300" w:lineRule="auto"/>
        <w:keepLines w:val="1"/>
      </w:pPr>
      <w:r>
        <w:rPr>
          <w:rFonts w:ascii="Calibri" w:hAnsi="Calibri" w:eastAsia="Calibri"/>
          <w:b/>
          <w:color w:val="162236"/>
          <w:sz w:val="22"/>
        </w:rPr>
        <w:t xml:space="preserve">Typography — </w:t>
      </w:r>
      <w:r>
        <w:rPr>
          <w:rFonts w:ascii="Calibri" w:hAnsi="Calibri" w:eastAsia="Calibri"/>
          <w:color w:val="162236"/>
          <w:sz w:val="22"/>
        </w:rPr>
        <w:t>Bricolage Grotesque 600 for display headings and Lato 400/700 for body and interface text. Use one display voice, not several.</w:t>
      </w:r>
    </w:p>
    <w:p>
      <w:pPr>
        <w:numPr>
          <w:ilvl w:val="0"/>
          <w:numId w:val="18"/>
        </w:numPr>
        <w:spacing w:before="0" w:after="80" w:line="300" w:lineRule="auto"/>
        <w:keepLines w:val="1"/>
      </w:pPr>
      <w:r>
        <w:rPr>
          <w:rFonts w:ascii="Calibri" w:hAnsi="Calibri" w:eastAsia="Calibri"/>
          <w:b/>
          <w:color w:val="162236"/>
          <w:sz w:val="22"/>
        </w:rPr>
        <w:t xml:space="preserve">Type scale — </w:t>
      </w:r>
      <w:r>
        <w:rPr>
          <w:rFonts w:ascii="Calibri" w:hAnsi="Calibri" w:eastAsia="Calibri"/>
          <w:color w:val="162236"/>
          <w:sz w:val="22"/>
        </w:rPr>
        <w:t>H1 approximately 56–64 px desktop and 38–42 px mobile; body 18 px desktop and 17 px mobile; 1.5–1.65 line height.</w:t>
      </w:r>
    </w:p>
    <w:p>
      <w:pPr>
        <w:numPr>
          <w:ilvl w:val="0"/>
          <w:numId w:val="18"/>
        </w:numPr>
        <w:spacing w:before="0" w:after="80" w:line="300" w:lineRule="auto"/>
        <w:keepLines w:val="1"/>
      </w:pPr>
      <w:r>
        <w:rPr>
          <w:rFonts w:ascii="Calibri" w:hAnsi="Calibri" w:eastAsia="Calibri"/>
          <w:b/>
          <w:color w:val="162236"/>
          <w:sz w:val="22"/>
        </w:rPr>
        <w:t xml:space="preserve">Buttons — </w:t>
      </w:r>
      <w:r>
        <w:rPr>
          <w:rFonts w:ascii="Calibri" w:hAnsi="Calibri" w:eastAsia="Calibri"/>
          <w:color w:val="162236"/>
          <w:sz w:val="22"/>
        </w:rPr>
        <w:t>Minimum 48 px high; concrete labels; primary solid blue, secondary outlined, utility as text.</w:t>
      </w:r>
    </w:p>
    <w:p>
      <w:pPr>
        <w:numPr>
          <w:ilvl w:val="0"/>
          <w:numId w:val="18"/>
        </w:numPr>
        <w:spacing w:before="0" w:after="80" w:line="300" w:lineRule="auto"/>
        <w:keepLines w:val="1"/>
      </w:pPr>
      <w:r>
        <w:rPr>
          <w:rFonts w:ascii="Calibri" w:hAnsi="Calibri" w:eastAsia="Calibri"/>
          <w:b/>
          <w:color w:val="162236"/>
          <w:sz w:val="22"/>
        </w:rPr>
        <w:t xml:space="preserve">Cards — </w:t>
      </w:r>
      <w:r>
        <w:rPr>
          <w:rFonts w:ascii="Calibri" w:hAnsi="Calibri" w:eastAsia="Calibri"/>
          <w:color w:val="162236"/>
          <w:sz w:val="22"/>
        </w:rPr>
        <w:t>Large images, short labels and visible descriptions. Avoid small icon grids that make every workflow look interchangeable.</w:t>
      </w:r>
    </w:p>
    <w:p>
      <w:pPr>
        <w:numPr>
          <w:ilvl w:val="0"/>
          <w:numId w:val="18"/>
        </w:numPr>
        <w:spacing w:before="0" w:after="80" w:line="300" w:lineRule="auto"/>
        <w:keepLines w:val="1"/>
      </w:pPr>
      <w:r>
        <w:rPr>
          <w:rFonts w:ascii="Calibri" w:hAnsi="Calibri" w:eastAsia="Calibri"/>
          <w:b/>
          <w:color w:val="162236"/>
          <w:sz w:val="22"/>
        </w:rPr>
        <w:t xml:space="preserve">Rhythm — </w:t>
      </w:r>
      <w:r>
        <w:rPr>
          <w:rFonts w:ascii="Calibri" w:hAnsi="Calibri" w:eastAsia="Calibri"/>
          <w:color w:val="162236"/>
          <w:sz w:val="22"/>
        </w:rPr>
        <w:t>White remains the dominant field. Use very light tints derived from the master blue for section separation and, at most, one full-blue band for controlled contrast.</w:t>
      </w:r>
    </w:p>
    <w:p>
      <w:pPr>
        <w:numPr>
          <w:ilvl w:val="0"/>
          <w:numId w:val="18"/>
        </w:numPr>
        <w:spacing w:before="0" w:after="80" w:line="300" w:lineRule="auto"/>
        <w:keepLines w:val="1"/>
      </w:pPr>
      <w:r>
        <w:rPr>
          <w:rFonts w:ascii="Calibri" w:hAnsi="Calibri" w:eastAsia="Calibri"/>
          <w:b/>
          <w:color w:val="162236"/>
          <w:sz w:val="22"/>
        </w:rPr>
        <w:t xml:space="preserve">Motion — </w:t>
      </w:r>
      <w:r>
        <w:rPr>
          <w:rFonts w:ascii="Calibri" w:hAnsi="Calibri" w:eastAsia="Calibri"/>
          <w:color w:val="162236"/>
          <w:sz w:val="22"/>
        </w:rPr>
        <w:t>Subtle reveal or layer transitions only when they explain sequence. Respect reduced-motion settings.</w:t>
      </w:r>
    </w:p>
    <w:p>
      <w:pPr>
        <w:pStyle w:val="Heading2"/>
        <w:keepNext w:val="1"/>
        <w:keepLines w:val="1"/>
      </w:pPr>
      <w:r>
        <w:t>Founder-approved two-colour system</w:t>
      </w:r>
    </w:p>
    <w:tbl>
      <w:tblPr>
        <w:tblW w:type="dxa" w:w="9360"/>
        <w:tblLayout w:type="fixed"/>
        <w:tblLook w:firstColumn="1" w:firstRow="1" w:lastColumn="0" w:lastRow="0" w:noHBand="0" w:noVBand="1" w:val="04A0"/>
        <w:jc w:val="left"/>
        <w:tblInd w:w="120" w:type="dxa"/>
        <w:tblBorders>
          <w:top w:val="single" w:sz="4" w:space="0" w:color="D9E0E8"/>
          <w:left w:val="single" w:sz="4" w:space="0" w:color="D9E0E8"/>
          <w:bottom w:val="single" w:sz="4" w:space="0" w:color="D9E0E8"/>
          <w:right w:val="single" w:sz="4" w:space="0" w:color="D9E0E8"/>
          <w:insideH w:val="single" w:sz="4" w:space="0" w:color="D9E0E8"/>
          <w:insideV w:val="single" w:sz="4" w:space="0" w:color="D9E0E8"/>
        </w:tblBorders>
      </w:tblPr>
      <w:tblGrid>
        <w:gridCol w:w="2200"/>
        <w:gridCol w:w="3200"/>
        <w:gridCol w:w="3960"/>
      </w:tblGrid>
      <w:tr>
        <w:trPr>
          <w:tblHeader w:val="true"/>
        </w:trPr>
        <w:tc>
          <w:tcPr>
            <w:tcW w:type="dxa" w:w="2200"/>
            <w:vAlign w:val="center"/>
            <w:tcMar>
              <w:top w:w="100" w:type="dxa"/>
              <w:start w:w="120" w:type="dxa"/>
              <w:bottom w:w="100" w:type="dxa"/>
              <w:end w:w="120" w:type="dxa"/>
            </w:tcMar>
            <w:shd w:fill="E8EEF5"/>
          </w:tcPr>
          <w:p>
            <w:pPr>
              <w:spacing w:before="0" w:after="0" w:line="276" w:lineRule="auto"/>
            </w:pPr>
            <w:r>
              <w:rPr>
                <w:rFonts w:ascii="Calibri" w:hAnsi="Calibri" w:eastAsia="Calibri"/>
                <w:b/>
                <w:color w:val="1F4D78"/>
                <w:sz w:val="19"/>
              </w:rPr>
              <w:t>Role</w:t>
            </w:r>
          </w:p>
        </w:tc>
        <w:tc>
          <w:tcPr>
            <w:tcW w:type="dxa" w:w="3200"/>
            <w:vAlign w:val="center"/>
            <w:tcMar>
              <w:top w:w="100" w:type="dxa"/>
              <w:start w:w="120" w:type="dxa"/>
              <w:bottom w:w="100" w:type="dxa"/>
              <w:end w:w="120" w:type="dxa"/>
            </w:tcMar>
            <w:shd w:fill="E8EEF5"/>
          </w:tcPr>
          <w:p>
            <w:pPr>
              <w:spacing w:before="0" w:after="0" w:line="276" w:lineRule="auto"/>
            </w:pPr>
            <w:r>
              <w:rPr>
                <w:rFonts w:ascii="Calibri" w:hAnsi="Calibri" w:eastAsia="Calibri"/>
                <w:b/>
                <w:color w:val="1F4D78"/>
                <w:sz w:val="19"/>
              </w:rPr>
              <w:t>Production rule</w:t>
            </w:r>
          </w:p>
        </w:tc>
        <w:tc>
          <w:tcPr>
            <w:tcW w:type="dxa" w:w="3960"/>
            <w:vAlign w:val="center"/>
            <w:tcMar>
              <w:top w:w="100" w:type="dxa"/>
              <w:start w:w="120" w:type="dxa"/>
              <w:bottom w:w="100" w:type="dxa"/>
              <w:end w:w="120" w:type="dxa"/>
            </w:tcMar>
            <w:shd w:fill="E8EEF5"/>
          </w:tcPr>
          <w:p>
            <w:pPr>
              <w:spacing w:before="0" w:after="0" w:line="276" w:lineRule="auto"/>
            </w:pPr>
            <w:r>
              <w:rPr>
                <w:rFonts w:ascii="Calibri" w:hAnsi="Calibri" w:eastAsia="Calibri"/>
                <w:b/>
                <w:color w:val="1F4D78"/>
                <w:sz w:val="19"/>
              </w:rPr>
              <w:t>Use</w:t>
            </w:r>
          </w:p>
        </w:tc>
      </w:tr>
      <w:tr>
        <w:tc>
          <w:tcPr>
            <w:tcW w:type="dxa" w:w="220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Image3DConversion Blue</w:t>
            </w:r>
          </w:p>
        </w:tc>
        <w:tc>
          <w:tcPr>
            <w:tcW w:type="dxa" w:w="320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Extract exact HEX from the approved master logo</w:t>
            </w:r>
          </w:p>
        </w:tc>
        <w:tc>
          <w:tcPr>
            <w:tcW w:type="dxa" w:w="396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Primary CTA, links, headings, branded active state</w:t>
            </w:r>
          </w:p>
        </w:tc>
      </w:tr>
      <w:tr>
        <w:tc>
          <w:tcPr>
            <w:tcW w:type="dxa" w:w="220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White</w:t>
            </w:r>
          </w:p>
        </w:tc>
        <w:tc>
          <w:tcPr>
            <w:tcW w:type="dxa" w:w="320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#FFFFFF</w:t>
            </w:r>
          </w:p>
        </w:tc>
        <w:tc>
          <w:tcPr>
            <w:tcW w:type="dxa" w:w="396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Dominant page background, cards and negative space</w:t>
            </w:r>
          </w:p>
        </w:tc>
      </w:tr>
      <w:tr>
        <w:tc>
          <w:tcPr>
            <w:tcW w:type="dxa" w:w="220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Deep blue value</w:t>
            </w:r>
          </w:p>
        </w:tc>
        <w:tc>
          <w:tcPr>
            <w:tcW w:type="dxa" w:w="320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Derive from the same master blue</w:t>
            </w:r>
          </w:p>
        </w:tc>
        <w:tc>
          <w:tcPr>
            <w:tcW w:type="dxa" w:w="396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Accessible body text and limited high-contrast typography</w:t>
            </w:r>
          </w:p>
        </w:tc>
      </w:tr>
      <w:tr>
        <w:tc>
          <w:tcPr>
            <w:tcW w:type="dxa" w:w="220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Pale blue tint</w:t>
            </w:r>
          </w:p>
        </w:tc>
        <w:tc>
          <w:tcPr>
            <w:tcW w:type="dxa" w:w="320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Derive from the same master blue</w:t>
            </w:r>
          </w:p>
        </w:tc>
        <w:tc>
          <w:tcPr>
            <w:tcW w:type="dxa" w:w="396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Section separation, evidence cards and quiet interface fields</w:t>
            </w:r>
          </w:p>
        </w:tc>
      </w:tr>
      <w:tr>
        <w:tc>
          <w:tcPr>
            <w:tcW w:type="dxa" w:w="220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Functional status colours</w:t>
            </w:r>
          </w:p>
        </w:tc>
        <w:tc>
          <w:tcPr>
            <w:tcW w:type="dxa" w:w="320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Portal semantics only</w:t>
            </w:r>
          </w:p>
        </w:tc>
        <w:tc>
          <w:tcPr>
            <w:tcW w:type="dxa" w:w="396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Green, amber and red only for success, caution and error</w:t>
            </w:r>
          </w:p>
        </w:tc>
      </w:tr>
    </w:tbl>
    <w:p>
      <w:pPr>
        <w:spacing w:before="0" w:after="80" w:line="300" w:lineRule="auto"/>
        <w:jc w:val="left"/>
      </w:pPr>
      <w:r>
        <w:rPr>
          <w:rFonts w:ascii="Calibri" w:hAnsi="Calibri" w:eastAsia="Calibri"/>
          <w:b w:val="0"/>
          <w:i w:val="0"/>
          <w:color w:val="162236"/>
          <w:sz w:val="22"/>
        </w:rPr>
      </w:r>
    </w:p>
    <w:p>
      <w:pPr>
        <w:spacing w:before="0" w:after="120" w:line="300" w:lineRule="auto"/>
        <w:jc w:val="left"/>
      </w:pPr>
      <w:r>
        <w:rPr>
          <w:rFonts w:ascii="Calibri" w:hAnsi="Calibri" w:eastAsia="Calibri"/>
          <w:b w:val="0"/>
          <w:i w:val="0"/>
          <w:color w:val="5F6B7A"/>
          <w:sz w:val="20"/>
        </w:rPr>
        <w:t>Locked decision: the website and Case Portal have no decorative third brand colour. Lime, neon cyan, gold, purple and unrelated accent colours are excluded. #2E74B5 may remain in wireframes only until the original vector/logo asset is supplied; it is not the production approval.</w:t>
      </w:r>
    </w:p>
    <w:p>
      <w:pPr>
        <w:pStyle w:val="Heading2"/>
        <w:keepNext w:val="1"/>
        <w:keepLines w:val="1"/>
      </w:pPr>
      <w:r>
        <w:t>Image psychology</w:t>
      </w:r>
    </w:p>
    <w:p>
      <w:pPr>
        <w:numPr>
          <w:ilvl w:val="0"/>
          <w:numId w:val="19"/>
        </w:numPr>
        <w:spacing w:before="0" w:after="80" w:line="300" w:lineRule="auto"/>
        <w:keepLines w:val="1"/>
      </w:pPr>
      <w:r>
        <w:rPr>
          <w:rFonts w:ascii="Calibri" w:hAnsi="Calibri" w:eastAsia="Calibri"/>
          <w:color w:val="162236"/>
          <w:sz w:val="22"/>
        </w:rPr>
        <w:t>Show the work a dentist recognises: anatomy, prosthetic reference, implant plan, guide geometry, provisional and production sequence.</w:t>
      </w:r>
    </w:p>
    <w:p>
      <w:pPr>
        <w:numPr>
          <w:ilvl w:val="0"/>
          <w:numId w:val="19"/>
        </w:numPr>
        <w:spacing w:before="0" w:after="80" w:line="300" w:lineRule="auto"/>
        <w:keepLines w:val="1"/>
      </w:pPr>
      <w:r>
        <w:rPr>
          <w:rFonts w:ascii="Calibri" w:hAnsi="Calibri" w:eastAsia="Calibri"/>
          <w:color w:val="162236"/>
          <w:sz w:val="22"/>
        </w:rPr>
        <w:t>Use one case consistently across a section instead of stitching together unrelated screenshots.</w:t>
      </w:r>
    </w:p>
    <w:p>
      <w:pPr>
        <w:numPr>
          <w:ilvl w:val="0"/>
          <w:numId w:val="19"/>
        </w:numPr>
        <w:spacing w:before="0" w:after="80" w:line="300" w:lineRule="auto"/>
        <w:keepLines w:val="1"/>
      </w:pPr>
      <w:r>
        <w:rPr>
          <w:rFonts w:ascii="Calibri" w:hAnsi="Calibri" w:eastAsia="Calibri"/>
          <w:color w:val="162236"/>
          <w:sz w:val="22"/>
        </w:rPr>
        <w:t>Caption the decision shown, not the software brand alone.</w:t>
      </w:r>
    </w:p>
    <w:p>
      <w:pPr>
        <w:numPr>
          <w:ilvl w:val="0"/>
          <w:numId w:val="19"/>
        </w:numPr>
        <w:spacing w:before="0" w:after="80" w:line="300" w:lineRule="auto"/>
        <w:keepLines w:val="1"/>
      </w:pPr>
      <w:r>
        <w:rPr>
          <w:rFonts w:ascii="Calibri" w:hAnsi="Calibri" w:eastAsia="Calibri"/>
          <w:color w:val="162236"/>
          <w:sz w:val="22"/>
        </w:rPr>
        <w:t>De-identify every screen and image. Remove patient names, IDs, dates of birth, scan metadata and portal identifiers.</w:t>
      </w:r>
    </w:p>
    <w:p>
      <w:pPr>
        <w:numPr>
          <w:ilvl w:val="0"/>
          <w:numId w:val="19"/>
        </w:numPr>
        <w:spacing w:before="0" w:after="80" w:line="300" w:lineRule="auto"/>
        <w:keepLines w:val="1"/>
      </w:pPr>
      <w:r>
        <w:rPr>
          <w:rFonts w:ascii="Calibri" w:hAnsi="Calibri" w:eastAsia="Calibri"/>
          <w:color w:val="162236"/>
          <w:sz w:val="22"/>
        </w:rPr>
        <w:t>Do not use generative imagery to represent a real clinical case, a real guide or a real patient outcome.</w:t>
      </w:r>
    </w:p>
    <w:p>
      <w:pPr>
        <w:numPr>
          <w:ilvl w:val="0"/>
          <w:numId w:val="19"/>
        </w:numPr>
        <w:spacing w:before="0" w:after="80" w:line="300" w:lineRule="auto"/>
        <w:keepLines w:val="1"/>
      </w:pPr>
      <w:r>
        <w:rPr>
          <w:rFonts w:ascii="Calibri" w:hAnsi="Calibri" w:eastAsia="Calibri"/>
          <w:color w:val="162236"/>
          <w:sz w:val="22"/>
        </w:rPr>
        <w:t>People photography is secondary: team review, case coordination and production quality are more useful than posed group portraits.</w:t>
      </w:r>
    </w:p>
    <w:p>
      <w:pPr>
        <w:pStyle w:val="Heading1"/>
        <w:pageBreakBefore w:val="1"/>
        <w:keepNext w:val="1"/>
        <w:keepLines w:val="1"/>
      </w:pPr>
      <w:r>
        <w:t>7. Asset shot list and alt-text direction</w:t>
      </w:r>
    </w:p>
    <w:p>
      <w:pPr>
        <w:spacing w:before="0" w:after="80"/>
        <w:keepNext w:val="1"/>
      </w:pPr>
      <w:r>
        <w:rPr>
          <w:rFonts w:ascii="Calibri" w:hAnsi="Calibri" w:eastAsia="Calibri"/>
          <w:b/>
          <w:color w:val="2E74B5"/>
          <w:sz w:val="19"/>
        </w:rPr>
        <w:t>REAL ASSETS LEAD THE DESIGN</w:t>
      </w:r>
    </w:p>
    <w:tbl>
      <w:tblPr>
        <w:tblW w:type="dxa" w:w="9360"/>
        <w:tblLayout w:type="fixed"/>
        <w:tblLook w:firstColumn="1" w:firstRow="1" w:lastColumn="0" w:lastRow="0" w:noHBand="0" w:noVBand="1" w:val="04A0"/>
        <w:jc w:val="left"/>
        <w:tblInd w:w="120" w:type="dxa"/>
        <w:tblBorders>
          <w:top w:val="single" w:sz="4" w:space="0" w:color="D9E0E8"/>
          <w:left w:val="single" w:sz="4" w:space="0" w:color="D9E0E8"/>
          <w:bottom w:val="single" w:sz="4" w:space="0" w:color="D9E0E8"/>
          <w:right w:val="single" w:sz="4" w:space="0" w:color="D9E0E8"/>
          <w:insideH w:val="single" w:sz="4" w:space="0" w:color="D9E0E8"/>
          <w:insideV w:val="single" w:sz="4" w:space="0" w:color="D9E0E8"/>
        </w:tblBorders>
      </w:tblPr>
      <w:tblGrid>
        <w:gridCol w:w="1440"/>
        <w:gridCol w:w="3780"/>
        <w:gridCol w:w="4140"/>
      </w:tblGrid>
      <w:tr>
        <w:trPr>
          <w:tblHeader w:val="true"/>
        </w:trPr>
        <w:tc>
          <w:tcPr>
            <w:tcW w:type="dxa" w:w="1440"/>
            <w:vAlign w:val="center"/>
            <w:tcMar>
              <w:top w:w="100" w:type="dxa"/>
              <w:start w:w="120" w:type="dxa"/>
              <w:bottom w:w="100" w:type="dxa"/>
              <w:end w:w="120" w:type="dxa"/>
            </w:tcMar>
            <w:shd w:fill="E8EEF5"/>
          </w:tcPr>
          <w:p>
            <w:pPr>
              <w:spacing w:before="0" w:after="0" w:line="276" w:lineRule="auto"/>
            </w:pPr>
            <w:r>
              <w:rPr>
                <w:rFonts w:ascii="Calibri" w:hAnsi="Calibri" w:eastAsia="Calibri"/>
                <w:b/>
                <w:color w:val="1F4D78"/>
                <w:sz w:val="19"/>
              </w:rPr>
              <w:t>Asset</w:t>
            </w:r>
          </w:p>
        </w:tc>
        <w:tc>
          <w:tcPr>
            <w:tcW w:type="dxa" w:w="3780"/>
            <w:vAlign w:val="center"/>
            <w:tcMar>
              <w:top w:w="100" w:type="dxa"/>
              <w:start w:w="120" w:type="dxa"/>
              <w:bottom w:w="100" w:type="dxa"/>
              <w:end w:w="120" w:type="dxa"/>
            </w:tcMar>
            <w:shd w:fill="E8EEF5"/>
          </w:tcPr>
          <w:p>
            <w:pPr>
              <w:spacing w:before="0" w:after="0" w:line="276" w:lineRule="auto"/>
            </w:pPr>
            <w:r>
              <w:rPr>
                <w:rFonts w:ascii="Calibri" w:hAnsi="Calibri" w:eastAsia="Calibri"/>
                <w:b/>
                <w:color w:val="1F4D78"/>
                <w:sz w:val="19"/>
              </w:rPr>
              <w:t>Required visual</w:t>
            </w:r>
          </w:p>
        </w:tc>
        <w:tc>
          <w:tcPr>
            <w:tcW w:type="dxa" w:w="4140"/>
            <w:vAlign w:val="center"/>
            <w:tcMar>
              <w:top w:w="100" w:type="dxa"/>
              <w:start w:w="120" w:type="dxa"/>
              <w:bottom w:w="100" w:type="dxa"/>
              <w:end w:w="120" w:type="dxa"/>
            </w:tcMar>
            <w:shd w:fill="E8EEF5"/>
          </w:tcPr>
          <w:p>
            <w:pPr>
              <w:spacing w:before="0" w:after="0" w:line="276" w:lineRule="auto"/>
            </w:pPr>
            <w:r>
              <w:rPr>
                <w:rFonts w:ascii="Calibri" w:hAnsi="Calibri" w:eastAsia="Calibri"/>
                <w:b/>
                <w:color w:val="1F4D78"/>
                <w:sz w:val="19"/>
              </w:rPr>
              <w:t>Recommended alt-text direction</w:t>
            </w:r>
          </w:p>
        </w:tc>
      </w:tr>
      <w:tr>
        <w:tc>
          <w:tcPr>
            <w:tcW w:type="dxa" w:w="144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Hero</w:t>
            </w:r>
          </w:p>
        </w:tc>
        <w:tc>
          <w:tcPr>
            <w:tcW w:type="dxa" w:w="378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Restoration, implant plan and surgical guide from one de-identified case</w:t>
            </w:r>
          </w:p>
        </w:tc>
        <w:tc>
          <w:tcPr>
            <w:tcW w:type="dxa" w:w="414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Restoration-led dental implant plan aligned with a surgical guide workflow.</w:t>
            </w:r>
          </w:p>
        </w:tc>
      </w:tr>
      <w:tr>
        <w:tc>
          <w:tcPr>
            <w:tcW w:type="dxa" w:w="144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Guided card</w:t>
            </w:r>
          </w:p>
        </w:tc>
        <w:tc>
          <w:tcPr>
            <w:tcW w:type="dxa" w:w="378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Single or multiple implant planning view</w:t>
            </w:r>
          </w:p>
        </w:tc>
        <w:tc>
          <w:tcPr>
            <w:tcW w:type="dxa" w:w="414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Digital implant plan for a guided single-to-multiple implant case.</w:t>
            </w:r>
          </w:p>
        </w:tc>
      </w:tr>
      <w:tr>
        <w:tc>
          <w:tcPr>
            <w:tcW w:type="dxa" w:w="144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Full-arch card</w:t>
            </w:r>
          </w:p>
        </w:tc>
        <w:tc>
          <w:tcPr>
            <w:tcW w:type="dxa" w:w="378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Stackable guide components shown in sequence</w:t>
            </w:r>
          </w:p>
        </w:tc>
        <w:tc>
          <w:tcPr>
            <w:tcW w:type="dxa" w:w="414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Full-arch guide sequence for reduction, implant placement and prosthetic pickup.</w:t>
            </w:r>
          </w:p>
        </w:tc>
      </w:tr>
      <w:tr>
        <w:tc>
          <w:tcPr>
            <w:tcW w:type="dxa" w:w="144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Zygoma card</w:t>
            </w:r>
          </w:p>
        </w:tc>
        <w:tc>
          <w:tcPr>
            <w:tcW w:type="dxa" w:w="378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Anatomy and trajectory view with prosthetic reference</w:t>
            </w:r>
          </w:p>
        </w:tc>
        <w:tc>
          <w:tcPr>
            <w:tcW w:type="dxa" w:w="414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Zygomatic and pterygoid trajectories reviewed against a prosthetic plan.</w:t>
            </w:r>
          </w:p>
        </w:tc>
      </w:tr>
      <w:tr>
        <w:tc>
          <w:tcPr>
            <w:tcW w:type="dxa" w:w="144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Immediate-loading card</w:t>
            </w:r>
          </w:p>
        </w:tc>
        <w:tc>
          <w:tcPr>
            <w:tcW w:type="dxa" w:w="378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Plan, guide and provisional reference</w:t>
            </w:r>
          </w:p>
        </w:tc>
        <w:tc>
          <w:tcPr>
            <w:tcW w:type="dxa" w:w="414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Immediate-loading workflow aligning implant plan, guide and provisional reference.</w:t>
            </w:r>
          </w:p>
        </w:tc>
      </w:tr>
      <w:tr>
        <w:tc>
          <w:tcPr>
            <w:tcW w:type="dxa" w:w="144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Five-step section</w:t>
            </w:r>
          </w:p>
        </w:tc>
        <w:tc>
          <w:tcPr>
            <w:tcW w:type="dxa" w:w="378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Portal status examples with no patient identifiers</w:t>
            </w:r>
          </w:p>
        </w:tc>
        <w:tc>
          <w:tcPr>
            <w:tcW w:type="dxa" w:w="414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Use contextual alt text per screenshot; decorative status shapes use empty alt.</w:t>
            </w:r>
          </w:p>
        </w:tc>
      </w:tr>
      <w:tr>
        <w:tc>
          <w:tcPr>
            <w:tcW w:type="dxa" w:w="144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Complex-case section</w:t>
            </w:r>
          </w:p>
        </w:tc>
        <w:tc>
          <w:tcPr>
            <w:tcW w:type="dxa" w:w="378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One five-stage full-arch case sequence</w:t>
            </w:r>
          </w:p>
        </w:tc>
        <w:tc>
          <w:tcPr>
            <w:tcW w:type="dxa" w:w="414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Describe the specific stage and dependency visible in each frame.</w:t>
            </w:r>
          </w:p>
        </w:tc>
      </w:tr>
      <w:tr>
        <w:tc>
          <w:tcPr>
            <w:tcW w:type="dxa" w:w="144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Evidence section</w:t>
            </w:r>
          </w:p>
        </w:tc>
        <w:tc>
          <w:tcPr>
            <w:tcW w:type="dxa" w:w="378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Approved case evidence with captions</w:t>
            </w:r>
          </w:p>
        </w:tc>
        <w:tc>
          <w:tcPr>
            <w:tcW w:type="dxa" w:w="414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State the workflow and the exact planning or delivery view shown.</w:t>
            </w:r>
          </w:p>
        </w:tc>
      </w:tr>
    </w:tbl>
    <w:p>
      <w:pPr>
        <w:spacing w:before="0" w:after="80" w:line="300" w:lineRule="auto"/>
        <w:jc w:val="left"/>
      </w:pPr>
      <w:r>
        <w:rPr>
          <w:rFonts w:ascii="Calibri" w:hAnsi="Calibri" w:eastAsia="Calibri"/>
          <w:b w:val="0"/>
          <w:i w:val="0"/>
          <w:color w:val="162236"/>
          <w:sz w:val="22"/>
        </w:rPr>
      </w:r>
    </w:p>
    <w:p>
      <w:pPr>
        <w:spacing w:before="60" w:after="180" w:line="300" w:lineRule="auto"/>
        <w:ind w:left="173" w:right="115"/>
        <w:shd w:fill="F4F6F9"/>
        <w:pBdr>
          <w:left w:val="single" w:sz="18" w:space="8" w:color="1F4D78"/>
        </w:pBdr>
        <w:keepLines w:val="1"/>
      </w:pPr>
      <w:r>
        <w:rPr>
          <w:rFonts w:ascii="Calibri" w:hAnsi="Calibri" w:eastAsia="Calibri"/>
          <w:b/>
          <w:color w:val="1F4D78"/>
          <w:sz w:val="19"/>
        </w:rPr>
        <w:t xml:space="preserve">ALT-TEXT RULE  </w:t>
      </w:r>
      <w:r>
        <w:rPr>
          <w:rFonts w:ascii="Calibri" w:hAnsi="Calibri" w:eastAsia="Calibri"/>
          <w:b w:val="0"/>
          <w:color w:val="162236"/>
          <w:sz w:val="22"/>
        </w:rPr>
        <w:t>Alt text must match the final image. These lines are direction, not automatic copy. Do not stuff implant-planning keywords into every image description.</w:t>
      </w:r>
    </w:p>
    <w:p>
      <w:pPr>
        <w:pStyle w:val="Heading2"/>
        <w:keepNext w:val="1"/>
        <w:keepLines w:val="1"/>
      </w:pPr>
      <w:r>
        <w:t>File and crop standards</w:t>
      </w:r>
    </w:p>
    <w:p>
      <w:pPr>
        <w:numPr>
          <w:ilvl w:val="0"/>
          <w:numId w:val="20"/>
        </w:numPr>
        <w:spacing w:before="0" w:after="80" w:line="300" w:lineRule="auto"/>
        <w:keepLines w:val="1"/>
      </w:pPr>
      <w:r>
        <w:rPr>
          <w:rFonts w:ascii="Calibri" w:hAnsi="Calibri" w:eastAsia="Calibri"/>
          <w:color w:val="162236"/>
          <w:sz w:val="22"/>
        </w:rPr>
        <w:t>Hero master at least 2,400 px wide; provide AVIF/WebP and fallback formats.</w:t>
      </w:r>
    </w:p>
    <w:p>
      <w:pPr>
        <w:numPr>
          <w:ilvl w:val="0"/>
          <w:numId w:val="20"/>
        </w:numPr>
        <w:spacing w:before="0" w:after="80" w:line="300" w:lineRule="auto"/>
        <w:keepLines w:val="1"/>
      </w:pPr>
      <w:r>
        <w:rPr>
          <w:rFonts w:ascii="Calibri" w:hAnsi="Calibri" w:eastAsia="Calibri"/>
          <w:color w:val="162236"/>
          <w:sz w:val="22"/>
        </w:rPr>
        <w:t>Case-card masters at consistent 4:3 or 16:10 aspect ratio.</w:t>
      </w:r>
    </w:p>
    <w:p>
      <w:pPr>
        <w:numPr>
          <w:ilvl w:val="0"/>
          <w:numId w:val="20"/>
        </w:numPr>
        <w:spacing w:before="0" w:after="80" w:line="300" w:lineRule="auto"/>
        <w:keepLines w:val="1"/>
      </w:pPr>
      <w:r>
        <w:rPr>
          <w:rFonts w:ascii="Calibri" w:hAnsi="Calibri" w:eastAsia="Calibri"/>
          <w:color w:val="162236"/>
          <w:sz w:val="22"/>
        </w:rPr>
        <w:t>Keep critical anatomy, plan labels and guide details inside a mobile-safe central crop.</w:t>
      </w:r>
    </w:p>
    <w:p>
      <w:pPr>
        <w:numPr>
          <w:ilvl w:val="0"/>
          <w:numId w:val="20"/>
        </w:numPr>
        <w:spacing w:before="0" w:after="80" w:line="300" w:lineRule="auto"/>
        <w:keepLines w:val="1"/>
      </w:pPr>
      <w:r>
        <w:rPr>
          <w:rFonts w:ascii="Calibri" w:hAnsi="Calibri" w:eastAsia="Calibri"/>
          <w:color w:val="162236"/>
          <w:sz w:val="22"/>
        </w:rPr>
        <w:t>Never place essential explanatory text only inside the image.</w:t>
      </w:r>
    </w:p>
    <w:p>
      <w:pPr>
        <w:numPr>
          <w:ilvl w:val="0"/>
          <w:numId w:val="20"/>
        </w:numPr>
        <w:spacing w:before="0" w:after="80" w:line="300" w:lineRule="auto"/>
        <w:keepLines w:val="1"/>
      </w:pPr>
      <w:r>
        <w:rPr>
          <w:rFonts w:ascii="Calibri" w:hAnsi="Calibri" w:eastAsia="Calibri"/>
          <w:color w:val="162236"/>
          <w:sz w:val="22"/>
        </w:rPr>
        <w:t>Record asset owner, consent/permission status, de-identification review and review date.</w:t>
      </w:r>
    </w:p>
    <w:p>
      <w:pPr>
        <w:pStyle w:val="Heading1"/>
        <w:pageBreakBefore w:val="1"/>
        <w:keepNext w:val="1"/>
        <w:keepLines w:val="1"/>
      </w:pPr>
      <w:r>
        <w:t>8. Mobile, accessibility and interaction</w:t>
      </w:r>
    </w:p>
    <w:p>
      <w:pPr>
        <w:spacing w:before="0" w:after="80"/>
        <w:keepNext w:val="1"/>
      </w:pPr>
      <w:r>
        <w:rPr>
          <w:rFonts w:ascii="Calibri" w:hAnsi="Calibri" w:eastAsia="Calibri"/>
          <w:b/>
          <w:color w:val="2E74B5"/>
          <w:sz w:val="19"/>
        </w:rPr>
        <w:t>THE MOBILE PAGE IS THE PAGE</w:t>
      </w:r>
    </w:p>
    <w:p>
      <w:pPr>
        <w:pStyle w:val="Heading2"/>
        <w:keepNext w:val="1"/>
        <w:keepLines w:val="1"/>
      </w:pPr>
      <w:r>
        <w:t>Mobile reading order</w:t>
      </w:r>
    </w:p>
    <w:p>
      <w:pPr>
        <w:numPr>
          <w:ilvl w:val="0"/>
          <w:numId w:val="21"/>
        </w:numPr>
        <w:spacing w:before="0" w:after="100" w:line="300" w:lineRule="auto"/>
        <w:keepLines w:val="1"/>
      </w:pPr>
      <w:r>
        <w:rPr>
          <w:rFonts w:ascii="Calibri" w:hAnsi="Calibri" w:eastAsia="Calibri"/>
          <w:b/>
          <w:color w:val="162236"/>
          <w:sz w:val="22"/>
        </w:rPr>
        <w:t xml:space="preserve">Hero copy and Start a Case. </w:t>
      </w:r>
      <w:r>
        <w:rPr>
          <w:rFonts w:ascii="Calibri" w:hAnsi="Calibri" w:eastAsia="Calibri"/>
          <w:color w:val="162236"/>
          <w:sz w:val="22"/>
        </w:rPr>
        <w:t>The visual follows the text; the returning-user portal link remains visible.</w:t>
      </w:r>
    </w:p>
    <w:p>
      <w:pPr>
        <w:numPr>
          <w:ilvl w:val="0"/>
          <w:numId w:val="21"/>
        </w:numPr>
        <w:spacing w:before="0" w:after="100" w:line="300" w:lineRule="auto"/>
        <w:keepLines w:val="1"/>
      </w:pPr>
      <w:r>
        <w:rPr>
          <w:rFonts w:ascii="Calibri" w:hAnsi="Calibri" w:eastAsia="Calibri"/>
          <w:b/>
          <w:color w:val="162236"/>
          <w:sz w:val="22"/>
        </w:rPr>
        <w:t xml:space="preserve">Four workflow cards. </w:t>
      </w:r>
      <w:r>
        <w:rPr>
          <w:rFonts w:ascii="Calibri" w:hAnsi="Calibri" w:eastAsia="Calibri"/>
          <w:color w:val="162236"/>
          <w:sz w:val="22"/>
        </w:rPr>
        <w:t>Single column; all descriptions and links visible.</w:t>
      </w:r>
    </w:p>
    <w:p>
      <w:pPr>
        <w:numPr>
          <w:ilvl w:val="0"/>
          <w:numId w:val="21"/>
        </w:numPr>
        <w:spacing w:before="0" w:after="100" w:line="300" w:lineRule="auto"/>
        <w:keepLines w:val="1"/>
      </w:pPr>
      <w:r>
        <w:rPr>
          <w:rFonts w:ascii="Calibri" w:hAnsi="Calibri" w:eastAsia="Calibri"/>
          <w:b/>
          <w:color w:val="162236"/>
          <w:sz w:val="22"/>
        </w:rPr>
        <w:t xml:space="preserve">Workflow explanation. </w:t>
      </w:r>
      <w:r>
        <w:rPr>
          <w:rFonts w:ascii="Calibri" w:hAnsi="Calibri" w:eastAsia="Calibri"/>
          <w:color w:val="162236"/>
          <w:sz w:val="22"/>
        </w:rPr>
        <w:t>Five layers in a compact vertical sequence.</w:t>
      </w:r>
    </w:p>
    <w:p>
      <w:pPr>
        <w:numPr>
          <w:ilvl w:val="0"/>
          <w:numId w:val="21"/>
        </w:numPr>
        <w:spacing w:before="0" w:after="100" w:line="300" w:lineRule="auto"/>
        <w:keepLines w:val="1"/>
      </w:pPr>
      <w:r>
        <w:rPr>
          <w:rFonts w:ascii="Calibri" w:hAnsi="Calibri" w:eastAsia="Calibri"/>
          <w:b/>
          <w:color w:val="162236"/>
          <w:sz w:val="22"/>
        </w:rPr>
        <w:t xml:space="preserve">Five case steps. </w:t>
      </w:r>
      <w:r>
        <w:rPr>
          <w:rFonts w:ascii="Calibri" w:hAnsi="Calibri" w:eastAsia="Calibri"/>
          <w:color w:val="162236"/>
          <w:sz w:val="22"/>
        </w:rPr>
        <w:t>No horizontal timeline that requires zooming.</w:t>
      </w:r>
    </w:p>
    <w:p>
      <w:pPr>
        <w:numPr>
          <w:ilvl w:val="0"/>
          <w:numId w:val="21"/>
        </w:numPr>
        <w:spacing w:before="0" w:after="100" w:line="300" w:lineRule="auto"/>
        <w:keepLines w:val="1"/>
      </w:pPr>
      <w:r>
        <w:rPr>
          <w:rFonts w:ascii="Calibri" w:hAnsi="Calibri" w:eastAsia="Calibri"/>
          <w:b/>
          <w:color w:val="162236"/>
          <w:sz w:val="22"/>
        </w:rPr>
        <w:t xml:space="preserve">Support modes. </w:t>
      </w:r>
      <w:r>
        <w:rPr>
          <w:rFonts w:ascii="Calibri" w:hAnsi="Calibri" w:eastAsia="Calibri"/>
          <w:color w:val="162236"/>
          <w:sz w:val="22"/>
        </w:rPr>
        <w:t>Three stacked choices with specific CTA labels.</w:t>
      </w:r>
    </w:p>
    <w:p>
      <w:pPr>
        <w:numPr>
          <w:ilvl w:val="0"/>
          <w:numId w:val="21"/>
        </w:numPr>
        <w:spacing w:before="0" w:after="100" w:line="300" w:lineRule="auto"/>
        <w:keepLines w:val="1"/>
      </w:pPr>
      <w:r>
        <w:rPr>
          <w:rFonts w:ascii="Calibri" w:hAnsi="Calibri" w:eastAsia="Calibri"/>
          <w:b/>
          <w:color w:val="162236"/>
          <w:sz w:val="22"/>
        </w:rPr>
        <w:t xml:space="preserve">Complex case and evidence. </w:t>
      </w:r>
      <w:r>
        <w:rPr>
          <w:rFonts w:ascii="Calibri" w:hAnsi="Calibri" w:eastAsia="Calibri"/>
          <w:color w:val="162236"/>
          <w:sz w:val="22"/>
        </w:rPr>
        <w:t>One sequence and one manually controlled case at a time.</w:t>
      </w:r>
    </w:p>
    <w:p>
      <w:pPr>
        <w:numPr>
          <w:ilvl w:val="0"/>
          <w:numId w:val="21"/>
        </w:numPr>
        <w:spacing w:before="0" w:after="100" w:line="300" w:lineRule="auto"/>
        <w:keepLines w:val="1"/>
      </w:pPr>
      <w:r>
        <w:rPr>
          <w:rFonts w:ascii="Calibri" w:hAnsi="Calibri" w:eastAsia="Calibri"/>
          <w:b/>
          <w:color w:val="162236"/>
          <w:sz w:val="22"/>
        </w:rPr>
        <w:t xml:space="preserve">Requirements and privacy notice. </w:t>
      </w:r>
      <w:r>
        <w:rPr>
          <w:rFonts w:ascii="Calibri" w:hAnsi="Calibri" w:eastAsia="Calibri"/>
          <w:color w:val="162236"/>
          <w:sz w:val="22"/>
        </w:rPr>
        <w:t>The patient-data warning appears before the action.</w:t>
      </w:r>
    </w:p>
    <w:p>
      <w:pPr>
        <w:numPr>
          <w:ilvl w:val="0"/>
          <w:numId w:val="21"/>
        </w:numPr>
        <w:spacing w:before="0" w:after="100" w:line="300" w:lineRule="auto"/>
        <w:keepLines w:val="1"/>
      </w:pPr>
      <w:r>
        <w:rPr>
          <w:rFonts w:ascii="Calibri" w:hAnsi="Calibri" w:eastAsia="Calibri"/>
          <w:b/>
          <w:color w:val="162236"/>
          <w:sz w:val="22"/>
        </w:rPr>
        <w:t xml:space="preserve">Final action. </w:t>
      </w:r>
      <w:r>
        <w:rPr>
          <w:rFonts w:ascii="Calibri" w:hAnsi="Calibri" w:eastAsia="Calibri"/>
          <w:color w:val="162236"/>
          <w:sz w:val="22"/>
        </w:rPr>
        <w:t>Buttons stack and remain at least 48 px high.</w:t>
      </w:r>
    </w:p>
    <w:p>
      <w:pPr>
        <w:pStyle w:val="Heading2"/>
        <w:keepNext w:val="1"/>
        <w:keepLines w:val="1"/>
      </w:pPr>
      <w:r>
        <w:t>Accessibility requirements</w:t>
      </w:r>
    </w:p>
    <w:p>
      <w:pPr>
        <w:numPr>
          <w:ilvl w:val="0"/>
          <w:numId w:val="22"/>
        </w:numPr>
        <w:spacing w:before="0" w:after="80" w:line="300" w:lineRule="auto"/>
        <w:keepLines w:val="1"/>
      </w:pPr>
      <w:r>
        <w:rPr>
          <w:rFonts w:ascii="Calibri" w:hAnsi="Calibri" w:eastAsia="Calibri"/>
          <w:color w:val="162236"/>
          <w:sz w:val="22"/>
        </w:rPr>
        <w:t>Maintain WCAG AA colour contrast for body text, buttons, links and focus states.</w:t>
      </w:r>
    </w:p>
    <w:p>
      <w:pPr>
        <w:numPr>
          <w:ilvl w:val="0"/>
          <w:numId w:val="22"/>
        </w:numPr>
        <w:spacing w:before="0" w:after="80" w:line="300" w:lineRule="auto"/>
        <w:keepLines w:val="1"/>
      </w:pPr>
      <w:r>
        <w:rPr>
          <w:rFonts w:ascii="Calibri" w:hAnsi="Calibri" w:eastAsia="Calibri"/>
          <w:color w:val="162236"/>
          <w:sz w:val="22"/>
        </w:rPr>
        <w:t>Use one H1 and a logical H2/H3 order; never style a paragraph to look like a heading.</w:t>
      </w:r>
    </w:p>
    <w:p>
      <w:pPr>
        <w:numPr>
          <w:ilvl w:val="0"/>
          <w:numId w:val="22"/>
        </w:numPr>
        <w:spacing w:before="0" w:after="80" w:line="300" w:lineRule="auto"/>
        <w:keepLines w:val="1"/>
      </w:pPr>
      <w:r>
        <w:rPr>
          <w:rFonts w:ascii="Calibri" w:hAnsi="Calibri" w:eastAsia="Calibri"/>
          <w:color w:val="162236"/>
          <w:sz w:val="22"/>
        </w:rPr>
        <w:t>Keep touch targets at least 44 × 44 px and preserve visible keyboard focus.</w:t>
      </w:r>
    </w:p>
    <w:p>
      <w:pPr>
        <w:numPr>
          <w:ilvl w:val="0"/>
          <w:numId w:val="22"/>
        </w:numPr>
        <w:spacing w:before="0" w:after="80" w:line="300" w:lineRule="auto"/>
        <w:keepLines w:val="1"/>
      </w:pPr>
      <w:r>
        <w:rPr>
          <w:rFonts w:ascii="Calibri" w:hAnsi="Calibri" w:eastAsia="Calibri"/>
          <w:color w:val="162236"/>
          <w:sz w:val="22"/>
        </w:rPr>
        <w:t>Every interactive card has a descriptive accessible name; do not use repeated “Learn more” links.</w:t>
      </w:r>
    </w:p>
    <w:p>
      <w:pPr>
        <w:numPr>
          <w:ilvl w:val="0"/>
          <w:numId w:val="22"/>
        </w:numPr>
        <w:spacing w:before="0" w:after="80" w:line="300" w:lineRule="auto"/>
        <w:keepLines w:val="1"/>
      </w:pPr>
      <w:r>
        <w:rPr>
          <w:rFonts w:ascii="Calibri" w:hAnsi="Calibri" w:eastAsia="Calibri"/>
          <w:color w:val="162236"/>
          <w:sz w:val="22"/>
        </w:rPr>
        <w:t>Carousels are manually controlled, pauseable and keyboard accessible. Prefer no carousel when a grid works.</w:t>
      </w:r>
    </w:p>
    <w:p>
      <w:pPr>
        <w:numPr>
          <w:ilvl w:val="0"/>
          <w:numId w:val="22"/>
        </w:numPr>
        <w:spacing w:before="0" w:after="80" w:line="300" w:lineRule="auto"/>
        <w:keepLines w:val="1"/>
      </w:pPr>
      <w:r>
        <w:rPr>
          <w:rFonts w:ascii="Calibri" w:hAnsi="Calibri" w:eastAsia="Calibri"/>
          <w:color w:val="162236"/>
          <w:sz w:val="22"/>
        </w:rPr>
        <w:t>Respect reduced-motion settings and do not require motion to understand the workflow.</w:t>
      </w:r>
    </w:p>
    <w:p>
      <w:pPr>
        <w:numPr>
          <w:ilvl w:val="0"/>
          <w:numId w:val="22"/>
        </w:numPr>
        <w:spacing w:before="0" w:after="80" w:line="300" w:lineRule="auto"/>
        <w:keepLines w:val="1"/>
      </w:pPr>
      <w:r>
        <w:rPr>
          <w:rFonts w:ascii="Calibri" w:hAnsi="Calibri" w:eastAsia="Calibri"/>
          <w:color w:val="162236"/>
          <w:sz w:val="22"/>
        </w:rPr>
        <w:t>Use descriptive form labels and show validation messages next to the affected field.</w:t>
      </w:r>
    </w:p>
    <w:p>
      <w:pPr>
        <w:pStyle w:val="Heading2"/>
        <w:keepNext w:val="1"/>
        <w:keepLines w:val="1"/>
      </w:pPr>
      <w:r>
        <w:t>Sticky mobile action</w:t>
      </w:r>
    </w:p>
    <w:p>
      <w:pPr>
        <w:spacing w:before="0" w:after="120" w:line="300" w:lineRule="auto"/>
        <w:jc w:val="left"/>
      </w:pPr>
      <w:r>
        <w:rPr>
          <w:rFonts w:ascii="Calibri" w:hAnsi="Calibri" w:eastAsia="Calibri"/>
          <w:b w:val="0"/>
          <w:i w:val="0"/>
          <w:color w:val="162236"/>
          <w:sz w:val="22"/>
        </w:rPr>
        <w:t>Recommended: a restrained bottom action with Start a Case and a small Portal link after the visitor scrolls beyond the hero. It must not cover content, obscure form fields or occupy a large portion of the viewport.</w:t>
      </w:r>
    </w:p>
    <w:p>
      <w:pPr>
        <w:pStyle w:val="Heading2"/>
        <w:keepNext w:val="1"/>
        <w:keepLines w:val="1"/>
      </w:pPr>
      <w:r>
        <w:t>Discuss-a-case form boundary</w:t>
      </w:r>
    </w:p>
    <w:p>
      <w:pPr>
        <w:numPr>
          <w:ilvl w:val="0"/>
          <w:numId w:val="23"/>
        </w:numPr>
        <w:spacing w:before="0" w:after="80" w:line="300" w:lineRule="auto"/>
        <w:keepLines w:val="1"/>
      </w:pPr>
      <w:r>
        <w:rPr>
          <w:rFonts w:ascii="Calibri" w:hAnsi="Calibri" w:eastAsia="Calibri"/>
          <w:color w:val="162236"/>
          <w:sz w:val="22"/>
        </w:rPr>
        <w:t>Public fields: name, practice/organisation, professional email, optional phone, country, workflow of interest, preferred contact method and a short non-clinical question.</w:t>
      </w:r>
    </w:p>
    <w:p>
      <w:pPr>
        <w:numPr>
          <w:ilvl w:val="0"/>
          <w:numId w:val="23"/>
        </w:numPr>
        <w:spacing w:before="0" w:after="80" w:line="300" w:lineRule="auto"/>
        <w:keepLines w:val="1"/>
      </w:pPr>
      <w:r>
        <w:rPr>
          <w:rFonts w:ascii="Calibri" w:hAnsi="Calibri" w:eastAsia="Calibri"/>
          <w:color w:val="162236"/>
          <w:sz w:val="22"/>
        </w:rPr>
        <w:t>No file upload control.</w:t>
      </w:r>
    </w:p>
    <w:p>
      <w:pPr>
        <w:numPr>
          <w:ilvl w:val="0"/>
          <w:numId w:val="23"/>
        </w:numPr>
        <w:spacing w:before="0" w:after="80" w:line="300" w:lineRule="auto"/>
        <w:keepLines w:val="1"/>
      </w:pPr>
      <w:r>
        <w:rPr>
          <w:rFonts w:ascii="Calibri" w:hAnsi="Calibri" w:eastAsia="Calibri"/>
          <w:color w:val="162236"/>
          <w:sz w:val="22"/>
        </w:rPr>
        <w:t>Place this instruction above the message field: “Do not include patient-identifying information or clinical files here.”</w:t>
      </w:r>
    </w:p>
    <w:p>
      <w:pPr>
        <w:numPr>
          <w:ilvl w:val="0"/>
          <w:numId w:val="23"/>
        </w:numPr>
        <w:spacing w:before="0" w:after="80" w:line="300" w:lineRule="auto"/>
        <w:keepLines w:val="1"/>
      </w:pPr>
      <w:r>
        <w:rPr>
          <w:rFonts w:ascii="Calibri" w:hAnsi="Calibri" w:eastAsia="Calibri"/>
          <w:color w:val="162236"/>
          <w:sz w:val="22"/>
        </w:rPr>
        <w:t>After submission, direct the user to the Case Portal only when case files are required.</w:t>
      </w:r>
    </w:p>
    <w:p>
      <w:pPr>
        <w:pStyle w:val="Heading1"/>
        <w:keepNext w:val="1"/>
        <w:keepLines w:val="1"/>
      </w:pPr>
      <w:r>
        <w:t>9. Technical SEO and developer handoff</w:t>
      </w:r>
    </w:p>
    <w:p>
      <w:pPr>
        <w:spacing w:before="0" w:after="80"/>
        <w:keepNext w:val="1"/>
      </w:pPr>
      <w:r>
        <w:rPr>
          <w:rFonts w:ascii="Calibri" w:hAnsi="Calibri" w:eastAsia="Calibri"/>
          <w:b/>
          <w:color w:val="2E74B5"/>
          <w:sz w:val="19"/>
        </w:rPr>
        <w:t>CONTENT MUST EXIST IN THE PAGE, NOT ONLY IN THE DESIGN</w:t>
      </w:r>
    </w:p>
    <w:p>
      <w:pPr>
        <w:pStyle w:val="Heading2"/>
        <w:keepNext w:val="1"/>
        <w:keepLines w:val="1"/>
      </w:pPr>
      <w:r>
        <w:t>HTML and indexing controls</w:t>
      </w:r>
    </w:p>
    <w:p>
      <w:pPr>
        <w:numPr>
          <w:ilvl w:val="0"/>
          <w:numId w:val="24"/>
        </w:numPr>
        <w:spacing w:before="0" w:after="80" w:line="300" w:lineRule="auto"/>
        <w:keepLines w:val="1"/>
      </w:pPr>
      <w:r>
        <w:rPr>
          <w:rFonts w:ascii="Calibri" w:hAnsi="Calibri" w:eastAsia="Calibri"/>
          <w:color w:val="162236"/>
          <w:sz w:val="22"/>
        </w:rPr>
        <w:t>Server-render or pre-render the homepage title, description, headings, body copy and internal links.</w:t>
      </w:r>
    </w:p>
    <w:p>
      <w:pPr>
        <w:numPr>
          <w:ilvl w:val="0"/>
          <w:numId w:val="24"/>
        </w:numPr>
        <w:spacing w:before="0" w:after="80" w:line="300" w:lineRule="auto"/>
        <w:keepLines w:val="1"/>
      </w:pPr>
      <w:r>
        <w:rPr>
          <w:rFonts w:ascii="Calibri" w:hAnsi="Calibri" w:eastAsia="Calibri"/>
          <w:color w:val="162236"/>
          <w:sz w:val="22"/>
        </w:rPr>
        <w:t>Use one canonical homepage URL and one redirect policy for protocol, host and trailing-slash variants.</w:t>
      </w:r>
    </w:p>
    <w:p>
      <w:pPr>
        <w:numPr>
          <w:ilvl w:val="0"/>
          <w:numId w:val="24"/>
        </w:numPr>
        <w:spacing w:before="0" w:after="80" w:line="300" w:lineRule="auto"/>
        <w:keepLines w:val="1"/>
      </w:pPr>
      <w:r>
        <w:rPr>
          <w:rFonts w:ascii="Calibri" w:hAnsi="Calibri" w:eastAsia="Calibri"/>
          <w:color w:val="162236"/>
          <w:sz w:val="22"/>
        </w:rPr>
        <w:t>Keep all core mobile content equivalent to desktop content; design may collapse, but copy must not disappear.</w:t>
      </w:r>
    </w:p>
    <w:p>
      <w:pPr>
        <w:numPr>
          <w:ilvl w:val="0"/>
          <w:numId w:val="24"/>
        </w:numPr>
        <w:spacing w:before="0" w:after="80" w:line="300" w:lineRule="auto"/>
        <w:keepLines w:val="1"/>
      </w:pPr>
      <w:r>
        <w:rPr>
          <w:rFonts w:ascii="Calibri" w:hAnsi="Calibri" w:eastAsia="Calibri"/>
          <w:color w:val="162236"/>
          <w:sz w:val="22"/>
        </w:rPr>
        <w:t>Use descriptive, crawlable anchor links rather than JavaScript-only cards.</w:t>
      </w:r>
    </w:p>
    <w:p>
      <w:pPr>
        <w:numPr>
          <w:ilvl w:val="0"/>
          <w:numId w:val="24"/>
        </w:numPr>
        <w:spacing w:before="0" w:after="80" w:line="300" w:lineRule="auto"/>
        <w:keepLines w:val="1"/>
      </w:pPr>
      <w:r>
        <w:rPr>
          <w:rFonts w:ascii="Calibri" w:hAnsi="Calibri" w:eastAsia="Calibri"/>
          <w:color w:val="162236"/>
          <w:sz w:val="22"/>
        </w:rPr>
        <w:t>Add Organisation and WebSite structured data only with verified legal name, logo, URL and contact details.</w:t>
      </w:r>
    </w:p>
    <w:p>
      <w:pPr>
        <w:numPr>
          <w:ilvl w:val="0"/>
          <w:numId w:val="24"/>
        </w:numPr>
        <w:spacing w:before="0" w:after="80" w:line="300" w:lineRule="auto"/>
        <w:keepLines w:val="1"/>
      </w:pPr>
      <w:r>
        <w:rPr>
          <w:rFonts w:ascii="Calibri" w:hAnsi="Calibri" w:eastAsia="Calibri"/>
          <w:color w:val="162236"/>
          <w:sz w:val="22"/>
        </w:rPr>
        <w:t>Keep authenticated portal, case, patient, upload, plan, quotation, payment, file and tracking screens noindex.</w:t>
      </w:r>
    </w:p>
    <w:p>
      <w:pPr>
        <w:numPr>
          <w:ilvl w:val="0"/>
          <w:numId w:val="24"/>
        </w:numPr>
        <w:spacing w:before="0" w:after="80" w:line="300" w:lineRule="auto"/>
        <w:keepLines w:val="1"/>
      </w:pPr>
      <w:r>
        <w:rPr>
          <w:rFonts w:ascii="Calibri" w:hAnsi="Calibri" w:eastAsia="Calibri"/>
          <w:color w:val="162236"/>
          <w:sz w:val="22"/>
        </w:rPr>
        <w:t>Do not expose patient names, case IDs, file URLs, thumbnails or metadata in public HTML, sitemaps or analytics.</w:t>
      </w:r>
    </w:p>
    <w:p>
      <w:pPr>
        <w:pStyle w:val="Heading2"/>
        <w:keepNext w:val="1"/>
        <w:keepLines w:val="1"/>
      </w:pPr>
      <w:r>
        <w:t>Performance controls</w:t>
      </w:r>
    </w:p>
    <w:p>
      <w:pPr>
        <w:numPr>
          <w:ilvl w:val="0"/>
          <w:numId w:val="25"/>
        </w:numPr>
        <w:spacing w:before="0" w:after="80" w:line="300" w:lineRule="auto"/>
        <w:keepLines w:val="1"/>
      </w:pPr>
      <w:r>
        <w:rPr>
          <w:rFonts w:ascii="Calibri" w:hAnsi="Calibri" w:eastAsia="Calibri"/>
          <w:color w:val="162236"/>
          <w:sz w:val="22"/>
        </w:rPr>
        <w:t>Target passing Core Web Vitals at the 75th percentile; do not trade clarity for a decorative animation.</w:t>
      </w:r>
    </w:p>
    <w:p>
      <w:pPr>
        <w:numPr>
          <w:ilvl w:val="0"/>
          <w:numId w:val="25"/>
        </w:numPr>
        <w:spacing w:before="0" w:after="80" w:line="300" w:lineRule="auto"/>
        <w:keepLines w:val="1"/>
      </w:pPr>
      <w:r>
        <w:rPr>
          <w:rFonts w:ascii="Calibri" w:hAnsi="Calibri" w:eastAsia="Calibri"/>
          <w:color w:val="162236"/>
          <w:sz w:val="22"/>
        </w:rPr>
        <w:t>Preload only the true hero asset and primary font files.</w:t>
      </w:r>
    </w:p>
    <w:p>
      <w:pPr>
        <w:numPr>
          <w:ilvl w:val="0"/>
          <w:numId w:val="25"/>
        </w:numPr>
        <w:spacing w:before="0" w:after="80" w:line="300" w:lineRule="auto"/>
        <w:keepLines w:val="1"/>
      </w:pPr>
      <w:r>
        <w:rPr>
          <w:rFonts w:ascii="Calibri" w:hAnsi="Calibri" w:eastAsia="Calibri"/>
          <w:color w:val="162236"/>
          <w:sz w:val="22"/>
        </w:rPr>
        <w:t>Use responsive images with explicit dimensions to prevent layout shift.</w:t>
      </w:r>
    </w:p>
    <w:p>
      <w:pPr>
        <w:numPr>
          <w:ilvl w:val="0"/>
          <w:numId w:val="25"/>
        </w:numPr>
        <w:spacing w:before="0" w:after="80" w:line="300" w:lineRule="auto"/>
        <w:keepLines w:val="1"/>
      </w:pPr>
      <w:r>
        <w:rPr>
          <w:rFonts w:ascii="Calibri" w:hAnsi="Calibri" w:eastAsia="Calibri"/>
          <w:color w:val="162236"/>
          <w:sz w:val="22"/>
        </w:rPr>
        <w:t>Lazy-load below-the-fold evidence images, but do not require a click or swipe for Google to discover primary content.</w:t>
      </w:r>
    </w:p>
    <w:p>
      <w:pPr>
        <w:numPr>
          <w:ilvl w:val="0"/>
          <w:numId w:val="25"/>
        </w:numPr>
        <w:spacing w:before="0" w:after="80" w:line="300" w:lineRule="auto"/>
        <w:keepLines w:val="1"/>
      </w:pPr>
      <w:r>
        <w:rPr>
          <w:rFonts w:ascii="Calibri" w:hAnsi="Calibri" w:eastAsia="Calibri"/>
          <w:color w:val="162236"/>
          <w:sz w:val="22"/>
        </w:rPr>
        <w:t>Keep the hero video optional and poster-led; a still image should preserve the complete message.</w:t>
      </w:r>
    </w:p>
    <w:p>
      <w:pPr>
        <w:pStyle w:val="Heading2"/>
        <w:keepNext w:val="1"/>
        <w:keepLines w:val="1"/>
      </w:pPr>
      <w:r>
        <w:t>Analytics events</w:t>
      </w:r>
    </w:p>
    <w:tbl>
      <w:tblPr>
        <w:tblW w:type="dxa" w:w="9360"/>
        <w:tblLayout w:type="fixed"/>
        <w:tblLook w:firstColumn="1" w:firstRow="1" w:lastColumn="0" w:lastRow="0" w:noHBand="0" w:noVBand="1" w:val="04A0"/>
        <w:jc w:val="left"/>
        <w:tblInd w:w="120" w:type="dxa"/>
        <w:tblBorders>
          <w:top w:val="single" w:sz="4" w:space="0" w:color="D9E0E8"/>
          <w:left w:val="single" w:sz="4" w:space="0" w:color="D9E0E8"/>
          <w:bottom w:val="single" w:sz="4" w:space="0" w:color="D9E0E8"/>
          <w:right w:val="single" w:sz="4" w:space="0" w:color="D9E0E8"/>
          <w:insideH w:val="single" w:sz="4" w:space="0" w:color="D9E0E8"/>
          <w:insideV w:val="single" w:sz="4" w:space="0" w:color="D9E0E8"/>
        </w:tblBorders>
      </w:tblPr>
      <w:tblGrid>
        <w:gridCol w:w="2700"/>
        <w:gridCol w:w="2880"/>
        <w:gridCol w:w="3780"/>
      </w:tblGrid>
      <w:tr>
        <w:trPr>
          <w:tblHeader w:val="true"/>
        </w:trPr>
        <w:tc>
          <w:tcPr>
            <w:tcW w:type="dxa" w:w="2700"/>
            <w:vAlign w:val="center"/>
            <w:tcMar>
              <w:top w:w="100" w:type="dxa"/>
              <w:start w:w="120" w:type="dxa"/>
              <w:bottom w:w="100" w:type="dxa"/>
              <w:end w:w="120" w:type="dxa"/>
            </w:tcMar>
            <w:shd w:fill="E8EEF5"/>
          </w:tcPr>
          <w:p>
            <w:pPr>
              <w:spacing w:before="0" w:after="0" w:line="276" w:lineRule="auto"/>
            </w:pPr>
            <w:r>
              <w:rPr>
                <w:rFonts w:ascii="Calibri" w:hAnsi="Calibri" w:eastAsia="Calibri"/>
                <w:b/>
                <w:color w:val="1F4D78"/>
                <w:sz w:val="19"/>
              </w:rPr>
              <w:t>Event</w:t>
            </w:r>
          </w:p>
        </w:tc>
        <w:tc>
          <w:tcPr>
            <w:tcW w:type="dxa" w:w="2880"/>
            <w:vAlign w:val="center"/>
            <w:tcMar>
              <w:top w:w="100" w:type="dxa"/>
              <w:start w:w="120" w:type="dxa"/>
              <w:bottom w:w="100" w:type="dxa"/>
              <w:end w:w="120" w:type="dxa"/>
            </w:tcMar>
            <w:shd w:fill="E8EEF5"/>
          </w:tcPr>
          <w:p>
            <w:pPr>
              <w:spacing w:before="0" w:after="0" w:line="276" w:lineRule="auto"/>
            </w:pPr>
            <w:r>
              <w:rPr>
                <w:rFonts w:ascii="Calibri" w:hAnsi="Calibri" w:eastAsia="Calibri"/>
                <w:b/>
                <w:color w:val="1F4D78"/>
                <w:sz w:val="19"/>
              </w:rPr>
              <w:t>Trigger</w:t>
            </w:r>
          </w:p>
        </w:tc>
        <w:tc>
          <w:tcPr>
            <w:tcW w:type="dxa" w:w="3780"/>
            <w:vAlign w:val="center"/>
            <w:tcMar>
              <w:top w:w="100" w:type="dxa"/>
              <w:start w:w="120" w:type="dxa"/>
              <w:bottom w:w="100" w:type="dxa"/>
              <w:end w:w="120" w:type="dxa"/>
            </w:tcMar>
            <w:shd w:fill="E8EEF5"/>
          </w:tcPr>
          <w:p>
            <w:pPr>
              <w:spacing w:before="0" w:after="0" w:line="276" w:lineRule="auto"/>
            </w:pPr>
            <w:r>
              <w:rPr>
                <w:rFonts w:ascii="Calibri" w:hAnsi="Calibri" w:eastAsia="Calibri"/>
                <w:b/>
                <w:color w:val="1F4D78"/>
                <w:sz w:val="19"/>
              </w:rPr>
              <w:t>Privacy control</w:t>
            </w:r>
          </w:p>
        </w:tc>
      </w:tr>
      <w:tr>
        <w:tc>
          <w:tcPr>
            <w:tcW w:type="dxa" w:w="270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home_start_case</w:t>
            </w:r>
          </w:p>
        </w:tc>
        <w:tc>
          <w:tcPr>
            <w:tcW w:type="dxa" w:w="288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Primary CTA click</w:t>
            </w:r>
          </w:p>
        </w:tc>
        <w:tc>
          <w:tcPr>
            <w:tcW w:type="dxa" w:w="378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No case or patient identifier</w:t>
            </w:r>
          </w:p>
        </w:tc>
      </w:tr>
      <w:tr>
        <w:tc>
          <w:tcPr>
            <w:tcW w:type="dxa" w:w="270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home_discuss_case</w:t>
            </w:r>
          </w:p>
        </w:tc>
        <w:tc>
          <w:tcPr>
            <w:tcW w:type="dxa" w:w="288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Secondary CTA click</w:t>
            </w:r>
          </w:p>
        </w:tc>
        <w:tc>
          <w:tcPr>
            <w:tcW w:type="dxa" w:w="378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No message content in event payload</w:t>
            </w:r>
          </w:p>
        </w:tc>
      </w:tr>
      <w:tr>
        <w:tc>
          <w:tcPr>
            <w:tcW w:type="dxa" w:w="270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home_open_portal</w:t>
            </w:r>
          </w:p>
        </w:tc>
        <w:tc>
          <w:tcPr>
            <w:tcW w:type="dxa" w:w="288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Portal utility link click</w:t>
            </w:r>
          </w:p>
        </w:tc>
        <w:tc>
          <w:tcPr>
            <w:tcW w:type="dxa" w:w="378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No user or case identifier</w:t>
            </w:r>
          </w:p>
        </w:tc>
      </w:tr>
      <w:tr>
        <w:tc>
          <w:tcPr>
            <w:tcW w:type="dxa" w:w="270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home_workflow_select</w:t>
            </w:r>
          </w:p>
        </w:tc>
        <w:tc>
          <w:tcPr>
            <w:tcW w:type="dxa" w:w="288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Workflow card click</w:t>
            </w:r>
          </w:p>
        </w:tc>
        <w:tc>
          <w:tcPr>
            <w:tcW w:type="dxa" w:w="378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Workflow type only</w:t>
            </w:r>
          </w:p>
        </w:tc>
      </w:tr>
      <w:tr>
        <w:tc>
          <w:tcPr>
            <w:tcW w:type="dxa" w:w="270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home_requirements</w:t>
            </w:r>
          </w:p>
        </w:tc>
        <w:tc>
          <w:tcPr>
            <w:tcW w:type="dxa" w:w="288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Requirements link click</w:t>
            </w:r>
          </w:p>
        </w:tc>
        <w:tc>
          <w:tcPr>
            <w:tcW w:type="dxa" w:w="378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Page context only</w:t>
            </w:r>
          </w:p>
        </w:tc>
      </w:tr>
      <w:tr>
        <w:tc>
          <w:tcPr>
            <w:tcW w:type="dxa" w:w="270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home_case_evidence</w:t>
            </w:r>
          </w:p>
        </w:tc>
        <w:tc>
          <w:tcPr>
            <w:tcW w:type="dxa" w:w="288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Case workflow link click</w:t>
            </w:r>
          </w:p>
        </w:tc>
        <w:tc>
          <w:tcPr>
            <w:tcW w:type="dxa" w:w="378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Public case category only</w:t>
            </w:r>
          </w:p>
        </w:tc>
      </w:tr>
    </w:tbl>
    <w:p>
      <w:pPr>
        <w:spacing w:before="0" w:after="80" w:line="300" w:lineRule="auto"/>
        <w:jc w:val="left"/>
      </w:pPr>
      <w:r>
        <w:rPr>
          <w:rFonts w:ascii="Calibri" w:hAnsi="Calibri" w:eastAsia="Calibri"/>
          <w:b w:val="0"/>
          <w:i w:val="0"/>
          <w:color w:val="162236"/>
          <w:sz w:val="22"/>
        </w:rPr>
      </w:r>
    </w:p>
    <w:p>
      <w:pPr>
        <w:pStyle w:val="Heading2"/>
        <w:keepNext w:val="1"/>
        <w:keepLines w:val="1"/>
      </w:pPr>
      <w:r>
        <w:t>Structured content ownership</w:t>
      </w:r>
    </w:p>
    <w:tbl>
      <w:tblPr>
        <w:tblW w:type="dxa" w:w="9360"/>
        <w:tblLayout w:type="fixed"/>
        <w:tblLook w:firstColumn="1" w:firstRow="1" w:lastColumn="0" w:lastRow="0" w:noHBand="0" w:noVBand="1" w:val="04A0"/>
        <w:jc w:val="left"/>
        <w:tblInd w:w="120" w:type="dxa"/>
        <w:tblBorders>
          <w:top w:val="single" w:sz="4" w:space="0" w:color="D9E0E8"/>
          <w:left w:val="single" w:sz="4" w:space="0" w:color="D9E0E8"/>
          <w:bottom w:val="single" w:sz="4" w:space="0" w:color="D9E0E8"/>
          <w:right w:val="single" w:sz="4" w:space="0" w:color="D9E0E8"/>
          <w:insideH w:val="single" w:sz="4" w:space="0" w:color="D9E0E8"/>
          <w:insideV w:val="single" w:sz="4" w:space="0" w:color="D9E0E8"/>
        </w:tblBorders>
      </w:tblPr>
      <w:tblGrid>
        <w:gridCol w:w="3780"/>
        <w:gridCol w:w="2340"/>
        <w:gridCol w:w="3240"/>
      </w:tblGrid>
      <w:tr>
        <w:trPr>
          <w:tblHeader w:val="true"/>
        </w:trPr>
        <w:tc>
          <w:tcPr>
            <w:tcW w:type="dxa" w:w="3780"/>
            <w:vAlign w:val="center"/>
            <w:tcMar>
              <w:top w:w="100" w:type="dxa"/>
              <w:start w:w="120" w:type="dxa"/>
              <w:bottom w:w="100" w:type="dxa"/>
              <w:end w:w="120" w:type="dxa"/>
            </w:tcMar>
            <w:shd w:fill="E8EEF5"/>
          </w:tcPr>
          <w:p>
            <w:pPr>
              <w:spacing w:before="0" w:after="0" w:line="276" w:lineRule="auto"/>
            </w:pPr>
            <w:r>
              <w:rPr>
                <w:rFonts w:ascii="Calibri" w:hAnsi="Calibri" w:eastAsia="Calibri"/>
                <w:b/>
                <w:color w:val="1F4D78"/>
                <w:sz w:val="19"/>
              </w:rPr>
              <w:t>Decision</w:t>
            </w:r>
          </w:p>
        </w:tc>
        <w:tc>
          <w:tcPr>
            <w:tcW w:type="dxa" w:w="2340"/>
            <w:vAlign w:val="center"/>
            <w:tcMar>
              <w:top w:w="100" w:type="dxa"/>
              <w:start w:w="120" w:type="dxa"/>
              <w:bottom w:w="100" w:type="dxa"/>
              <w:end w:w="120" w:type="dxa"/>
            </w:tcMar>
            <w:shd w:fill="E8EEF5"/>
          </w:tcPr>
          <w:p>
            <w:pPr>
              <w:spacing w:before="0" w:after="0" w:line="276" w:lineRule="auto"/>
            </w:pPr>
            <w:r>
              <w:rPr>
                <w:rFonts w:ascii="Calibri" w:hAnsi="Calibri" w:eastAsia="Calibri"/>
                <w:b/>
                <w:color w:val="1F4D78"/>
                <w:sz w:val="19"/>
              </w:rPr>
              <w:t>Owner</w:t>
            </w:r>
          </w:p>
        </w:tc>
        <w:tc>
          <w:tcPr>
            <w:tcW w:type="dxa" w:w="3240"/>
            <w:vAlign w:val="center"/>
            <w:tcMar>
              <w:top w:w="100" w:type="dxa"/>
              <w:start w:w="120" w:type="dxa"/>
              <w:bottom w:w="100" w:type="dxa"/>
              <w:end w:w="120" w:type="dxa"/>
            </w:tcMar>
            <w:shd w:fill="E8EEF5"/>
          </w:tcPr>
          <w:p>
            <w:pPr>
              <w:spacing w:before="0" w:after="0" w:line="276" w:lineRule="auto"/>
            </w:pPr>
            <w:r>
              <w:rPr>
                <w:rFonts w:ascii="Calibri" w:hAnsi="Calibri" w:eastAsia="Calibri"/>
                <w:b/>
                <w:color w:val="1F4D78"/>
                <w:sz w:val="19"/>
              </w:rPr>
              <w:t>Release gate</w:t>
            </w:r>
          </w:p>
        </w:tc>
      </w:tr>
      <w:tr>
        <w:tc>
          <w:tcPr>
            <w:tcW w:type="dxa" w:w="378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Public positioning and material claims</w:t>
            </w:r>
          </w:p>
        </w:tc>
        <w:tc>
          <w:tcPr>
            <w:tcW w:type="dxa" w:w="234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Founder</w:t>
            </w:r>
          </w:p>
        </w:tc>
        <w:tc>
          <w:tcPr>
            <w:tcW w:type="dxa" w:w="324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Explicit approval</w:t>
            </w:r>
          </w:p>
        </w:tc>
      </w:tr>
      <w:tr>
        <w:tc>
          <w:tcPr>
            <w:tcW w:type="dxa" w:w="378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Live workflow availability and requirements</w:t>
            </w:r>
          </w:p>
        </w:tc>
        <w:tc>
          <w:tcPr>
            <w:tcW w:type="dxa" w:w="234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Operations</w:t>
            </w:r>
          </w:p>
        </w:tc>
        <w:tc>
          <w:tcPr>
            <w:tcW w:type="dxa" w:w="324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Current scope confirmed</w:t>
            </w:r>
          </w:p>
        </w:tc>
      </w:tr>
      <w:tr>
        <w:tc>
          <w:tcPr>
            <w:tcW w:type="dxa" w:w="378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Clinical statements and limitations</w:t>
            </w:r>
          </w:p>
        </w:tc>
        <w:tc>
          <w:tcPr>
            <w:tcW w:type="dxa" w:w="234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Qualified clinical reviewer</w:t>
            </w:r>
          </w:p>
        </w:tc>
        <w:tc>
          <w:tcPr>
            <w:tcW w:type="dxa" w:w="324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Review recorded</w:t>
            </w:r>
          </w:p>
        </w:tc>
      </w:tr>
      <w:tr>
        <w:tc>
          <w:tcPr>
            <w:tcW w:type="dxa" w:w="378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Portal routes, statuses and security wording</w:t>
            </w:r>
          </w:p>
        </w:tc>
        <w:tc>
          <w:tcPr>
            <w:tcW w:type="dxa" w:w="234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Portal lead</w:t>
            </w:r>
          </w:p>
        </w:tc>
        <w:tc>
          <w:tcPr>
            <w:tcW w:type="dxa" w:w="324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Staging test passed</w:t>
            </w:r>
          </w:p>
        </w:tc>
      </w:tr>
      <w:tr>
        <w:tc>
          <w:tcPr>
            <w:tcW w:type="dxa" w:w="378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Privacy notice and public-form boundary</w:t>
            </w:r>
          </w:p>
        </w:tc>
        <w:tc>
          <w:tcPr>
            <w:tcW w:type="dxa" w:w="234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Privacy/legal owner</w:t>
            </w:r>
          </w:p>
        </w:tc>
        <w:tc>
          <w:tcPr>
            <w:tcW w:type="dxa" w:w="324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Wording approved</w:t>
            </w:r>
          </w:p>
        </w:tc>
      </w:tr>
      <w:tr>
        <w:tc>
          <w:tcPr>
            <w:tcW w:type="dxa" w:w="378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SEO title, H1, links and canonical</w:t>
            </w:r>
          </w:p>
        </w:tc>
        <w:tc>
          <w:tcPr>
            <w:tcW w:type="dxa" w:w="234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SEO/web lead</w:t>
            </w:r>
          </w:p>
        </w:tc>
        <w:tc>
          <w:tcPr>
            <w:tcW w:type="dxa" w:w="324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Staging crawl reviewed</w:t>
            </w:r>
          </w:p>
        </w:tc>
      </w:tr>
      <w:tr>
        <w:tc>
          <w:tcPr>
            <w:tcW w:type="dxa" w:w="378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Real case assets and permissions</w:t>
            </w:r>
          </w:p>
        </w:tc>
        <w:tc>
          <w:tcPr>
            <w:tcW w:type="dxa" w:w="234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Case evidence owner</w:t>
            </w:r>
          </w:p>
        </w:tc>
        <w:tc>
          <w:tcPr>
            <w:tcW w:type="dxa" w:w="324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Consent and de-identification passed</w:t>
            </w:r>
          </w:p>
        </w:tc>
      </w:tr>
    </w:tbl>
    <w:p>
      <w:pPr>
        <w:spacing w:before="0" w:after="80" w:line="300" w:lineRule="auto"/>
        <w:jc w:val="left"/>
      </w:pPr>
      <w:r>
        <w:rPr>
          <w:rFonts w:ascii="Calibri" w:hAnsi="Calibri" w:eastAsia="Calibri"/>
          <w:b w:val="0"/>
          <w:i w:val="0"/>
          <w:color w:val="162236"/>
          <w:sz w:val="22"/>
        </w:rPr>
      </w:r>
    </w:p>
    <w:p>
      <w:pPr>
        <w:pStyle w:val="Heading1"/>
        <w:pageBreakBefore w:val="1"/>
        <w:keepNext w:val="1"/>
        <w:keepLines w:val="1"/>
      </w:pPr>
      <w:r>
        <w:t>10. Publication blockers and acceptance criteria</w:t>
      </w:r>
    </w:p>
    <w:p>
      <w:pPr>
        <w:spacing w:before="0" w:after="80"/>
        <w:keepNext w:val="1"/>
      </w:pPr>
      <w:r>
        <w:rPr>
          <w:rFonts w:ascii="Calibri" w:hAnsi="Calibri" w:eastAsia="Calibri"/>
          <w:b/>
          <w:color w:val="2E74B5"/>
          <w:sz w:val="19"/>
        </w:rPr>
        <w:t>CONTENT IS READY; THESE ITEMS PROTECT THE LAUNCH</w:t>
      </w:r>
    </w:p>
    <w:p>
      <w:pPr>
        <w:pStyle w:val="Heading2"/>
        <w:keepNext w:val="1"/>
        <w:keepLines w:val="1"/>
      </w:pPr>
      <w:r>
        <w:t>Resolve before publication</w:t>
      </w:r>
    </w:p>
    <w:p>
      <w:pPr>
        <w:numPr>
          <w:ilvl w:val="0"/>
          <w:numId w:val="26"/>
        </w:numPr>
        <w:spacing w:before="0" w:after="80" w:line="300" w:lineRule="auto"/>
        <w:keepLines w:val="1"/>
      </w:pPr>
      <w:r>
        <w:rPr>
          <w:rFonts w:ascii="Calibri" w:hAnsi="Calibri" w:eastAsia="Calibri"/>
          <w:color w:val="162236"/>
          <w:sz w:val="22"/>
        </w:rPr>
        <w:t>Confirm the production URL and login/registration behaviour behind Start a Case.</w:t>
      </w:r>
    </w:p>
    <w:p>
      <w:pPr>
        <w:numPr>
          <w:ilvl w:val="0"/>
          <w:numId w:val="26"/>
        </w:numPr>
        <w:spacing w:before="0" w:after="80" w:line="300" w:lineRule="auto"/>
        <w:keepLines w:val="1"/>
      </w:pPr>
      <w:r>
        <w:rPr>
          <w:rFonts w:ascii="Calibri" w:hAnsi="Calibri" w:eastAsia="Calibri"/>
          <w:color w:val="162236"/>
          <w:sz w:val="22"/>
        </w:rPr>
        <w:t>Confirm whether the word secure and any HIPAA-compliance statement are supported by the implemented portal and current documentation.</w:t>
      </w:r>
    </w:p>
    <w:p>
      <w:pPr>
        <w:numPr>
          <w:ilvl w:val="0"/>
          <w:numId w:val="26"/>
        </w:numPr>
        <w:spacing w:before="0" w:after="80" w:line="300" w:lineRule="auto"/>
        <w:keepLines w:val="1"/>
      </w:pPr>
      <w:r>
        <w:rPr>
          <w:rFonts w:ascii="Calibri" w:hAnsi="Calibri" w:eastAsia="Calibri"/>
          <w:color w:val="162236"/>
          <w:sz w:val="22"/>
        </w:rPr>
        <w:t>Select one de-identified hero case and one complex-case sequence with permission to publish.</w:t>
      </w:r>
    </w:p>
    <w:p>
      <w:pPr>
        <w:numPr>
          <w:ilvl w:val="0"/>
          <w:numId w:val="26"/>
        </w:numPr>
        <w:spacing w:before="0" w:after="80" w:line="300" w:lineRule="auto"/>
        <w:keepLines w:val="1"/>
      </w:pPr>
      <w:r>
        <w:rPr>
          <w:rFonts w:ascii="Calibri" w:hAnsi="Calibri" w:eastAsia="Calibri"/>
          <w:color w:val="162236"/>
          <w:sz w:val="22"/>
        </w:rPr>
        <w:t>Resolve the conflict between 50,000+ and 100,000+ case narratives; publish neither until the definition and source are approved.</w:t>
      </w:r>
    </w:p>
    <w:p>
      <w:pPr>
        <w:numPr>
          <w:ilvl w:val="0"/>
          <w:numId w:val="26"/>
        </w:numPr>
        <w:spacing w:before="0" w:after="80" w:line="300" w:lineRule="auto"/>
        <w:keepLines w:val="1"/>
      </w:pPr>
      <w:r>
        <w:rPr>
          <w:rFonts w:ascii="Calibri" w:hAnsi="Calibri" w:eastAsia="Calibri"/>
          <w:color w:val="162236"/>
          <w:sz w:val="22"/>
        </w:rPr>
        <w:t>Confirm which workflows and support modes are operationally available on launch day.</w:t>
      </w:r>
    </w:p>
    <w:p>
      <w:pPr>
        <w:numPr>
          <w:ilvl w:val="0"/>
          <w:numId w:val="26"/>
        </w:numPr>
        <w:spacing w:before="0" w:after="80" w:line="300" w:lineRule="auto"/>
        <w:keepLines w:val="1"/>
      </w:pPr>
      <w:r>
        <w:rPr>
          <w:rFonts w:ascii="Calibri" w:hAnsi="Calibri" w:eastAsia="Calibri"/>
          <w:color w:val="162236"/>
          <w:sz w:val="22"/>
        </w:rPr>
        <w:t>Verify company legal details, address, phone, email, regional contacts and partner permissions.</w:t>
      </w:r>
    </w:p>
    <w:p>
      <w:pPr>
        <w:numPr>
          <w:ilvl w:val="0"/>
          <w:numId w:val="26"/>
        </w:numPr>
        <w:spacing w:before="0" w:after="80" w:line="300" w:lineRule="auto"/>
        <w:keepLines w:val="1"/>
      </w:pPr>
      <w:r>
        <w:rPr>
          <w:rFonts w:ascii="Calibri" w:hAnsi="Calibri" w:eastAsia="Calibri"/>
          <w:color w:val="162236"/>
          <w:sz w:val="22"/>
        </w:rPr>
        <w:t>Test the new public Discuss a Complex Case form without replacing the current live form until staging records reach the correct Zoho destination.</w:t>
      </w:r>
    </w:p>
    <w:p>
      <w:pPr>
        <w:pStyle w:val="Heading2"/>
        <w:keepNext w:val="1"/>
        <w:keepLines w:val="1"/>
      </w:pPr>
      <w:r>
        <w:t>Homepage acceptance checklist</w:t>
      </w:r>
    </w:p>
    <w:p>
      <w:pPr>
        <w:numPr>
          <w:ilvl w:val="0"/>
          <w:numId w:val="27"/>
        </w:numPr>
        <w:spacing w:before="0" w:after="80" w:line="300" w:lineRule="auto"/>
        <w:keepLines w:val="1"/>
      </w:pPr>
      <w:r>
        <w:rPr>
          <w:rFonts w:ascii="Calibri" w:hAnsi="Calibri" w:eastAsia="Calibri"/>
          <w:color w:val="162236"/>
          <w:sz w:val="22"/>
        </w:rPr>
        <w:t>A new visitor can choose the relevant workflow within the first screen and first scroll.</w:t>
      </w:r>
    </w:p>
    <w:p>
      <w:pPr>
        <w:numPr>
          <w:ilvl w:val="0"/>
          <w:numId w:val="27"/>
        </w:numPr>
        <w:spacing w:before="0" w:after="80" w:line="300" w:lineRule="auto"/>
        <w:keepLines w:val="1"/>
      </w:pPr>
      <w:r>
        <w:rPr>
          <w:rFonts w:ascii="Calibri" w:hAnsi="Calibri" w:eastAsia="Calibri"/>
          <w:color w:val="162236"/>
          <w:sz w:val="22"/>
        </w:rPr>
        <w:t>One H1, one primary CTA and one relevant secondary route are visible.</w:t>
      </w:r>
    </w:p>
    <w:p>
      <w:pPr>
        <w:numPr>
          <w:ilvl w:val="0"/>
          <w:numId w:val="27"/>
        </w:numPr>
        <w:spacing w:before="0" w:after="80" w:line="300" w:lineRule="auto"/>
        <w:keepLines w:val="1"/>
      </w:pPr>
      <w:r>
        <w:rPr>
          <w:rFonts w:ascii="Calibri" w:hAnsi="Calibri" w:eastAsia="Calibri"/>
          <w:color w:val="162236"/>
          <w:sz w:val="22"/>
        </w:rPr>
        <w:t>A returning user can reach the Case Portal in one interaction.</w:t>
      </w:r>
    </w:p>
    <w:p>
      <w:pPr>
        <w:numPr>
          <w:ilvl w:val="0"/>
          <w:numId w:val="27"/>
        </w:numPr>
        <w:spacing w:before="0" w:after="80" w:line="300" w:lineRule="auto"/>
        <w:keepLines w:val="1"/>
      </w:pPr>
      <w:r>
        <w:rPr>
          <w:rFonts w:ascii="Calibri" w:hAnsi="Calibri" w:eastAsia="Calibri"/>
          <w:color w:val="162236"/>
          <w:sz w:val="22"/>
        </w:rPr>
        <w:t>No public form accepts clinical files or patient-identifying information.</w:t>
      </w:r>
    </w:p>
    <w:p>
      <w:pPr>
        <w:numPr>
          <w:ilvl w:val="0"/>
          <w:numId w:val="27"/>
        </w:numPr>
        <w:spacing w:before="0" w:after="80" w:line="300" w:lineRule="auto"/>
        <w:keepLines w:val="1"/>
      </w:pPr>
      <w:r>
        <w:rPr>
          <w:rFonts w:ascii="Calibri" w:hAnsi="Calibri" w:eastAsia="Calibri"/>
          <w:color w:val="162236"/>
          <w:sz w:val="22"/>
        </w:rPr>
        <w:t>The dentist remains the stated clinical decision-maker.</w:t>
      </w:r>
    </w:p>
    <w:p>
      <w:pPr>
        <w:numPr>
          <w:ilvl w:val="0"/>
          <w:numId w:val="27"/>
        </w:numPr>
        <w:spacing w:before="0" w:after="80" w:line="300" w:lineRule="auto"/>
        <w:keepLines w:val="1"/>
      </w:pPr>
      <w:r>
        <w:rPr>
          <w:rFonts w:ascii="Calibri" w:hAnsi="Calibri" w:eastAsia="Calibri"/>
          <w:color w:val="162236"/>
          <w:sz w:val="22"/>
        </w:rPr>
        <w:t>Guided implantology is visibly dominant over secondary digital services.</w:t>
      </w:r>
    </w:p>
    <w:p>
      <w:pPr>
        <w:numPr>
          <w:ilvl w:val="0"/>
          <w:numId w:val="27"/>
        </w:numPr>
        <w:spacing w:before="0" w:after="80" w:line="300" w:lineRule="auto"/>
        <w:keepLines w:val="1"/>
      </w:pPr>
      <w:r>
        <w:rPr>
          <w:rFonts w:ascii="Calibri" w:hAnsi="Calibri" w:eastAsia="Calibri"/>
          <w:color w:val="162236"/>
          <w:sz w:val="22"/>
        </w:rPr>
        <w:t>The copy is concise, natural and specific to Image3DConversion work.</w:t>
      </w:r>
    </w:p>
    <w:p>
      <w:pPr>
        <w:numPr>
          <w:ilvl w:val="0"/>
          <w:numId w:val="27"/>
        </w:numPr>
        <w:spacing w:before="0" w:after="80" w:line="300" w:lineRule="auto"/>
        <w:keepLines w:val="1"/>
      </w:pPr>
      <w:r>
        <w:rPr>
          <w:rFonts w:ascii="Calibri" w:hAnsi="Calibri" w:eastAsia="Calibri"/>
          <w:color w:val="162236"/>
          <w:sz w:val="22"/>
        </w:rPr>
        <w:t>No unsupported accuracy, safety, predictability, turnaround, scale, AI or partner claim appears.</w:t>
      </w:r>
    </w:p>
    <w:p>
      <w:pPr>
        <w:numPr>
          <w:ilvl w:val="0"/>
          <w:numId w:val="27"/>
        </w:numPr>
        <w:spacing w:before="0" w:after="80" w:line="300" w:lineRule="auto"/>
        <w:keepLines w:val="1"/>
      </w:pPr>
      <w:r>
        <w:rPr>
          <w:rFonts w:ascii="Calibri" w:hAnsi="Calibri" w:eastAsia="Calibri"/>
          <w:color w:val="162236"/>
          <w:sz w:val="22"/>
        </w:rPr>
        <w:t>Every case image is real, de-identified, permission-cleared and accurately captioned.</w:t>
      </w:r>
    </w:p>
    <w:p>
      <w:pPr>
        <w:numPr>
          <w:ilvl w:val="0"/>
          <w:numId w:val="27"/>
        </w:numPr>
        <w:spacing w:before="0" w:after="80" w:line="300" w:lineRule="auto"/>
        <w:keepLines w:val="1"/>
      </w:pPr>
      <w:r>
        <w:rPr>
          <w:rFonts w:ascii="Calibri" w:hAnsi="Calibri" w:eastAsia="Calibri"/>
          <w:color w:val="162236"/>
          <w:sz w:val="22"/>
        </w:rPr>
        <w:t>Titles, descriptions, headings, links and core copy are crawlable on desktop and mobile.</w:t>
      </w:r>
    </w:p>
    <w:p>
      <w:pPr>
        <w:numPr>
          <w:ilvl w:val="0"/>
          <w:numId w:val="27"/>
        </w:numPr>
        <w:spacing w:before="0" w:after="80" w:line="300" w:lineRule="auto"/>
        <w:keepLines w:val="1"/>
      </w:pPr>
      <w:r>
        <w:rPr>
          <w:rFonts w:ascii="Calibri" w:hAnsi="Calibri" w:eastAsia="Calibri"/>
          <w:color w:val="162236"/>
          <w:sz w:val="22"/>
        </w:rPr>
        <w:t>Every CTA and redirect is tested on staging before launch.</w:t>
      </w:r>
    </w:p>
    <w:p>
      <w:pPr>
        <w:spacing w:before="60" w:after="180" w:line="300" w:lineRule="auto"/>
        <w:ind w:left="173" w:right="115"/>
        <w:shd w:fill="E8EEF5"/>
        <w:pBdr>
          <w:left w:val="single" w:sz="18" w:space="8" w:color="2E6B57"/>
        </w:pBdr>
        <w:keepLines w:val="1"/>
      </w:pPr>
      <w:r>
        <w:rPr>
          <w:rFonts w:ascii="Calibri" w:hAnsi="Calibri" w:eastAsia="Calibri"/>
          <w:b/>
          <w:color w:val="2E6B57"/>
          <w:sz w:val="19"/>
        </w:rPr>
        <w:t xml:space="preserve">APPROVAL RECOMMENDATION  </w:t>
      </w:r>
      <w:r>
        <w:rPr>
          <w:rFonts w:ascii="Calibri" w:hAnsi="Calibri" w:eastAsia="Calibri"/>
          <w:b w:val="0"/>
          <w:color w:val="162236"/>
          <w:sz w:val="22"/>
        </w:rPr>
        <w:t>Approve the content hierarchy and visitor-facing copy now. Hold only the evidence strip, security wording and final case imagery behind the named verification gates.</w:t>
      </w:r>
    </w:p>
    <w:p>
      <w:pPr>
        <w:pStyle w:val="Heading2"/>
        <w:pageBreakBefore w:val="1"/>
        <w:keepNext w:val="1"/>
        <w:keepLines w:val="1"/>
      </w:pPr>
      <w:r>
        <w:t>Reference links</w:t>
      </w:r>
    </w:p>
    <w:p>
      <w:pPr>
        <w:numPr>
          <w:ilvl w:val="0"/>
          <w:numId w:val="28"/>
        </w:numPr>
        <w:spacing w:after="80" w:line="300" w:lineRule="auto"/>
      </w:pPr>
      <w:hyperlink r:id="rId11">
        <w:r>
          <w:rPr>
            <w:rFonts w:ascii="Calibri" w:hAnsi="Calibri"/>
            <w:color w:val="2E74B5"/>
            <w:u w:val="single"/>
          </w:rPr>
          <w:t>Current Image3DConversion homepage</w:t>
        </w:r>
      </w:hyperlink>
      <w:r>
        <w:rPr>
          <w:rFonts w:ascii="Calibri" w:hAnsi="Calibri" w:eastAsia="Calibri"/>
          <w:color w:val="162236"/>
          <w:sz w:val="21"/>
        </w:rPr>
        <w:t xml:space="preserve"> — baseline service, claim, training and navigation audit observed 26 July 2026</w:t>
      </w:r>
    </w:p>
    <w:p>
      <w:pPr>
        <w:numPr>
          <w:ilvl w:val="0"/>
          <w:numId w:val="29"/>
        </w:numPr>
        <w:spacing w:after="80" w:line="300" w:lineRule="auto"/>
      </w:pPr>
      <w:hyperlink r:id="rId12">
        <w:r>
          <w:rPr>
            <w:rFonts w:ascii="Calibri" w:hAnsi="Calibri"/>
            <w:color w:val="2E74B5"/>
            <w:u w:val="single"/>
          </w:rPr>
          <w:t>Google Search SEO Starter Guide</w:t>
        </w:r>
      </w:hyperlink>
      <w:r>
        <w:rPr>
          <w:rFonts w:ascii="Calibri" w:hAnsi="Calibri" w:eastAsia="Calibri"/>
          <w:color w:val="162236"/>
          <w:sz w:val="21"/>
        </w:rPr>
        <w:t xml:space="preserve"> — titles, descriptions, useful content, links and image guidance</w:t>
      </w:r>
    </w:p>
    <w:p>
      <w:pPr>
        <w:numPr>
          <w:ilvl w:val="0"/>
          <w:numId w:val="30"/>
        </w:numPr>
        <w:spacing w:after="80" w:line="300" w:lineRule="auto"/>
      </w:pPr>
      <w:hyperlink r:id="rId13">
        <w:r>
          <w:rPr>
            <w:rFonts w:ascii="Calibri" w:hAnsi="Calibri"/>
            <w:color w:val="2E74B5"/>
            <w:u w:val="single"/>
          </w:rPr>
          <w:t>Google Search mobile-first indexing guidance</w:t>
        </w:r>
      </w:hyperlink>
      <w:r>
        <w:rPr>
          <w:rFonts w:ascii="Calibri" w:hAnsi="Calibri" w:eastAsia="Calibri"/>
          <w:color w:val="162236"/>
          <w:sz w:val="21"/>
        </w:rPr>
        <w:t xml:space="preserve"> — mobile content equivalence, metadata and image visibility</w:t>
      </w:r>
    </w:p>
    <w:p>
      <w:pPr>
        <w:numPr>
          <w:ilvl w:val="0"/>
          <w:numId w:val="31"/>
        </w:numPr>
        <w:spacing w:after="80" w:line="300" w:lineRule="auto"/>
      </w:pPr>
      <w:hyperlink r:id="rId14">
        <w:r>
          <w:rPr>
            <w:rFonts w:ascii="Calibri" w:hAnsi="Calibri"/>
            <w:color w:val="2E74B5"/>
            <w:u w:val="single"/>
          </w:rPr>
          <w:t>Google Image SEO best practices</w:t>
        </w:r>
      </w:hyperlink>
      <w:r>
        <w:rPr>
          <w:rFonts w:ascii="Calibri" w:hAnsi="Calibri" w:eastAsia="Calibri"/>
          <w:color w:val="162236"/>
          <w:sz w:val="21"/>
        </w:rPr>
        <w:t xml:space="preserve"> — descriptive alt text and contextual image use</w:t>
      </w:r>
    </w:p>
    <w:p>
      <w:pPr>
        <w:numPr>
          <w:ilvl w:val="0"/>
          <w:numId w:val="32"/>
        </w:numPr>
        <w:spacing w:after="80" w:line="300" w:lineRule="auto"/>
      </w:pPr>
      <w:hyperlink r:id="rId15">
        <w:r>
          <w:rPr>
            <w:rFonts w:ascii="Calibri" w:hAnsi="Calibri"/>
            <w:color w:val="2E74B5"/>
            <w:u w:val="single"/>
          </w:rPr>
          <w:t>Google page experience guidance</w:t>
        </w:r>
      </w:hyperlink>
      <w:r>
        <w:rPr>
          <w:rFonts w:ascii="Calibri" w:hAnsi="Calibri" w:eastAsia="Calibri"/>
          <w:color w:val="162236"/>
          <w:sz w:val="21"/>
        </w:rPr>
        <w:t xml:space="preserve"> — Core Web Vitals and user-centred page experience</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Calibri" w:hAnsi="Calibri" w:eastAsia="Calibri"/>
        <w:color w:val="5F6B7A"/>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left"/>
      </w:tabs>
      <w:spacing w:after="0"/>
    </w:pPr>
    <w:r>
      <w:rPr>
        <w:rFonts w:ascii="Calibri" w:hAnsi="Calibri" w:eastAsia="Calibri"/>
        <w:b/>
        <w:color w:val="5F6B7A"/>
        <w:sz w:val="17"/>
      </w:rPr>
      <w:t>IMAGE3DCONVERSION  /  WEBSITE RELEASE 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suff w:val="tab"/>
      <w:lvlJc w:val="left"/>
      <w:pPr>
        <w:tabs>
          <w:tab w:val="num" w:pos="540"/>
        </w:tabs>
        <w:ind w:left="540" w:hanging="270"/>
      </w:pPr>
      <w:rPr>
        <w:rFonts w:ascii="Calibri" w:hAnsi="Calibri" w:hint="default"/>
      </w:rPr>
    </w:lvl>
  </w:abstractNum>
  <w:num w:numId="10">
    <w:abstractNumId w:val="9"/>
  </w:num>
  <w:abstractNum w:abstractNumId="10">
    <w:multiLevelType w:val="singleLevel"/>
    <w:lvl w:ilvl="0">
      <w:start w:val="1"/>
      <w:numFmt w:val="bullet"/>
      <w:lvlText w:val="•"/>
      <w:suff w:val="tab"/>
      <w:lvlJc w:val="left"/>
      <w:pPr>
        <w:tabs>
          <w:tab w:val="num" w:pos="540"/>
        </w:tabs>
        <w:ind w:left="540" w:hanging="270"/>
      </w:pPr>
      <w:rPr>
        <w:rFonts w:ascii="Calibri" w:hAnsi="Calibri" w:hint="default"/>
      </w:rPr>
    </w:lvl>
  </w:abstractNum>
  <w:num w:numId="11">
    <w:abstractNumId w:val="10"/>
  </w:num>
  <w:abstractNum w:abstractNumId="11">
    <w:multiLevelType w:val="singleLevel"/>
    <w:lvl w:ilvl="0">
      <w:start w:val="1"/>
      <w:numFmt w:val="decimal"/>
      <w:lvlText w:val="%1."/>
      <w:suff w:val="tab"/>
      <w:lvlJc w:val="left"/>
      <w:pPr>
        <w:tabs>
          <w:tab w:val="num" w:pos="540"/>
        </w:tabs>
        <w:ind w:left="540" w:hanging="270"/>
      </w:pPr>
      <w:rPr>
        <w:rFonts w:ascii="Calibri" w:hAnsi="Calibri" w:hint="default"/>
      </w:rPr>
    </w:lvl>
  </w:abstractNum>
  <w:num w:numId="12">
    <w:abstractNumId w:val="11"/>
  </w:num>
  <w:abstractNum w:abstractNumId="12">
    <w:multiLevelType w:val="singleLevel"/>
    <w:lvl w:ilvl="0">
      <w:start w:val="1"/>
      <w:numFmt w:val="bullet"/>
      <w:lvlText w:val="•"/>
      <w:suff w:val="tab"/>
      <w:lvlJc w:val="left"/>
      <w:pPr>
        <w:tabs>
          <w:tab w:val="num" w:pos="540"/>
        </w:tabs>
        <w:ind w:left="540" w:hanging="270"/>
      </w:pPr>
      <w:rPr>
        <w:rFonts w:ascii="Calibri" w:hAnsi="Calibri" w:hint="default"/>
      </w:rPr>
    </w:lvl>
  </w:abstractNum>
  <w:num w:numId="13">
    <w:abstractNumId w:val="12"/>
  </w:num>
  <w:abstractNum w:abstractNumId="13">
    <w:multiLevelType w:val="singleLevel"/>
    <w:lvl w:ilvl="0">
      <w:start w:val="1"/>
      <w:numFmt w:val="bullet"/>
      <w:lvlText w:val="•"/>
      <w:suff w:val="tab"/>
      <w:lvlJc w:val="left"/>
      <w:pPr>
        <w:tabs>
          <w:tab w:val="num" w:pos="540"/>
        </w:tabs>
        <w:ind w:left="540" w:hanging="270"/>
      </w:pPr>
      <w:rPr>
        <w:rFonts w:ascii="Calibri" w:hAnsi="Calibri" w:hint="default"/>
      </w:rPr>
    </w:lvl>
  </w:abstractNum>
  <w:num w:numId="14">
    <w:abstractNumId w:val="13"/>
  </w:num>
  <w:abstractNum w:abstractNumId="14">
    <w:multiLevelType w:val="singleLevel"/>
    <w:lvl w:ilvl="0">
      <w:start w:val="1"/>
      <w:numFmt w:val="decimal"/>
      <w:lvlText w:val="%1."/>
      <w:suff w:val="tab"/>
      <w:lvlJc w:val="left"/>
      <w:pPr>
        <w:tabs>
          <w:tab w:val="num" w:pos="540"/>
        </w:tabs>
        <w:ind w:left="540" w:hanging="270"/>
      </w:pPr>
      <w:rPr>
        <w:rFonts w:ascii="Calibri" w:hAnsi="Calibri" w:hint="default"/>
      </w:rPr>
    </w:lvl>
  </w:abstractNum>
  <w:num w:numId="15">
    <w:abstractNumId w:val="14"/>
  </w:num>
  <w:abstractNum w:abstractNumId="15">
    <w:multiLevelType w:val="singleLevel"/>
    <w:lvl w:ilvl="0">
      <w:start w:val="1"/>
      <w:numFmt w:val="bullet"/>
      <w:lvlText w:val="•"/>
      <w:suff w:val="tab"/>
      <w:lvlJc w:val="left"/>
      <w:pPr>
        <w:tabs>
          <w:tab w:val="num" w:pos="540"/>
        </w:tabs>
        <w:ind w:left="540" w:hanging="270"/>
      </w:pPr>
      <w:rPr>
        <w:rFonts w:ascii="Calibri" w:hAnsi="Calibri" w:hint="default"/>
      </w:rPr>
    </w:lvl>
  </w:abstractNum>
  <w:num w:numId="16">
    <w:abstractNumId w:val="15"/>
  </w:num>
  <w:abstractNum w:abstractNumId="16">
    <w:multiLevelType w:val="singleLevel"/>
    <w:lvl w:ilvl="0">
      <w:start w:val="1"/>
      <w:numFmt w:val="bullet"/>
      <w:lvlText w:val="•"/>
      <w:suff w:val="tab"/>
      <w:lvlJc w:val="left"/>
      <w:pPr>
        <w:tabs>
          <w:tab w:val="num" w:pos="540"/>
        </w:tabs>
        <w:ind w:left="540" w:hanging="270"/>
      </w:pPr>
      <w:rPr>
        <w:rFonts w:ascii="Calibri" w:hAnsi="Calibri" w:hint="default"/>
      </w:rPr>
    </w:lvl>
  </w:abstractNum>
  <w:num w:numId="17">
    <w:abstractNumId w:val="16"/>
  </w:num>
  <w:abstractNum w:abstractNumId="17">
    <w:multiLevelType w:val="singleLevel"/>
    <w:lvl w:ilvl="0">
      <w:start w:val="1"/>
      <w:numFmt w:val="bullet"/>
      <w:lvlText w:val="•"/>
      <w:suff w:val="tab"/>
      <w:lvlJc w:val="left"/>
      <w:pPr>
        <w:tabs>
          <w:tab w:val="num" w:pos="540"/>
        </w:tabs>
        <w:ind w:left="540" w:hanging="270"/>
      </w:pPr>
      <w:rPr>
        <w:rFonts w:ascii="Calibri" w:hAnsi="Calibri" w:hint="default"/>
      </w:rPr>
    </w:lvl>
  </w:abstractNum>
  <w:num w:numId="18">
    <w:abstractNumId w:val="17"/>
  </w:num>
  <w:abstractNum w:abstractNumId="18">
    <w:multiLevelType w:val="singleLevel"/>
    <w:lvl w:ilvl="0">
      <w:start w:val="1"/>
      <w:numFmt w:val="bullet"/>
      <w:lvlText w:val="•"/>
      <w:suff w:val="tab"/>
      <w:lvlJc w:val="left"/>
      <w:pPr>
        <w:tabs>
          <w:tab w:val="num" w:pos="540"/>
        </w:tabs>
        <w:ind w:left="540" w:hanging="270"/>
      </w:pPr>
      <w:rPr>
        <w:rFonts w:ascii="Calibri" w:hAnsi="Calibri" w:hint="default"/>
      </w:rPr>
    </w:lvl>
  </w:abstractNum>
  <w:num w:numId="19">
    <w:abstractNumId w:val="18"/>
  </w:num>
  <w:abstractNum w:abstractNumId="19">
    <w:multiLevelType w:val="singleLevel"/>
    <w:lvl w:ilvl="0">
      <w:start w:val="1"/>
      <w:numFmt w:val="bullet"/>
      <w:lvlText w:val="•"/>
      <w:suff w:val="tab"/>
      <w:lvlJc w:val="left"/>
      <w:pPr>
        <w:tabs>
          <w:tab w:val="num" w:pos="540"/>
        </w:tabs>
        <w:ind w:left="540" w:hanging="270"/>
      </w:pPr>
      <w:rPr>
        <w:rFonts w:ascii="Calibri" w:hAnsi="Calibri" w:hint="default"/>
      </w:rPr>
    </w:lvl>
  </w:abstractNum>
  <w:num w:numId="20">
    <w:abstractNumId w:val="19"/>
  </w:num>
  <w:abstractNum w:abstractNumId="20">
    <w:multiLevelType w:val="singleLevel"/>
    <w:lvl w:ilvl="0">
      <w:start w:val="1"/>
      <w:numFmt w:val="decimal"/>
      <w:lvlText w:val="%1."/>
      <w:suff w:val="tab"/>
      <w:lvlJc w:val="left"/>
      <w:pPr>
        <w:tabs>
          <w:tab w:val="num" w:pos="540"/>
        </w:tabs>
        <w:ind w:left="540" w:hanging="270"/>
      </w:pPr>
      <w:rPr>
        <w:rFonts w:ascii="Calibri" w:hAnsi="Calibri" w:hint="default"/>
      </w:rPr>
    </w:lvl>
  </w:abstractNum>
  <w:num w:numId="21">
    <w:abstractNumId w:val="20"/>
  </w:num>
  <w:abstractNum w:abstractNumId="21">
    <w:multiLevelType w:val="singleLevel"/>
    <w:lvl w:ilvl="0">
      <w:start w:val="1"/>
      <w:numFmt w:val="bullet"/>
      <w:lvlText w:val="•"/>
      <w:suff w:val="tab"/>
      <w:lvlJc w:val="left"/>
      <w:pPr>
        <w:tabs>
          <w:tab w:val="num" w:pos="540"/>
        </w:tabs>
        <w:ind w:left="540" w:hanging="270"/>
      </w:pPr>
      <w:rPr>
        <w:rFonts w:ascii="Calibri" w:hAnsi="Calibri" w:hint="default"/>
      </w:rPr>
    </w:lvl>
  </w:abstractNum>
  <w:num w:numId="22">
    <w:abstractNumId w:val="21"/>
  </w:num>
  <w:abstractNum w:abstractNumId="22">
    <w:multiLevelType w:val="singleLevel"/>
    <w:lvl w:ilvl="0">
      <w:start w:val="1"/>
      <w:numFmt w:val="bullet"/>
      <w:lvlText w:val="•"/>
      <w:suff w:val="tab"/>
      <w:lvlJc w:val="left"/>
      <w:pPr>
        <w:tabs>
          <w:tab w:val="num" w:pos="540"/>
        </w:tabs>
        <w:ind w:left="540" w:hanging="270"/>
      </w:pPr>
      <w:rPr>
        <w:rFonts w:ascii="Calibri" w:hAnsi="Calibri" w:hint="default"/>
      </w:rPr>
    </w:lvl>
  </w:abstractNum>
  <w:num w:numId="23">
    <w:abstractNumId w:val="22"/>
  </w:num>
  <w:abstractNum w:abstractNumId="23">
    <w:multiLevelType w:val="singleLevel"/>
    <w:lvl w:ilvl="0">
      <w:start w:val="1"/>
      <w:numFmt w:val="bullet"/>
      <w:lvlText w:val="•"/>
      <w:suff w:val="tab"/>
      <w:lvlJc w:val="left"/>
      <w:pPr>
        <w:tabs>
          <w:tab w:val="num" w:pos="540"/>
        </w:tabs>
        <w:ind w:left="540" w:hanging="270"/>
      </w:pPr>
      <w:rPr>
        <w:rFonts w:ascii="Calibri" w:hAnsi="Calibri" w:hint="default"/>
      </w:rPr>
    </w:lvl>
  </w:abstractNum>
  <w:num w:numId="24">
    <w:abstractNumId w:val="23"/>
  </w:num>
  <w:abstractNum w:abstractNumId="24">
    <w:multiLevelType w:val="singleLevel"/>
    <w:lvl w:ilvl="0">
      <w:start w:val="1"/>
      <w:numFmt w:val="bullet"/>
      <w:lvlText w:val="•"/>
      <w:suff w:val="tab"/>
      <w:lvlJc w:val="left"/>
      <w:pPr>
        <w:tabs>
          <w:tab w:val="num" w:pos="540"/>
        </w:tabs>
        <w:ind w:left="540" w:hanging="270"/>
      </w:pPr>
      <w:rPr>
        <w:rFonts w:ascii="Calibri" w:hAnsi="Calibri" w:hint="default"/>
      </w:rPr>
    </w:lvl>
  </w:abstractNum>
  <w:num w:numId="25">
    <w:abstractNumId w:val="24"/>
  </w:num>
  <w:abstractNum w:abstractNumId="25">
    <w:multiLevelType w:val="singleLevel"/>
    <w:lvl w:ilvl="0">
      <w:start w:val="1"/>
      <w:numFmt w:val="bullet"/>
      <w:lvlText w:val="•"/>
      <w:suff w:val="tab"/>
      <w:lvlJc w:val="left"/>
      <w:pPr>
        <w:tabs>
          <w:tab w:val="num" w:pos="540"/>
        </w:tabs>
        <w:ind w:left="540" w:hanging="270"/>
      </w:pPr>
      <w:rPr>
        <w:rFonts w:ascii="Calibri" w:hAnsi="Calibri" w:hint="default"/>
      </w:rPr>
    </w:lvl>
  </w:abstractNum>
  <w:num w:numId="26">
    <w:abstractNumId w:val="25"/>
  </w:num>
  <w:abstractNum w:abstractNumId="26">
    <w:multiLevelType w:val="singleLevel"/>
    <w:lvl w:ilvl="0">
      <w:start w:val="1"/>
      <w:numFmt w:val="bullet"/>
      <w:lvlText w:val="•"/>
      <w:suff w:val="tab"/>
      <w:lvlJc w:val="left"/>
      <w:pPr>
        <w:tabs>
          <w:tab w:val="num" w:pos="540"/>
        </w:tabs>
        <w:ind w:left="540" w:hanging="270"/>
      </w:pPr>
      <w:rPr>
        <w:rFonts w:ascii="Calibri" w:hAnsi="Calibri" w:hint="default"/>
      </w:rPr>
    </w:lvl>
  </w:abstractNum>
  <w:num w:numId="27">
    <w:abstractNumId w:val="26"/>
  </w:num>
  <w:abstractNum w:abstractNumId="27">
    <w:multiLevelType w:val="singleLevel"/>
    <w:lvl w:ilvl="0">
      <w:start w:val="1"/>
      <w:numFmt w:val="bullet"/>
      <w:lvlText w:val="•"/>
      <w:suff w:val="tab"/>
      <w:lvlJc w:val="left"/>
      <w:pPr>
        <w:tabs>
          <w:tab w:val="num" w:pos="540"/>
        </w:tabs>
        <w:ind w:left="540" w:hanging="270"/>
      </w:pPr>
      <w:rPr>
        <w:rFonts w:ascii="Calibri" w:hAnsi="Calibri" w:hint="default"/>
      </w:rPr>
    </w:lvl>
  </w:abstractNum>
  <w:num w:numId="28">
    <w:abstractNumId w:val="27"/>
  </w:num>
  <w:abstractNum w:abstractNumId="28">
    <w:multiLevelType w:val="singleLevel"/>
    <w:lvl w:ilvl="0">
      <w:start w:val="1"/>
      <w:numFmt w:val="bullet"/>
      <w:lvlText w:val="•"/>
      <w:suff w:val="tab"/>
      <w:lvlJc w:val="left"/>
      <w:pPr>
        <w:tabs>
          <w:tab w:val="num" w:pos="540"/>
        </w:tabs>
        <w:ind w:left="540" w:hanging="270"/>
      </w:pPr>
      <w:rPr>
        <w:rFonts w:ascii="Calibri" w:hAnsi="Calibri" w:hint="default"/>
      </w:rPr>
    </w:lvl>
  </w:abstractNum>
  <w:num w:numId="29">
    <w:abstractNumId w:val="28"/>
  </w:num>
  <w:abstractNum w:abstractNumId="29">
    <w:multiLevelType w:val="singleLevel"/>
    <w:lvl w:ilvl="0">
      <w:start w:val="1"/>
      <w:numFmt w:val="bullet"/>
      <w:lvlText w:val="•"/>
      <w:suff w:val="tab"/>
      <w:lvlJc w:val="left"/>
      <w:pPr>
        <w:tabs>
          <w:tab w:val="num" w:pos="540"/>
        </w:tabs>
        <w:ind w:left="540" w:hanging="270"/>
      </w:pPr>
      <w:rPr>
        <w:rFonts w:ascii="Calibri" w:hAnsi="Calibri" w:hint="default"/>
      </w:rPr>
    </w:lvl>
  </w:abstractNum>
  <w:num w:numId="30">
    <w:abstractNumId w:val="29"/>
  </w:num>
  <w:abstractNum w:abstractNumId="30">
    <w:multiLevelType w:val="singleLevel"/>
    <w:lvl w:ilvl="0">
      <w:start w:val="1"/>
      <w:numFmt w:val="bullet"/>
      <w:lvlText w:val="•"/>
      <w:suff w:val="tab"/>
      <w:lvlJc w:val="left"/>
      <w:pPr>
        <w:tabs>
          <w:tab w:val="num" w:pos="540"/>
        </w:tabs>
        <w:ind w:left="540" w:hanging="270"/>
      </w:pPr>
      <w:rPr>
        <w:rFonts w:ascii="Calibri" w:hAnsi="Calibri" w:hint="default"/>
      </w:rPr>
    </w:lvl>
  </w:abstractNum>
  <w:num w:numId="31">
    <w:abstractNumId w:val="30"/>
  </w:num>
  <w:abstractNum w:abstractNumId="31">
    <w:multiLevelType w:val="singleLevel"/>
    <w:lvl w:ilvl="0">
      <w:start w:val="1"/>
      <w:numFmt w:val="bullet"/>
      <w:lvlText w:val="•"/>
      <w:suff w:val="tab"/>
      <w:lvlJc w:val="left"/>
      <w:pPr>
        <w:tabs>
          <w:tab w:val="num" w:pos="540"/>
        </w:tabs>
        <w:ind w:left="540" w:hanging="270"/>
      </w:pPr>
      <w:rPr>
        <w:rFonts w:ascii="Calibri" w:hAnsi="Calibri" w:hint="default"/>
      </w:rPr>
    </w:lvl>
  </w:abstractNum>
  <w:num w:numId="32">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162236"/>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spacing w:after="80" w:line="300" w:lineRule="auto"/>
      <w:ind w:left="936" w:hanging="259"/>
      <w:contextualSpacing/>
    </w:pPr>
    <w:rPr>
      <w:rFonts w:ascii="Calibri" w:hAnsi="Calibri"/>
      <w:sz w:val="22"/>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image3dconversion.com/" TargetMode="External"/><Relationship Id="rId12" Type="http://schemas.openxmlformats.org/officeDocument/2006/relationships/hyperlink" Target="https://developers.google.com/search/docs/fundamentals/seo-starter-guide" TargetMode="External"/><Relationship Id="rId13" Type="http://schemas.openxmlformats.org/officeDocument/2006/relationships/hyperlink" Target="https://developers.google.com/search/docs/crawling-indexing/mobile/mobile-sites-mobile-first-indexing" TargetMode="External"/><Relationship Id="rId14" Type="http://schemas.openxmlformats.org/officeDocument/2006/relationships/hyperlink" Target="https://developers.google.com/search/docs/appearance/google-images" TargetMode="External"/><Relationship Id="rId15" Type="http://schemas.openxmlformats.org/officeDocument/2006/relationships/hyperlink" Target="https://developers.google.com/search/docs/appearance/page-experienc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Image3DConversion Homepage Content &amp; Design Psychology Specification</dc:title>
  <dc:subject>Release 1 homepage copy, SEO, design psychology and developer handoff</dc:subject>
  <dc:creator>Image3DConversion</dc:creator>
  <cp:keywords>Image3DConversion, homepage, digital implant planning, surgical guides, content strategy</cp:keywords>
  <dc:description>Prepared for Founder approval and implementation handoff.</dc:description>
  <cp:lastModifiedBy/>
  <cp:revision>1</cp:revision>
  <dcterms:created xsi:type="dcterms:W3CDTF">2013-12-23T23:15:00Z</dcterms:created>
  <dcterms:modified xsi:type="dcterms:W3CDTF">2013-12-23T23:15:00Z</dcterms:modified>
  <cp:category/>
</cp:coreProperties>
</file>