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before="0" w:after="120" w:line="240" w:lineRule="auto"/>
      </w:pPr>
      <w:r>
        <w:rPr>
          <w:rFonts w:ascii="Calibri" w:hAnsi="Calibri" w:eastAsia="Calibri"/>
          <w:b/>
          <w:color w:val="162236"/>
          <w:sz w:val="56"/>
        </w:rPr>
        <w:t>Image3DConversion</w:t>
        <w:br/>
      </w:r>
      <w:r>
        <w:rPr>
          <w:rFonts w:ascii="Calibri" w:hAnsi="Calibri" w:eastAsia="Calibri"/>
          <w:b/>
          <w:color w:val="2E74B5"/>
          <w:sz w:val="56"/>
        </w:rPr>
        <w:t>Homepage</w:t>
      </w:r>
    </w:p>
    <w:p>
      <w:pPr>
        <w:spacing w:before="0" w:after="320" w:line="300" w:lineRule="auto"/>
        <w:jc w:val="left"/>
      </w:pPr>
      <w:r>
        <w:rPr>
          <w:rFonts w:ascii="Calibri" w:hAnsi="Calibri" w:eastAsia="Calibri"/>
          <w:b w:val="0"/>
          <w:i w:val="0"/>
          <w:color w:val="5F6B7A"/>
          <w:sz w:val="26"/>
        </w:rPr>
        <w:t>Final website copy, design psychology, SEO hierarchy, mobile behaviour and implementation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1.2 · 27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Applies to: </w:t>
      </w:r>
      <w:r>
        <w:rPr>
          <w:rFonts w:ascii="Calibri" w:hAnsi="Calibri" w:eastAsia="Calibri"/>
          <w:color w:val="162236"/>
          <w:sz w:val="21"/>
        </w:rPr>
        <w:t>Public homepage at https://www.image3dconversion.com/</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Start a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CREATIVE DECISION  </w:t>
      </w:r>
      <w:r>
        <w:rPr>
          <w:rFonts w:ascii="Calibri" w:hAnsi="Calibri" w:eastAsia="Calibri"/>
          <w:b w:val="0"/>
          <w:color w:val="162236"/>
          <w:sz w:val="22"/>
        </w:rPr>
        <w:t>The homepage begins with the patient smile the practice intends to restore, not the company’s history or a catalogue of guides. It then reveals the aesthetic, prosthetic, functional, biological and surgical workflow that supports that outcome.</w:t>
      </w:r>
    </w:p>
    <w:p>
      <w:pPr>
        <w:pStyle w:val="Heading2"/>
        <w:keepNext w:val="1"/>
        <w:keepLines w:val="1"/>
      </w:pPr>
      <w:r>
        <w:t>What this homepage must feel like</w:t>
      </w:r>
    </w:p>
    <w:p>
      <w:pPr>
        <w:numPr>
          <w:ilvl w:val="0"/>
          <w:numId w:val="10"/>
        </w:numPr>
        <w:spacing w:before="0" w:after="80" w:line="300" w:lineRule="auto"/>
        <w:keepLines w:val="1"/>
      </w:pPr>
      <w:r>
        <w:rPr>
          <w:rFonts w:ascii="Calibri" w:hAnsi="Calibri" w:eastAsia="Calibri"/>
          <w:color w:val="162236"/>
          <w:sz w:val="22"/>
        </w:rPr>
        <w:t>Human and outcome-led: the intended patient smile appears before software, guides or production.</w:t>
      </w:r>
    </w:p>
    <w:p>
      <w:pPr>
        <w:numPr>
          <w:ilvl w:val="0"/>
          <w:numId w:val="10"/>
        </w:numPr>
        <w:spacing w:before="0" w:after="80" w:line="300" w:lineRule="auto"/>
        <w:keepLines w:val="1"/>
      </w:pPr>
      <w:r>
        <w:rPr>
          <w:rFonts w:ascii="Calibri" w:hAnsi="Calibri" w:eastAsia="Calibri"/>
          <w:color w:val="162236"/>
          <w:sz w:val="22"/>
        </w:rPr>
        <w:t>Clinically literate without pretending to make the dentist’s decisions.</w:t>
      </w:r>
    </w:p>
    <w:p>
      <w:pPr>
        <w:numPr>
          <w:ilvl w:val="0"/>
          <w:numId w:val="10"/>
        </w:numPr>
        <w:spacing w:before="0" w:after="80" w:line="300" w:lineRule="auto"/>
        <w:keepLines w:val="1"/>
      </w:pPr>
      <w:r>
        <w:rPr>
          <w:rFonts w:ascii="Calibri" w:hAnsi="Calibri" w:eastAsia="Calibri"/>
          <w:color w:val="162236"/>
          <w:sz w:val="22"/>
        </w:rPr>
        <w:t>Operationally clear without looking like an app dashboard.</w:t>
      </w:r>
    </w:p>
    <w:p>
      <w:pPr>
        <w:numPr>
          <w:ilvl w:val="0"/>
          <w:numId w:val="10"/>
        </w:numPr>
        <w:spacing w:before="0" w:after="80" w:line="300" w:lineRule="auto"/>
        <w:keepLines w:val="1"/>
      </w:pPr>
      <w:r>
        <w:rPr>
          <w:rFonts w:ascii="Calibri" w:hAnsi="Calibri" w:eastAsia="Calibri"/>
          <w:color w:val="162236"/>
          <w:sz w:val="22"/>
        </w:rPr>
        <w:t>Experienced without relying on inflated adjectives or unverified numbers.</w:t>
      </w:r>
    </w:p>
    <w:p>
      <w:pPr>
        <w:numPr>
          <w:ilvl w:val="0"/>
          <w:numId w:val="10"/>
        </w:numPr>
        <w:spacing w:before="0" w:after="80" w:line="300" w:lineRule="auto"/>
        <w:keepLines w:val="1"/>
      </w:pPr>
      <w:r>
        <w:rPr>
          <w:rFonts w:ascii="Calibri" w:hAnsi="Calibri" w:eastAsia="Calibri"/>
          <w:color w:val="162236"/>
          <w:sz w:val="22"/>
        </w:rPr>
        <w:t>Concise enough to scan, substantial enough to trust.</w:t>
      </w:r>
    </w:p>
    <w:p>
      <w:pPr>
        <w:numPr>
          <w:ilvl w:val="0"/>
          <w:numId w:val="10"/>
        </w:numPr>
        <w:spacing w:before="0" w:after="80" w:line="300" w:lineRule="auto"/>
        <w:keepLines w:val="1"/>
      </w:pPr>
      <w:r>
        <w:rPr>
          <w:rFonts w:ascii="Calibri" w:hAnsi="Calibri" w:eastAsia="Calibri"/>
          <w:color w:val="162236"/>
          <w:sz w:val="22"/>
        </w:rPr>
        <w:t>Built around real case evidence, not stock smiles or artificial “future of dentistry” imagery.</w:t>
      </w:r>
    </w:p>
    <w:p>
      <w:pPr>
        <w:numPr>
          <w:ilvl w:val="0"/>
          <w:numId w:val="10"/>
        </w:numPr>
        <w:spacing w:before="0" w:after="80" w:line="300" w:lineRule="auto"/>
        <w:keepLines w:val="1"/>
      </w:pPr>
      <w:r>
        <w:rPr>
          <w:rFonts w:ascii="Calibri" w:hAnsi="Calibri" w:eastAsia="Calibri"/>
          <w:color w:val="162236"/>
          <w:sz w:val="22"/>
        </w:rPr>
        <w:t>Immediately relevant to global practices without relying on flags or unsupported worldwide claims.</w:t>
      </w:r>
    </w:p>
    <w:p>
      <w:pPr>
        <w:pStyle w:val="Heading2"/>
        <w:keepNext w:val="1"/>
        <w:keepLines w:val="1"/>
      </w:pPr>
      <w:r>
        <w:t>What changes from the current public homepage</w:t>
      </w:r>
    </w:p>
    <w:p>
      <w:pPr>
        <w:numPr>
          <w:ilvl w:val="0"/>
          <w:numId w:val="11"/>
        </w:numPr>
        <w:spacing w:before="0" w:after="80" w:line="300" w:lineRule="auto"/>
        <w:keepLines w:val="1"/>
      </w:pPr>
      <w:r>
        <w:rPr>
          <w:rFonts w:ascii="Calibri" w:hAnsi="Calibri" w:eastAsia="Calibri"/>
          <w:color w:val="162236"/>
          <w:sz w:val="22"/>
        </w:rPr>
        <w:t>The first narrative section begins with the intended smile and aesthetic/prosthetic endpoint, then moves into function, biology and execution.</w:t>
      </w:r>
    </w:p>
    <w:p>
      <w:pPr>
        <w:numPr>
          <w:ilvl w:val="0"/>
          <w:numId w:val="11"/>
        </w:numPr>
        <w:spacing w:before="0" w:after="80" w:line="300" w:lineRule="auto"/>
        <w:keepLines w:val="1"/>
      </w:pPr>
      <w:r>
        <w:rPr>
          <w:rFonts w:ascii="Calibri" w:hAnsi="Calibri" w:eastAsia="Calibri"/>
          <w:color w:val="162236"/>
          <w:sz w:val="22"/>
        </w:rPr>
        <w:t>Guided implant workflows become the dominant story; clear aligners, workshops and training leave the primary journey.</w:t>
      </w:r>
    </w:p>
    <w:p>
      <w:pPr>
        <w:numPr>
          <w:ilvl w:val="0"/>
          <w:numId w:val="11"/>
        </w:numPr>
        <w:spacing w:before="0" w:after="80" w:line="300" w:lineRule="auto"/>
        <w:keepLines w:val="1"/>
      </w:pPr>
      <w:r>
        <w:rPr>
          <w:rFonts w:ascii="Calibri" w:hAnsi="Calibri" w:eastAsia="Calibri"/>
          <w:color w:val="162236"/>
          <w:sz w:val="22"/>
        </w:rPr>
        <w:t>The service catalogue becomes four case-led clinical workflows plus three ways to work together.</w:t>
      </w:r>
    </w:p>
    <w:p>
      <w:pPr>
        <w:numPr>
          <w:ilvl w:val="0"/>
          <w:numId w:val="11"/>
        </w:numPr>
        <w:spacing w:before="0" w:after="80" w:line="300" w:lineRule="auto"/>
        <w:keepLines w:val="1"/>
      </w:pPr>
      <w:r>
        <w:rPr>
          <w:rFonts w:ascii="Calibri" w:hAnsi="Calibri" w:eastAsia="Calibri"/>
          <w:color w:val="162236"/>
          <w:sz w:val="22"/>
        </w:rPr>
        <w:t>“Upload your case” becomes a tested portal action; no clinical file belongs in a public lead form.</w:t>
      </w:r>
    </w:p>
    <w:p>
      <w:pPr>
        <w:numPr>
          <w:ilvl w:val="0"/>
          <w:numId w:val="11"/>
        </w:numPr>
        <w:spacing w:before="0" w:after="80" w:line="300" w:lineRule="auto"/>
        <w:keepLines w:val="1"/>
      </w:pPr>
      <w:r>
        <w:rPr>
          <w:rFonts w:ascii="Calibri" w:hAnsi="Calibri" w:eastAsia="Calibri"/>
          <w:color w:val="162236"/>
          <w:sz w:val="22"/>
        </w:rPr>
        <w:t>Generic claims about AI, speed, global scale and “world’s best” performance are removed until they pass the evidence gate.</w:t>
      </w:r>
    </w:p>
    <w:p>
      <w:pPr>
        <w:numPr>
          <w:ilvl w:val="0"/>
          <w:numId w:val="11"/>
        </w:numPr>
        <w:spacing w:before="0" w:after="80" w:line="300" w:lineRule="auto"/>
        <w:keepLines w:val="1"/>
      </w:pPr>
      <w:r>
        <w:rPr>
          <w:rFonts w:ascii="Calibri" w:hAnsi="Calibri" w:eastAsia="Calibri"/>
          <w:color w:val="162236"/>
          <w:sz w:val="22"/>
        </w:rPr>
        <w:t>Education is linked discreetly to SurgiGuideExcellence instead of competing with case submission.</w:t>
      </w:r>
    </w:p>
    <w:p>
      <w:pPr>
        <w:numPr>
          <w:ilvl w:val="0"/>
          <w:numId w:val="11"/>
        </w:numPr>
        <w:spacing w:before="0" w:after="80" w:line="300" w:lineRule="auto"/>
        <w:keepLines w:val="1"/>
      </w:pPr>
      <w:r>
        <w:rPr>
          <w:rFonts w:ascii="Calibri" w:hAnsi="Calibri" w:eastAsia="Calibri"/>
          <w:color w:val="162236"/>
          <w:sz w:val="22"/>
        </w:rPr>
        <w:t>Global-practice fit is demonstrated through review, responsibility, production and delivery options rather than an unqualified global-scale claim.</w:t>
      </w:r>
    </w:p>
    <w:p>
      <w:pPr>
        <w:pStyle w:val="Heading1"/>
        <w:pageBreakBefore w:val="1"/>
        <w:keepNext w:val="1"/>
        <w:keepLines w:val="1"/>
      </w:pPr>
      <w:r>
        <w:t>1. Homepage job and success condition</w:t>
      </w:r>
    </w:p>
    <w:p>
      <w:pPr>
        <w:spacing w:before="0" w:after="80"/>
        <w:keepNext w:val="1"/>
      </w:pPr>
      <w:r>
        <w:rPr>
          <w:rFonts w:ascii="Calibri" w:hAnsi="Calibri" w:eastAsia="Calibri"/>
          <w:b/>
          <w:color w:val="2E74B5"/>
          <w:sz w:val="19"/>
        </w:rPr>
        <w:t>ONE PAGE, ONE COMMERCIAL DECISION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HOMEPAGE JOB  </w:t>
      </w:r>
      <w:r>
        <w:rPr>
          <w:rFonts w:ascii="Calibri" w:hAnsi="Calibri" w:eastAsia="Calibri"/>
          <w:b w:val="0"/>
          <w:color w:val="162236"/>
          <w:sz w:val="22"/>
        </w:rPr>
        <w:t>Help a dental professional identify the right guided implant workflow and move into the correct next action without reading a company brochure.</w:t>
      </w:r>
    </w:p>
    <w:p>
      <w:pPr>
        <w:pStyle w:val="Heading2"/>
        <w:keepNext w:val="1"/>
        <w:keepLines w:val="1"/>
      </w:pPr>
      <w:r>
        <w:t>Visitor questions the page must answer</w:t>
      </w:r>
    </w:p>
    <w:p>
      <w:pPr>
        <w:numPr>
          <w:ilvl w:val="0"/>
          <w:numId w:val="12"/>
        </w:numPr>
        <w:spacing w:before="0" w:after="100" w:line="300" w:lineRule="auto"/>
        <w:keepLines w:val="1"/>
      </w:pPr>
      <w:r>
        <w:rPr>
          <w:rFonts w:ascii="Calibri" w:hAnsi="Calibri" w:eastAsia="Calibri"/>
          <w:b/>
          <w:color w:val="162236"/>
          <w:sz w:val="22"/>
        </w:rPr>
        <w:t xml:space="preserve">Can this workflow begin with the result I want for the patient? </w:t>
      </w:r>
      <w:r>
        <w:rPr>
          <w:rFonts w:ascii="Calibri" w:hAnsi="Calibri" w:eastAsia="Calibri"/>
          <w:color w:val="162236"/>
          <w:sz w:val="22"/>
        </w:rPr>
        <w:t>The intended smile and prosthetic endpoint appear before the technical sequence.</w:t>
      </w:r>
    </w:p>
    <w:p>
      <w:pPr>
        <w:numPr>
          <w:ilvl w:val="0"/>
          <w:numId w:val="12"/>
        </w:numPr>
        <w:spacing w:before="0" w:after="100" w:line="300" w:lineRule="auto"/>
        <w:keepLines w:val="1"/>
      </w:pPr>
      <w:r>
        <w:rPr>
          <w:rFonts w:ascii="Calibri" w:hAnsi="Calibri" w:eastAsia="Calibri"/>
          <w:b/>
          <w:color w:val="162236"/>
          <w:sz w:val="22"/>
        </w:rPr>
        <w:t xml:space="preserve">Is this relevant to my case? </w:t>
      </w:r>
      <w:r>
        <w:rPr>
          <w:rFonts w:ascii="Calibri" w:hAnsi="Calibri" w:eastAsia="Calibri"/>
          <w:color w:val="162236"/>
          <w:sz w:val="22"/>
        </w:rPr>
        <w:t>The four workflow choices follow the outcome section.</w:t>
      </w:r>
    </w:p>
    <w:p>
      <w:pPr>
        <w:numPr>
          <w:ilvl w:val="0"/>
          <w:numId w:val="12"/>
        </w:numPr>
        <w:spacing w:before="0" w:after="100" w:line="300" w:lineRule="auto"/>
        <w:keepLines w:val="1"/>
      </w:pPr>
      <w:r>
        <w:rPr>
          <w:rFonts w:ascii="Calibri" w:hAnsi="Calibri" w:eastAsia="Calibri"/>
          <w:b/>
          <w:color w:val="162236"/>
          <w:sz w:val="22"/>
        </w:rPr>
        <w:t xml:space="preserve">What exactly does Image3DConversion do? </w:t>
      </w:r>
      <w:r>
        <w:rPr>
          <w:rFonts w:ascii="Calibri" w:hAnsi="Calibri" w:eastAsia="Calibri"/>
          <w:color w:val="162236"/>
          <w:sz w:val="22"/>
        </w:rPr>
        <w:t>The page explains the connected digital workflow, not only the fabricated guide.</w:t>
      </w:r>
    </w:p>
    <w:p>
      <w:pPr>
        <w:numPr>
          <w:ilvl w:val="0"/>
          <w:numId w:val="12"/>
        </w:numPr>
        <w:spacing w:before="0" w:after="100" w:line="300" w:lineRule="auto"/>
        <w:keepLines w:val="1"/>
      </w:pPr>
      <w:r>
        <w:rPr>
          <w:rFonts w:ascii="Calibri" w:hAnsi="Calibri" w:eastAsia="Calibri"/>
          <w:b/>
          <w:color w:val="162236"/>
          <w:sz w:val="22"/>
        </w:rPr>
        <w:t xml:space="preserve">Will I remain in control of the plan? </w:t>
      </w:r>
      <w:r>
        <w:rPr>
          <w:rFonts w:ascii="Calibri" w:hAnsi="Calibri" w:eastAsia="Calibri"/>
          <w:color w:val="162236"/>
          <w:sz w:val="22"/>
        </w:rPr>
        <w:t>Clinician review and approval are stated before production.</w:t>
      </w:r>
    </w:p>
    <w:p>
      <w:pPr>
        <w:numPr>
          <w:ilvl w:val="0"/>
          <w:numId w:val="12"/>
        </w:numPr>
        <w:spacing w:before="0" w:after="100" w:line="300" w:lineRule="auto"/>
        <w:keepLines w:val="1"/>
      </w:pPr>
      <w:r>
        <w:rPr>
          <w:rFonts w:ascii="Calibri" w:hAnsi="Calibri" w:eastAsia="Calibri"/>
          <w:b/>
          <w:color w:val="162236"/>
          <w:sz w:val="22"/>
        </w:rPr>
        <w:t xml:space="preserve">What happens after I submit? </w:t>
      </w:r>
      <w:r>
        <w:rPr>
          <w:rFonts w:ascii="Calibri" w:hAnsi="Calibri" w:eastAsia="Calibri"/>
          <w:color w:val="162236"/>
          <w:sz w:val="22"/>
        </w:rPr>
        <w:t>Five visible steps remove operational uncertainty.</w:t>
      </w:r>
    </w:p>
    <w:p>
      <w:pPr>
        <w:numPr>
          <w:ilvl w:val="0"/>
          <w:numId w:val="12"/>
        </w:numPr>
        <w:spacing w:before="0" w:after="100" w:line="300" w:lineRule="auto"/>
        <w:keepLines w:val="1"/>
      </w:pPr>
      <w:r>
        <w:rPr>
          <w:rFonts w:ascii="Calibri" w:hAnsi="Calibri" w:eastAsia="Calibri"/>
          <w:b/>
          <w:color w:val="162236"/>
          <w:sz w:val="22"/>
        </w:rPr>
        <w:t xml:space="preserve">Can this team handle complex work? </w:t>
      </w:r>
      <w:r>
        <w:rPr>
          <w:rFonts w:ascii="Calibri" w:hAnsi="Calibri" w:eastAsia="Calibri"/>
          <w:color w:val="162236"/>
          <w:sz w:val="22"/>
        </w:rPr>
        <w:t>A real, connected case sequence demonstrates depth.</w:t>
      </w:r>
    </w:p>
    <w:p>
      <w:pPr>
        <w:numPr>
          <w:ilvl w:val="0"/>
          <w:numId w:val="12"/>
        </w:numPr>
        <w:spacing w:before="0" w:after="100" w:line="300" w:lineRule="auto"/>
        <w:keepLines w:val="1"/>
      </w:pPr>
      <w:r>
        <w:rPr>
          <w:rFonts w:ascii="Calibri" w:hAnsi="Calibri" w:eastAsia="Calibri"/>
          <w:b/>
          <w:color w:val="162236"/>
          <w:sz w:val="22"/>
        </w:rPr>
        <w:t xml:space="preserve">Can this work with my practice across borders? </w:t>
      </w:r>
      <w:r>
        <w:rPr>
          <w:rFonts w:ascii="Calibri" w:hAnsi="Calibri" w:eastAsia="Calibri"/>
          <w:color w:val="162236"/>
          <w:sz w:val="22"/>
        </w:rPr>
        <w:t>The site explains review, production and delivery choices without overclaiming reach.</w:t>
      </w:r>
    </w:p>
    <w:p>
      <w:pPr>
        <w:numPr>
          <w:ilvl w:val="0"/>
          <w:numId w:val="12"/>
        </w:numPr>
        <w:spacing w:before="0" w:after="100" w:line="300" w:lineRule="auto"/>
        <w:keepLines w:val="1"/>
      </w:pPr>
      <w:r>
        <w:rPr>
          <w:rFonts w:ascii="Calibri" w:hAnsi="Calibri" w:eastAsia="Calibri"/>
          <w:b/>
          <w:color w:val="162236"/>
          <w:sz w:val="22"/>
        </w:rPr>
        <w:t xml:space="preserve">What should I do now? </w:t>
      </w:r>
      <w:r>
        <w:rPr>
          <w:rFonts w:ascii="Calibri" w:hAnsi="Calibri" w:eastAsia="Calibri"/>
          <w:color w:val="162236"/>
          <w:sz w:val="22"/>
        </w:rPr>
        <w:t>Start a Case, Discuss a Complex Case, or Open the Case Portal.</w:t>
      </w:r>
    </w:p>
    <w:p>
      <w:pPr>
        <w:pStyle w:val="Heading2"/>
        <w:keepNext w:val="1"/>
        <w:keepLines w:val="1"/>
      </w:pPr>
      <w:r>
        <w:t>Page-level conversion rule</w:t>
      </w:r>
    </w:p>
    <w:p>
      <w:pPr>
        <w:spacing w:before="0" w:after="120" w:line="300" w:lineRule="auto"/>
        <w:jc w:val="left"/>
      </w:pPr>
      <w:r>
        <w:rPr>
          <w:rFonts w:ascii="Calibri" w:hAnsi="Calibri" w:eastAsia="Calibri"/>
          <w:b w:val="0"/>
          <w:i w:val="0"/>
          <w:color w:val="162236"/>
          <w:sz w:val="22"/>
        </w:rPr>
        <w:t>Primary action: Start a Case. Secondary action: Discuss a Complex Case. Returning-user utility: Open the Case Portal. No fourth competing CTA should appear above the final footer.</w:t>
      </w:r>
    </w:p>
    <w:p>
      <w:pPr>
        <w:spacing w:before="60" w:after="180" w:line="300" w:lineRule="auto"/>
        <w:ind w:left="173" w:right="115"/>
        <w:shd w:fill="F4F6F9"/>
        <w:pBdr>
          <w:left w:val="single" w:sz="18" w:space="8" w:color="1F4D78"/>
        </w:pBdr>
        <w:keepLines w:val="1"/>
      </w:pPr>
      <w:r>
        <w:rPr>
          <w:rFonts w:ascii="Calibri" w:hAnsi="Calibri" w:eastAsia="Calibri"/>
          <w:b/>
          <w:color w:val="1F4D78"/>
          <w:sz w:val="19"/>
        </w:rPr>
        <w:t xml:space="preserve">PROFESSIONAL BOUNDARY  </w:t>
      </w:r>
      <w:r>
        <w:rPr>
          <w:rFonts w:ascii="Calibri" w:hAnsi="Calibri" w:eastAsia="Calibri"/>
          <w:b w:val="0"/>
          <w:color w:val="162236"/>
          <w:sz w:val="22"/>
        </w:rPr>
        <w:t>Image3DConversion supports dental professionals and authorised workflow partners. It does not diagnose patients or replace the treating clinician’s judgement.</w:t>
      </w:r>
    </w:p>
    <w:p>
      <w:pPr>
        <w:pStyle w:val="Heading2"/>
        <w:keepNext w:val="1"/>
        <w:keepLines w:val="1"/>
      </w:pPr>
      <w:r>
        <w:t>Human-writing standard</w:t>
      </w:r>
    </w:p>
    <w:p>
      <w:pPr>
        <w:spacing w:before="0" w:after="120" w:line="300" w:lineRule="auto"/>
        <w:jc w:val="left"/>
      </w:pPr>
      <w:r>
        <w:rPr>
          <w:rFonts w:ascii="Calibri" w:hAnsi="Calibri" w:eastAsia="Calibri"/>
          <w:b w:val="0"/>
          <w:i w:val="0"/>
          <w:color w:val="162236"/>
          <w:sz w:val="22"/>
        </w:rPr>
        <w:t>The page uses short, concrete sentences and names the actual work. It does not perform enthusiasm. Technical terms appear only where a dentist needs them to choose or prepare a workflow.</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680"/>
        <w:gridCol w:w="4680"/>
      </w:tblGrid>
      <w:tr>
        <w:trPr>
          <w:tblHeader w:val="true"/>
        </w:trPr>
        <w:tc>
          <w:tcPr>
            <w:tcW w:type="dxa" w:w="46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w:t>
            </w:r>
          </w:p>
        </w:tc>
        <w:tc>
          <w:tcPr>
            <w:tcW w:type="dxa" w:w="46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Do not use</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Your plan remains under your approval.</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Our AI creates the perfect treatment plan.</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Begin with the smile. Then engineer what must support it.</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Beautiful smiles powered by cutting-edge innovation.</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We check whether the files align before planning begins.</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Seamless integration with cutting-edge technology.</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Choose the workflow your case needs.</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Unlock next-level dentistry.</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Bring us the cases that need more than a template.</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Revolutionising dentistry one smile at a time.</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Production begins after data, scope and approval are complete.</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Guaranteed delivery in 24 hours.</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Choose local production or coordinated delivery.</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Serving the whole world seamlessly.</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2. SEO and page identity</w:t>
      </w:r>
    </w:p>
    <w:p>
      <w:pPr>
        <w:spacing w:before="0" w:after="80"/>
        <w:keepNext w:val="1"/>
      </w:pPr>
      <w:r>
        <w:rPr>
          <w:rFonts w:ascii="Calibri" w:hAnsi="Calibri" w:eastAsia="Calibri"/>
          <w:b/>
          <w:color w:val="2E74B5"/>
          <w:sz w:val="19"/>
        </w:rPr>
        <w:t>SEARCH-FRIENDLY, NOT SEARCH-ENGINE-WRITTEN</w:t>
      </w:r>
    </w:p>
    <w:p>
      <w:pPr>
        <w:spacing w:before="0" w:after="120" w:line="300" w:lineRule="auto"/>
        <w:jc w:val="left"/>
      </w:pPr>
      <w:r>
        <w:rPr>
          <w:rFonts w:ascii="Calibri" w:hAnsi="Calibri" w:eastAsia="Calibri"/>
          <w:b w:val="0"/>
          <w:i w:val="0"/>
          <w:color w:val="162236"/>
          <w:sz w:val="22"/>
        </w:rPr>
        <w:t>The homepage owns the broad commercial intent. Each specialised workflow has its own indexable page, so the homepage does not need repetitive keyword paragraphs.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60"/>
        <w:gridCol w:w="7200"/>
      </w:tblGrid>
      <w:tr>
        <w:trPr>
          <w:tblHeader w:val="true"/>
        </w:trPr>
        <w:tc>
          <w:tcPr>
            <w:tcW w:type="dxa" w:w="2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7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Locked recommendation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Route</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Canonical</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https://www.image3dconversion.com/</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Indexing</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Index, follow</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Primary search intent</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 implant planning services; surgical guide services</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SEO title</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 Implant Planning &amp; Surgical Guides | Image3DConversion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Meta description</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Plan routine and complex guided implant cases with expert digital planning, surgical guides, full-arch workflows and clinician review before production.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Visible H1</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Plan the outcome. Guide the execution.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Primary CTA</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Start a Case</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Secondary CTA</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 a Complex Case</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Returning-user link</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Open the Case Portal</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Heading and intent hierarchy</w:t>
      </w:r>
    </w:p>
    <w:p>
      <w:pPr>
        <w:numPr>
          <w:ilvl w:val="0"/>
          <w:numId w:val="13"/>
        </w:numPr>
        <w:spacing w:before="0" w:after="80" w:line="300" w:lineRule="auto"/>
        <w:keepLines w:val="1"/>
      </w:pPr>
      <w:r>
        <w:rPr>
          <w:rFonts w:ascii="Calibri" w:hAnsi="Calibri" w:eastAsia="Calibri"/>
          <w:b/>
          <w:color w:val="162236"/>
          <w:sz w:val="22"/>
        </w:rPr>
        <w:t xml:space="preserve">H1 — </w:t>
      </w:r>
      <w:r>
        <w:rPr>
          <w:rFonts w:ascii="Calibri" w:hAnsi="Calibri" w:eastAsia="Calibri"/>
          <w:color w:val="162236"/>
          <w:sz w:val="22"/>
        </w:rPr>
        <w:t>Plan the outcome. Guide the execution.</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Start with the smile you intend to restore.</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Choose the workflow your case needs.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The guide is one part of the workflow.</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One case. Five visible steps.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Choose how much support your practice needs.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Built to work with practices across borders.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Bring us the cases that need more than a template.</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Evidence, not adjectives.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Send the right data before planning begins.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Ready when the case is.</w:t>
      </w:r>
    </w:p>
    <w:p>
      <w:pPr>
        <w:pStyle w:val="Heading2"/>
        <w:keepNext w:val="1"/>
        <w:keepLines w:val="1"/>
      </w:pPr>
      <w:r>
        <w:t>Primary internal links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320"/>
        <w:gridCol w:w="5040"/>
      </w:tblGrid>
      <w:tr>
        <w:trPr>
          <w:tblHeader w:val="true"/>
        </w:trPr>
        <w:tc>
          <w:tcPr>
            <w:tcW w:type="dxa" w:w="43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Anchor text</w:t>
            </w:r>
          </w:p>
        </w:tc>
        <w:tc>
          <w:tcPr>
            <w:tcW w:type="dxa" w:w="50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Explore the Guided Implant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/guided-implant-workflow/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Explore the Full-Arch Stackable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/full-arch-stackable-workflow/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Zygoma &amp; Pterygoid Planning</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/zygoma-pterygoid-planning/</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the Immediate-Loading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/immediate-loading-workflow/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See how the case workflow works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/how-it-works/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case requirements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/case-requirements/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View case workflows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/case-evidence/</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Compare ways to work with us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/digital-implant-workflows/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 a Complex Case</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/discuss-a-case/</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Open the Case Portal</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/case-portal/</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F4F6F9"/>
        <w:pBdr>
          <w:left w:val="single" w:sz="18" w:space="8" w:color="A67C00"/>
        </w:pBdr>
        <w:keepLines w:val="1"/>
      </w:pPr>
      <w:r>
        <w:rPr>
          <w:rFonts w:ascii="Calibri" w:hAnsi="Calibri" w:eastAsia="Calibri"/>
          <w:b/>
          <w:color w:val="A67C00"/>
          <w:sz w:val="19"/>
        </w:rPr>
        <w:t xml:space="preserve">SEO GUARDRAIL  </w:t>
      </w:r>
      <w:r>
        <w:rPr>
          <w:rFonts w:ascii="Calibri" w:hAnsi="Calibri" w:eastAsia="Calibri"/>
          <w:b w:val="0"/>
          <w:color w:val="162236"/>
          <w:sz w:val="22"/>
        </w:rPr>
        <w:t>Do not add a keyword list, hidden text, location stuffing, duplicated city pages or an FAQ block merely to make the homepage longer. The specialised workflow pages carry the depth.</w:t>
      </w:r>
    </w:p>
    <w:p>
      <w:pPr>
        <w:pStyle w:val="Heading1"/>
        <w:pageBreakBefore w:val="1"/>
        <w:keepNext w:val="1"/>
        <w:keepLines w:val="1"/>
      </w:pPr>
      <w:r>
        <w:t>3. Global header and first-screen behaviour</w:t>
      </w:r>
    </w:p>
    <w:p>
      <w:pPr>
        <w:spacing w:before="0" w:after="80"/>
        <w:keepNext w:val="1"/>
      </w:pPr>
      <w:r>
        <w:rPr>
          <w:rFonts w:ascii="Calibri" w:hAnsi="Calibri" w:eastAsia="Calibri"/>
          <w:b/>
          <w:color w:val="2E74B5"/>
          <w:sz w:val="19"/>
        </w:rPr>
        <w:t>FAST ORIENTATION</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800"/>
        <w:gridCol w:w="2520"/>
        <w:gridCol w:w="5040"/>
      </w:tblGrid>
      <w:tr>
        <w:trPr>
          <w:tblHeader w:val="true"/>
        </w:trPr>
        <w:tc>
          <w:tcPr>
            <w:tcW w:type="dxa" w:w="1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Zone</w:t>
            </w:r>
          </w:p>
        </w:tc>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label</w:t>
            </w:r>
          </w:p>
        </w:tc>
        <w:tc>
          <w:tcPr>
            <w:tcW w:type="dxa" w:w="50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Logo</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Returns to homepage.</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Solutions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Opens a concise workflow menu.</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How It Works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/how-it-works/.</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Workflows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/case-evidence/.</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For Partners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/white-label-workflow-partner/.</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About</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/about/.</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Utility</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Case Portal</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Text link; always visible on desktop.</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button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a Case</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Routes to the tested portal registration/login path.</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Solutions menu</w:t>
      </w:r>
    </w:p>
    <w:p>
      <w:pPr>
        <w:numPr>
          <w:ilvl w:val="0"/>
          <w:numId w:val="14"/>
        </w:numPr>
        <w:spacing w:before="0" w:after="80" w:line="300" w:lineRule="auto"/>
        <w:keepLines w:val="1"/>
      </w:pPr>
      <w:r>
        <w:rPr>
          <w:rFonts w:ascii="Calibri" w:hAnsi="Calibri" w:eastAsia="Calibri"/>
          <w:color w:val="162236"/>
          <w:sz w:val="22"/>
        </w:rPr>
        <w:t>Guided Implant Workflow</w:t>
      </w:r>
    </w:p>
    <w:p>
      <w:pPr>
        <w:numPr>
          <w:ilvl w:val="0"/>
          <w:numId w:val="14"/>
        </w:numPr>
        <w:spacing w:before="0" w:after="80" w:line="300" w:lineRule="auto"/>
        <w:keepLines w:val="1"/>
      </w:pPr>
      <w:r>
        <w:rPr>
          <w:rFonts w:ascii="Calibri" w:hAnsi="Calibri" w:eastAsia="Calibri"/>
          <w:color w:val="162236"/>
          <w:sz w:val="22"/>
        </w:rPr>
        <w:t>Full-Arch Stackable Workflow</w:t>
      </w:r>
    </w:p>
    <w:p>
      <w:pPr>
        <w:numPr>
          <w:ilvl w:val="0"/>
          <w:numId w:val="14"/>
        </w:numPr>
        <w:spacing w:before="0" w:after="80" w:line="300" w:lineRule="auto"/>
        <w:keepLines w:val="1"/>
      </w:pPr>
      <w:r>
        <w:rPr>
          <w:rFonts w:ascii="Calibri" w:hAnsi="Calibri" w:eastAsia="Calibri"/>
          <w:color w:val="162236"/>
          <w:sz w:val="22"/>
        </w:rPr>
        <w:t>Zygoma &amp; Pterygoid Planning</w:t>
      </w:r>
    </w:p>
    <w:p>
      <w:pPr>
        <w:numPr>
          <w:ilvl w:val="0"/>
          <w:numId w:val="14"/>
        </w:numPr>
        <w:spacing w:before="0" w:after="80" w:line="300" w:lineRule="auto"/>
        <w:keepLines w:val="1"/>
      </w:pPr>
      <w:r>
        <w:rPr>
          <w:rFonts w:ascii="Calibri" w:hAnsi="Calibri" w:eastAsia="Calibri"/>
          <w:color w:val="162236"/>
          <w:sz w:val="22"/>
        </w:rPr>
        <w:t>Immediate-Loading Workflow</w:t>
      </w:r>
    </w:p>
    <w:p>
      <w:pPr>
        <w:numPr>
          <w:ilvl w:val="0"/>
          <w:numId w:val="14"/>
        </w:numPr>
        <w:spacing w:before="0" w:after="80" w:line="300" w:lineRule="auto"/>
        <w:keepLines w:val="1"/>
      </w:pPr>
      <w:r>
        <w:rPr>
          <w:rFonts w:ascii="Calibri" w:hAnsi="Calibri" w:eastAsia="Calibri"/>
          <w:color w:val="162236"/>
          <w:sz w:val="22"/>
        </w:rPr>
        <w:t>Case Data &amp; Diagnostic Preparation</w:t>
      </w:r>
    </w:p>
    <w:p>
      <w:pPr>
        <w:numPr>
          <w:ilvl w:val="0"/>
          <w:numId w:val="14"/>
        </w:numPr>
        <w:spacing w:before="0" w:after="80" w:line="300" w:lineRule="auto"/>
        <w:keepLines w:val="1"/>
      </w:pPr>
      <w:r>
        <w:rPr>
          <w:rFonts w:ascii="Calibri" w:hAnsi="Calibri" w:eastAsia="Calibri"/>
          <w:color w:val="162236"/>
          <w:sz w:val="22"/>
        </w:rPr>
        <w:t>Design Only</w:t>
      </w:r>
    </w:p>
    <w:p>
      <w:pPr>
        <w:numPr>
          <w:ilvl w:val="0"/>
          <w:numId w:val="14"/>
        </w:numPr>
        <w:spacing w:before="0" w:after="80" w:line="300" w:lineRule="auto"/>
        <w:keepLines w:val="1"/>
      </w:pPr>
      <w:r>
        <w:rPr>
          <w:rFonts w:ascii="Calibri" w:hAnsi="Calibri" w:eastAsia="Calibri"/>
          <w:color w:val="162236"/>
          <w:sz w:val="22"/>
        </w:rPr>
        <w:t>Design to Delivery</w:t>
      </w:r>
    </w:p>
    <w:p>
      <w:pPr>
        <w:spacing w:before="0" w:after="120" w:line="300" w:lineRule="auto"/>
        <w:jc w:val="left"/>
      </w:pPr>
      <w:r>
        <w:rPr>
          <w:rFonts w:ascii="Calibri" w:hAnsi="Calibri" w:eastAsia="Calibri"/>
          <w:b w:val="0"/>
          <w:i w:val="0"/>
          <w:color w:val="5F6B7A"/>
          <w:sz w:val="20"/>
        </w:rPr>
        <w:t>Do not place Orthodontics, Training, Blogs, Careers or every secondary service in the first navigation level. They can remain in the footer or their appropriate external destination.</w:t>
      </w:r>
    </w:p>
    <w:p>
      <w:pPr>
        <w:pStyle w:val="Heading2"/>
        <w:pageBreakBefore w:val="1"/>
        <w:keepNext w:val="1"/>
        <w:keepLines w:val="1"/>
      </w:pPr>
      <w:r>
        <w:t>Hero: final publish copy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Eyebrow: </w:t>
      </w:r>
      <w:r>
        <w:rPr>
          <w:rFonts w:ascii="Calibri" w:hAnsi="Calibri" w:eastAsia="Calibri"/>
          <w:color w:val="162236"/>
          <w:sz w:val="21"/>
        </w:rPr>
        <w:t>DIGITAL IMPLANT PLANNING &amp; SURGICAL GUIDE SERVICES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H1: </w:t>
      </w:r>
      <w:r>
        <w:rPr>
          <w:rFonts w:ascii="Calibri" w:hAnsi="Calibri" w:eastAsia="Calibri"/>
          <w:color w:val="162236"/>
          <w:sz w:val="21"/>
        </w:rPr>
        <w:t>Plan the outcome. Guide the execution.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Begin with the smile you intend to restore. Image3DConversion helps coordinate the aesthetic and prosthetic objective with function, biology, anatomy, implant planning, guide design and the approved route to delivery. Your treatment plan remains under your approval at every critical stage.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Start a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Utility link: </w:t>
      </w:r>
      <w:r>
        <w:rPr>
          <w:rFonts w:ascii="Calibri" w:hAnsi="Calibri" w:eastAsia="Calibri"/>
          <w:color w:val="162236"/>
          <w:sz w:val="21"/>
        </w:rPr>
        <w:t>Already working with us? Open the Case Portal.</w:t>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Professional note: </w:t>
      </w:r>
      <w:r>
        <w:rPr>
          <w:rFonts w:ascii="Calibri" w:hAnsi="Calibri" w:eastAsia="Calibri"/>
          <w:color w:val="162236"/>
          <w:sz w:val="21"/>
        </w:rPr>
        <w:t>Services are provided to dental professionals and authorised workflow partners.</w:t>
      </w:r>
    </w:p>
    <w:p>
      <w:pPr>
        <w:spacing w:before="0" w:after="60" w:line="300" w:lineRule="auto"/>
        <w:jc w:val="left"/>
        <w:keepNext w:val="1"/>
        <w:keepLines w:val="1"/>
      </w:pPr>
      <w:r>
        <w:rPr>
          <w:rFonts w:ascii="Calibri" w:hAnsi="Calibri" w:eastAsia="Calibri"/>
          <w:b w:val="0"/>
          <w:i/>
          <w:color w:val="5F6B7A"/>
          <w:sz w:val="19"/>
        </w:rPr>
        <w:t>Psychological job: Lead with the patient outcome, establish professional relevance, then make clinician control and the secure next action visible.</w:t>
      </w:r>
    </w:p>
    <w:p>
      <w:pPr>
        <w:spacing w:before="0" w:after="60" w:line="300" w:lineRule="auto"/>
        <w:jc w:val="left"/>
        <w:keepNext w:val="1"/>
        <w:keepLines w:val="1"/>
      </w:pPr>
      <w:r>
        <w:rPr>
          <w:rFonts w:ascii="Calibri" w:hAnsi="Calibri" w:eastAsia="Calibri"/>
          <w:b w:val="0"/>
          <w:i w:val="0"/>
          <w:color w:val="5F6B7A"/>
          <w:sz w:val="19"/>
        </w:rPr>
        <w:t>Visual direction: Use one consented patient-smile reference or an approved facially referenced prosthetic setup, connected to the implant plan and guide from the same real case. Text occupies about 42% of the desktop width; the case visual occupies 58%.</w:t>
      </w:r>
    </w:p>
    <w:p>
      <w:pPr>
        <w:spacing w:before="0" w:after="60" w:line="300" w:lineRule="auto"/>
        <w:jc w:val="left"/>
        <w:keepNext w:val="1"/>
        <w:keepLines w:val="1"/>
      </w:pPr>
      <w:r>
        <w:rPr>
          <w:rFonts w:ascii="Calibri" w:hAnsi="Calibri" w:eastAsia="Calibri"/>
          <w:b w:val="0"/>
          <w:i w:val="0"/>
          <w:color w:val="5F6B7A"/>
          <w:sz w:val="19"/>
        </w:rPr>
        <w:t>Mobile: Copy appears before the visual. Start a Case is full width; Discuss a Complex Case is a restrained secondary button; the portal link remains visible below.</w:t>
      </w:r>
    </w:p>
    <w:p>
      <w:pPr>
        <w:spacing w:before="0" w:after="140" w:line="300" w:lineRule="auto"/>
        <w:jc w:val="left"/>
        <w:keepLines w:val="1"/>
      </w:pPr>
      <w:r>
        <w:rPr>
          <w:rFonts w:ascii="Calibri" w:hAnsi="Calibri" w:eastAsia="Calibri"/>
          <w:b w:val="0"/>
          <w:i w:val="0"/>
          <w:color w:val="5F6B7A"/>
          <w:sz w:val="19"/>
        </w:rPr>
        <w:t>Implementation: No stock smile, AI-generated patient, AI brain, robot, abstract mesh or text baked into the image. A recognisable patient image requires explicit publication consent. Avoid an autoplay video as the largest content element.</w:t>
      </w:r>
    </w:p>
    <w:p>
      <w:pPr>
        <w:pStyle w:val="Heading1"/>
        <w:pageBreakBefore w:val="1"/>
        <w:keepNext w:val="1"/>
        <w:keepLines w:val="1"/>
      </w:pPr>
      <w:r>
        <w:t>4. Section-by-section homepage copy</w:t>
      </w:r>
    </w:p>
    <w:p>
      <w:pPr>
        <w:spacing w:before="0" w:after="80"/>
        <w:keepNext w:val="1"/>
      </w:pPr>
      <w:r>
        <w:rPr>
          <w:rFonts w:ascii="Calibri" w:hAnsi="Calibri" w:eastAsia="Calibri"/>
          <w:b/>
          <w:color w:val="2E74B5"/>
          <w:sz w:val="19"/>
        </w:rPr>
        <w:t>SECTION 2  /  PATIENT OUTCOME</w:t>
      </w:r>
    </w:p>
    <w:p>
      <w:pPr>
        <w:pStyle w:val="Heading2"/>
        <w:keepNext w:val="1"/>
        <w:keepLines w:val="1"/>
      </w:pPr>
      <w:r>
        <w:t>Start with the smile you intend to restore.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The smile establishes the destination. Tooth position, proportion, display, lip support and prosthetic form shape the aesthetic objective. Function, occlusion, biology and available anatomy then determine how that objective can be supported responsibly.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Design order: </w:t>
      </w:r>
      <w:r>
        <w:rPr>
          <w:rFonts w:ascii="Calibri" w:hAnsi="Calibri" w:eastAsia="Calibri"/>
          <w:color w:val="162236"/>
          <w:sz w:val="21"/>
        </w:rPr>
        <w:t>Smile and facial reference → Aesthetic and prosthetic setup → Function and biology → Anatomy and implant plan → Guided execution</w:t>
      </w:r>
    </w:p>
    <w:p>
      <w:pPr>
        <w:spacing w:before="0" w:after="60" w:line="300" w:lineRule="auto"/>
        <w:jc w:val="left"/>
        <w:keepNext w:val="1"/>
        <w:keepLines w:val="1"/>
      </w:pPr>
      <w:r>
        <w:rPr>
          <w:rFonts w:ascii="Calibri" w:hAnsi="Calibri" w:eastAsia="Calibri"/>
          <w:b w:val="0"/>
          <w:i/>
          <w:color w:val="5F6B7A"/>
          <w:sz w:val="19"/>
        </w:rPr>
        <w:t>Psychological job: Begin with a human outcome dentists value, then earn technical authority by showing what must support it. Aesthetics opens the story; function and biology make it credible.</w:t>
      </w:r>
    </w:p>
    <w:p>
      <w:pPr>
        <w:spacing w:before="0" w:after="60" w:line="300" w:lineRule="auto"/>
        <w:jc w:val="left"/>
        <w:keepNext w:val="1"/>
        <w:keepLines w:val="1"/>
      </w:pPr>
      <w:r>
        <w:rPr>
          <w:rFonts w:ascii="Calibri" w:hAnsi="Calibri" w:eastAsia="Calibri"/>
          <w:b w:val="0"/>
          <w:i w:val="0"/>
          <w:color w:val="5F6B7A"/>
          <w:sz w:val="19"/>
        </w:rPr>
        <w:t>Visual direction: Use one consented smile or facial reference beside the approved digital tooth setup. Reveal occlusion, restorative space, anatomy and implant position progressively from the same case.</w:t>
      </w:r>
    </w:p>
    <w:p>
      <w:pPr>
        <w:spacing w:before="0" w:after="60" w:line="300" w:lineRule="auto"/>
        <w:jc w:val="left"/>
        <w:keepNext w:val="1"/>
        <w:keepLines w:val="1"/>
      </w:pPr>
      <w:r>
        <w:rPr>
          <w:rFonts w:ascii="Calibri" w:hAnsi="Calibri" w:eastAsia="Calibri"/>
          <w:b w:val="0"/>
          <w:i w:val="0"/>
          <w:color w:val="5F6B7A"/>
          <w:sz w:val="19"/>
        </w:rPr>
        <w:t>Mobile: Show the smile/setup pairing first, followed by the five-stage design order as a vertical sequence.</w:t>
      </w:r>
    </w:p>
    <w:p>
      <w:pPr>
        <w:spacing w:before="0" w:after="140" w:line="300" w:lineRule="auto"/>
        <w:jc w:val="left"/>
        <w:keepLines w:val="1"/>
      </w:pPr>
      <w:r>
        <w:rPr>
          <w:rFonts w:ascii="Calibri" w:hAnsi="Calibri" w:eastAsia="Calibri"/>
          <w:b w:val="0"/>
          <w:i w:val="0"/>
          <w:color w:val="5F6B7A"/>
          <w:sz w:val="19"/>
        </w:rPr>
        <w:t>Implementation: Do not present a stock or generated smile as a treatment result. Do not imply that aesthetics overrides biology, hygiene, function or clinical indication.</w:t>
      </w:r>
    </w:p>
    <w:p>
      <w:pPr>
        <w:spacing w:before="0" w:after="80"/>
        <w:keepNext w:val="1"/>
      </w:pPr>
      <w:r>
        <w:rPr>
          <w:rFonts w:ascii="Calibri" w:hAnsi="Calibri" w:eastAsia="Calibri"/>
          <w:b/>
          <w:color w:val="2E74B5"/>
          <w:sz w:val="19"/>
        </w:rPr>
        <w:t>SECTION 3  /  CASE RECOGNITION</w:t>
      </w:r>
    </w:p>
    <w:p>
      <w:pPr>
        <w:pStyle w:val="Heading2"/>
        <w:keepNext w:val="1"/>
        <w:keepLines w:val="1"/>
      </w:pPr>
      <w:r>
        <w:t>Choose the workflow your case needs.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Intro: </w:t>
      </w:r>
      <w:r>
        <w:rPr>
          <w:rFonts w:ascii="Calibri" w:hAnsi="Calibri" w:eastAsia="Calibri"/>
          <w:color w:val="162236"/>
          <w:sz w:val="21"/>
        </w:rPr>
        <w:t>Start with the clinical situation. We will show you the records, planning path and deliverables that belong together.</w:t>
      </w:r>
    </w:p>
    <w:p>
      <w:pPr>
        <w:spacing w:before="80" w:after="40"/>
        <w:keepNext w:val="1"/>
      </w:pPr>
      <w:r>
        <w:rPr>
          <w:rFonts w:ascii="Calibri" w:hAnsi="Calibri" w:eastAsia="Calibri"/>
          <w:b/>
          <w:color w:val="1F4D78"/>
          <w:sz w:val="23"/>
        </w:rPr>
        <w:t>Guided Implant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Restoration-led planning and surgical guide support for single and multiple implant cases.</w:t>
      </w:r>
      <w:r>
        <w:rPr>
          <w:rFonts w:ascii="Calibri" w:hAnsi="Calibri" w:eastAsia="Calibri"/>
          <w:b/>
          <w:color w:val="2E74B5"/>
          <w:sz w:val="19"/>
        </w:rPr>
        <w:t xml:space="preserve">  Link label: Explore the Guided Implant Workflow</w:t>
      </w:r>
    </w:p>
    <w:p>
      <w:pPr>
        <w:spacing w:before="80" w:after="40"/>
        <w:keepNext w:val="1"/>
      </w:pPr>
      <w:r>
        <w:rPr>
          <w:rFonts w:ascii="Calibri" w:hAnsi="Calibri" w:eastAsia="Calibri"/>
          <w:b/>
          <w:color w:val="1F4D78"/>
          <w:sz w:val="23"/>
        </w:rPr>
        <w:t>Full-Arch Stackable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coordinated sequence for bone reduction, implant placement, MUA positioning and provisional delivery.</w:t>
      </w:r>
      <w:r>
        <w:rPr>
          <w:rFonts w:ascii="Calibri" w:hAnsi="Calibri" w:eastAsia="Calibri"/>
          <w:b/>
          <w:color w:val="2E74B5"/>
          <w:sz w:val="19"/>
        </w:rPr>
        <w:t xml:space="preserve">  Link label: Explore the Full-Arch Stackable Workflow</w:t>
      </w:r>
    </w:p>
    <w:p>
      <w:pPr>
        <w:spacing w:before="80" w:after="40"/>
        <w:keepNext w:val="1"/>
      </w:pPr>
      <w:r>
        <w:rPr>
          <w:rFonts w:ascii="Calibri" w:hAnsi="Calibri" w:eastAsia="Calibri"/>
          <w:b/>
          <w:color w:val="1F4D78"/>
          <w:sz w:val="23"/>
        </w:rPr>
        <w:t>Zygoma &amp; Pterygoid Planning</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Advanced planning support where anatomy, implant trajectory and prosthetic intent must be reviewed together.</w:t>
      </w:r>
      <w:r>
        <w:rPr>
          <w:rFonts w:ascii="Calibri" w:hAnsi="Calibri" w:eastAsia="Calibri"/>
          <w:b/>
          <w:color w:val="2E74B5"/>
          <w:sz w:val="19"/>
        </w:rPr>
        <w:t xml:space="preserve">  Link label: Review Zygoma &amp; Pterygoid Planning</w:t>
      </w:r>
    </w:p>
    <w:p>
      <w:pPr>
        <w:spacing w:before="80" w:after="40"/>
        <w:keepNext w:val="1"/>
      </w:pPr>
      <w:r>
        <w:rPr>
          <w:rFonts w:ascii="Calibri" w:hAnsi="Calibri" w:eastAsia="Calibri"/>
          <w:b/>
          <w:color w:val="1F4D78"/>
          <w:sz w:val="23"/>
        </w:rPr>
        <w:t>Immediate-Loading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Align the approved plan, guide and provisional reference before the surgical appointment.</w:t>
      </w:r>
      <w:r>
        <w:rPr>
          <w:rFonts w:ascii="Calibri" w:hAnsi="Calibri" w:eastAsia="Calibri"/>
          <w:b/>
          <w:color w:val="2E74B5"/>
          <w:sz w:val="19"/>
        </w:rPr>
        <w:t xml:space="preserve">  Link label: Review the Immediate-Loading Workflow</w:t>
      </w:r>
    </w:p>
    <w:p>
      <w:pPr>
        <w:spacing w:before="0" w:after="60" w:line="300" w:lineRule="auto"/>
        <w:jc w:val="left"/>
        <w:keepNext w:val="1"/>
        <w:keepLines w:val="1"/>
      </w:pPr>
      <w:r>
        <w:rPr>
          <w:rFonts w:ascii="Calibri" w:hAnsi="Calibri" w:eastAsia="Calibri"/>
          <w:b w:val="0"/>
          <w:i/>
          <w:color w:val="5F6B7A"/>
          <w:sz w:val="19"/>
        </w:rPr>
        <w:t>Psychological job: Recognition beats persuasion. The visitor chooses a case type before encountering company claims.</w:t>
      </w:r>
    </w:p>
    <w:p>
      <w:pPr>
        <w:spacing w:before="0" w:after="60" w:line="300" w:lineRule="auto"/>
        <w:jc w:val="left"/>
        <w:keepNext w:val="1"/>
        <w:keepLines w:val="1"/>
      </w:pPr>
      <w:r>
        <w:rPr>
          <w:rFonts w:ascii="Calibri" w:hAnsi="Calibri" w:eastAsia="Calibri"/>
          <w:b w:val="0"/>
          <w:i w:val="0"/>
          <w:color w:val="5F6B7A"/>
          <w:sz w:val="19"/>
        </w:rPr>
        <w:t>Visual direction: Four large case cards use real planning views, not service icons. Keep card labels and descriptions visible without hover. Use a quiet two-by-two grid on desktop.</w:t>
      </w:r>
    </w:p>
    <w:p>
      <w:pPr>
        <w:spacing w:before="0" w:after="60" w:line="300" w:lineRule="auto"/>
        <w:jc w:val="left"/>
        <w:keepNext w:val="1"/>
        <w:keepLines w:val="1"/>
      </w:pPr>
      <w:r>
        <w:rPr>
          <w:rFonts w:ascii="Calibri" w:hAnsi="Calibri" w:eastAsia="Calibri"/>
          <w:b w:val="0"/>
          <w:i w:val="0"/>
          <w:color w:val="5F6B7A"/>
          <w:sz w:val="19"/>
        </w:rPr>
        <w:t>Mobile: Single-column cards in the same order; no horizontal swipe carousel. Each card has a clear text link.</w:t>
      </w:r>
    </w:p>
    <w:p>
      <w:pPr>
        <w:spacing w:before="0" w:after="140" w:line="300" w:lineRule="auto"/>
        <w:jc w:val="left"/>
        <w:keepLines w:val="1"/>
      </w:pPr>
      <w:r>
        <w:rPr>
          <w:rFonts w:ascii="Calibri" w:hAnsi="Calibri" w:eastAsia="Calibri"/>
          <w:b w:val="0"/>
          <w:i w:val="0"/>
          <w:color w:val="5F6B7A"/>
          <w:sz w:val="19"/>
        </w:rPr>
        <w:t>Implementation: Every card is one semantic link with crawlable HTML text. The image alt text must describe the actual planning view shown.</w:t>
      </w:r>
    </w:p>
    <w:p>
      <w:pPr>
        <w:spacing w:before="0" w:after="80"/>
        <w:keepNext w:val="1"/>
      </w:pPr>
      <w:r>
        <w:rPr>
          <w:rFonts w:ascii="Calibri" w:hAnsi="Calibri" w:eastAsia="Calibri"/>
          <w:b/>
          <w:color w:val="2E74B5"/>
          <w:sz w:val="19"/>
        </w:rPr>
        <w:t>SECTION 4  /  DIFFERENTIATION</w:t>
      </w:r>
    </w:p>
    <w:p>
      <w:pPr>
        <w:pStyle w:val="Heading2"/>
        <w:keepNext w:val="1"/>
        <w:keepLines w:val="1"/>
      </w:pPr>
      <w:r>
        <w:t>The guide is one part of the 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A usable guide begins before guide design. The patient data must align. The planned restoration must be visible. The implant system and drilling protocol must be confirmed. The clinician must review the plan. We coordinate those steps before production begins.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Pull line: </w:t>
      </w:r>
      <w:r>
        <w:rPr>
          <w:rFonts w:ascii="Calibri" w:hAnsi="Calibri" w:eastAsia="Calibri"/>
          <w:color w:val="162236"/>
          <w:sz w:val="21"/>
        </w:rPr>
        <w:t>The guide is the last step, not the point.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See how the case workflow works</w:t>
      </w:r>
    </w:p>
    <w:p>
      <w:pPr>
        <w:spacing w:before="0" w:after="60" w:line="300" w:lineRule="auto"/>
        <w:jc w:val="left"/>
        <w:keepNext w:val="1"/>
        <w:keepLines w:val="1"/>
      </w:pPr>
      <w:r>
        <w:rPr>
          <w:rFonts w:ascii="Calibri" w:hAnsi="Calibri" w:eastAsia="Calibri"/>
          <w:b w:val="0"/>
          <w:i/>
          <w:color w:val="5F6B7A"/>
          <w:sz w:val="19"/>
        </w:rPr>
        <w:t>Psychological job: Reframe Image3DConversion from a guide fabricator to the digital workflow partner behind the guide.</w:t>
      </w:r>
    </w:p>
    <w:p>
      <w:pPr>
        <w:spacing w:before="0" w:after="60" w:line="300" w:lineRule="auto"/>
        <w:jc w:val="left"/>
        <w:keepNext w:val="1"/>
        <w:keepLines w:val="1"/>
      </w:pPr>
      <w:r>
        <w:rPr>
          <w:rFonts w:ascii="Calibri" w:hAnsi="Calibri" w:eastAsia="Calibri"/>
          <w:b w:val="0"/>
          <w:i w:val="0"/>
          <w:color w:val="5F6B7A"/>
          <w:sz w:val="19"/>
        </w:rPr>
        <w:t>Visual direction: Use a five-layer vertical or scroll-led sequence: planned restoration; anatomy and scan data; implant/component plan; guide/provisional design; approved delivery.</w:t>
      </w:r>
    </w:p>
    <w:p>
      <w:pPr>
        <w:spacing w:before="0" w:after="60" w:line="300" w:lineRule="auto"/>
        <w:jc w:val="left"/>
        <w:keepNext w:val="1"/>
        <w:keepLines w:val="1"/>
      </w:pPr>
      <w:r>
        <w:rPr>
          <w:rFonts w:ascii="Calibri" w:hAnsi="Calibri" w:eastAsia="Calibri"/>
          <w:b w:val="0"/>
          <w:i w:val="0"/>
          <w:color w:val="5F6B7A"/>
          <w:sz w:val="19"/>
        </w:rPr>
        <w:t>Mobile: Show all five layers as a compact vertical sequence. Do not hide core copy behind tabs.</w:t>
      </w:r>
    </w:p>
    <w:p>
      <w:pPr>
        <w:spacing w:before="0" w:after="140" w:line="300" w:lineRule="auto"/>
        <w:jc w:val="left"/>
        <w:keepLines w:val="1"/>
      </w:pPr>
      <w:r>
        <w:rPr>
          <w:rFonts w:ascii="Calibri" w:hAnsi="Calibri" w:eastAsia="Calibri"/>
          <w:b w:val="0"/>
          <w:i w:val="0"/>
          <w:color w:val="5F6B7A"/>
          <w:sz w:val="19"/>
        </w:rPr>
        <w:t>Implementation: Use de-identified screenshots and production photographs from the same representative case whenever possible. Do not assemble unrelated stock visuals into a false case story.</w:t>
      </w:r>
    </w:p>
    <w:p>
      <w:pPr>
        <w:spacing w:before="0" w:after="80"/>
        <w:keepNext w:val="1"/>
      </w:pPr>
      <w:r>
        <w:rPr>
          <w:rFonts w:ascii="Calibri" w:hAnsi="Calibri" w:eastAsia="Calibri"/>
          <w:b/>
          <w:color w:val="2E74B5"/>
          <w:sz w:val="19"/>
        </w:rPr>
        <w:t>SECTION 5  /  OPERATIONAL CLARITY</w:t>
      </w:r>
    </w:p>
    <w:p>
      <w:pPr>
        <w:pStyle w:val="Heading2"/>
        <w:keepNext w:val="1"/>
        <w:keepLines w:val="1"/>
      </w:pPr>
      <w:r>
        <w:t>One case. Five visible steps.</w:t>
      </w:r>
    </w:p>
    <w:p>
      <w:pPr>
        <w:numPr>
          <w:ilvl w:val="0"/>
          <w:numId w:val="15"/>
        </w:numPr>
        <w:spacing w:before="0" w:after="100" w:line="300" w:lineRule="auto"/>
        <w:keepLines w:val="1"/>
      </w:pPr>
      <w:r>
        <w:rPr>
          <w:rFonts w:ascii="Calibri" w:hAnsi="Calibri" w:eastAsia="Calibri"/>
          <w:b/>
          <w:color w:val="162236"/>
          <w:sz w:val="22"/>
        </w:rPr>
        <w:t xml:space="preserve">Submit securely. </w:t>
      </w:r>
      <w:r>
        <w:rPr>
          <w:rFonts w:ascii="Calibri" w:hAnsi="Calibri" w:eastAsia="Calibri"/>
          <w:color w:val="162236"/>
          <w:sz w:val="22"/>
        </w:rPr>
        <w:t>Create a practice account and upload the prescription and required case records inside the Case Portal.</w:t>
      </w:r>
    </w:p>
    <w:p>
      <w:pPr>
        <w:numPr>
          <w:ilvl w:val="0"/>
          <w:numId w:val="15"/>
        </w:numPr>
        <w:spacing w:before="0" w:after="100" w:line="300" w:lineRule="auto"/>
        <w:keepLines w:val="1"/>
      </w:pPr>
      <w:r>
        <w:rPr>
          <w:rFonts w:ascii="Calibri" w:hAnsi="Calibri" w:eastAsia="Calibri"/>
          <w:b/>
          <w:color w:val="162236"/>
          <w:sz w:val="22"/>
        </w:rPr>
        <w:t xml:space="preserve">Validate the data. </w:t>
      </w:r>
      <w:r>
        <w:rPr>
          <w:rFonts w:ascii="Calibri" w:hAnsi="Calibri" w:eastAsia="Calibri"/>
          <w:color w:val="162236"/>
          <w:sz w:val="22"/>
        </w:rPr>
        <w:t>We check file completeness, scan alignment and the information needed for the selected workflow.</w:t>
      </w:r>
    </w:p>
    <w:p>
      <w:pPr>
        <w:numPr>
          <w:ilvl w:val="0"/>
          <w:numId w:val="15"/>
        </w:numPr>
        <w:spacing w:before="0" w:after="100" w:line="300" w:lineRule="auto"/>
        <w:keepLines w:val="1"/>
      </w:pPr>
      <w:r>
        <w:rPr>
          <w:rFonts w:ascii="Calibri" w:hAnsi="Calibri" w:eastAsia="Calibri"/>
          <w:b/>
          <w:color w:val="162236"/>
          <w:sz w:val="22"/>
        </w:rPr>
        <w:t xml:space="preserve">Review the plan. </w:t>
      </w:r>
      <w:r>
        <w:rPr>
          <w:rFonts w:ascii="Calibri" w:hAnsi="Calibri" w:eastAsia="Calibri"/>
          <w:color w:val="162236"/>
          <w:sz w:val="22"/>
        </w:rPr>
        <w:t>The proposed plan and relevant references are shared for clinician review.</w:t>
      </w:r>
    </w:p>
    <w:p>
      <w:pPr>
        <w:numPr>
          <w:ilvl w:val="0"/>
          <w:numId w:val="15"/>
        </w:numPr>
        <w:spacing w:before="0" w:after="100" w:line="300" w:lineRule="auto"/>
        <w:keepLines w:val="1"/>
      </w:pPr>
      <w:r>
        <w:rPr>
          <w:rFonts w:ascii="Calibri" w:hAnsi="Calibri" w:eastAsia="Calibri"/>
          <w:b/>
          <w:color w:val="162236"/>
          <w:sz w:val="22"/>
        </w:rPr>
        <w:t xml:space="preserve">Approve production. </w:t>
      </w:r>
      <w:r>
        <w:rPr>
          <w:rFonts w:ascii="Calibri" w:hAnsi="Calibri" w:eastAsia="Calibri"/>
          <w:color w:val="162236"/>
          <w:sz w:val="22"/>
        </w:rPr>
        <w:t>Production begins only after the required approval and scope confirmation.</w:t>
      </w:r>
    </w:p>
    <w:p>
      <w:pPr>
        <w:numPr>
          <w:ilvl w:val="0"/>
          <w:numId w:val="15"/>
        </w:numPr>
        <w:spacing w:before="0" w:after="100" w:line="300" w:lineRule="auto"/>
        <w:keepLines w:val="1"/>
      </w:pPr>
      <w:r>
        <w:rPr>
          <w:rFonts w:ascii="Calibri" w:hAnsi="Calibri" w:eastAsia="Calibri"/>
          <w:b/>
          <w:color w:val="162236"/>
          <w:sz w:val="22"/>
        </w:rPr>
        <w:t xml:space="preserve">Track delivery. </w:t>
      </w:r>
      <w:r>
        <w:rPr>
          <w:rFonts w:ascii="Calibri" w:hAnsi="Calibri" w:eastAsia="Calibri"/>
          <w:color w:val="162236"/>
          <w:sz w:val="22"/>
        </w:rPr>
        <w:t>Follow the case status and receive files, dispatch details or completion information in one place.</w:t>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Responsibility note: </w:t>
      </w:r>
      <w:r>
        <w:rPr>
          <w:rFonts w:ascii="Calibri" w:hAnsi="Calibri" w:eastAsia="Calibri"/>
          <w:color w:val="162236"/>
          <w:sz w:val="21"/>
        </w:rPr>
        <w:t>The treating clinician remains responsible for diagnosis, treatment decisions and final approval.</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Review case requirements</w:t>
      </w:r>
    </w:p>
    <w:p>
      <w:pPr>
        <w:spacing w:before="0" w:after="60" w:line="300" w:lineRule="auto"/>
        <w:jc w:val="left"/>
        <w:keepNext w:val="1"/>
        <w:keepLines w:val="1"/>
      </w:pPr>
      <w:r>
        <w:rPr>
          <w:rFonts w:ascii="Calibri" w:hAnsi="Calibri" w:eastAsia="Calibri"/>
          <w:b w:val="0"/>
          <w:i/>
          <w:color w:val="5F6B7A"/>
          <w:sz w:val="19"/>
        </w:rPr>
        <w:t>Psychological job: Make the process feel legible. Visibility and approval reduce the fear of handing a complex case to a remote team.</w:t>
      </w:r>
    </w:p>
    <w:p>
      <w:pPr>
        <w:spacing w:before="0" w:after="60" w:line="300" w:lineRule="auto"/>
        <w:jc w:val="left"/>
        <w:keepNext w:val="1"/>
        <w:keepLines w:val="1"/>
      </w:pPr>
      <w:r>
        <w:rPr>
          <w:rFonts w:ascii="Calibri" w:hAnsi="Calibri" w:eastAsia="Calibri"/>
          <w:b w:val="0"/>
          <w:i w:val="0"/>
          <w:color w:val="5F6B7A"/>
          <w:sz w:val="19"/>
        </w:rPr>
        <w:t>Visual direction: Use five numbered steps with one portal-status example beside each. Avoid a decorative zig-zag infographic.</w:t>
      </w:r>
    </w:p>
    <w:p>
      <w:pPr>
        <w:spacing w:before="0" w:after="60" w:line="300" w:lineRule="auto"/>
        <w:jc w:val="left"/>
        <w:keepNext w:val="1"/>
        <w:keepLines w:val="1"/>
      </w:pPr>
      <w:r>
        <w:rPr>
          <w:rFonts w:ascii="Calibri" w:hAnsi="Calibri" w:eastAsia="Calibri"/>
          <w:b w:val="0"/>
          <w:i w:val="0"/>
          <w:color w:val="5F6B7A"/>
          <w:sz w:val="19"/>
        </w:rPr>
        <w:t>Mobile: Stack steps vertically with the active action line in bold. All text remains present in the DOM.</w:t>
      </w:r>
    </w:p>
    <w:p>
      <w:pPr>
        <w:spacing w:before="0" w:after="140" w:line="300" w:lineRule="auto"/>
        <w:jc w:val="left"/>
        <w:keepLines w:val="1"/>
      </w:pPr>
      <w:r>
        <w:rPr>
          <w:rFonts w:ascii="Calibri" w:hAnsi="Calibri" w:eastAsia="Calibri"/>
          <w:b w:val="0"/>
          <w:i w:val="0"/>
          <w:color w:val="5F6B7A"/>
          <w:sz w:val="19"/>
        </w:rPr>
        <w:t>Implementation: The words Submit securely and Case Portal can publish only after the production route and security review are confirmed. If not confirmed, use Submit through the Case Portal.</w:t>
      </w:r>
    </w:p>
    <w:p>
      <w:pPr>
        <w:spacing w:before="0" w:after="80"/>
        <w:keepNext w:val="1"/>
      </w:pPr>
      <w:r>
        <w:rPr>
          <w:rFonts w:ascii="Calibri" w:hAnsi="Calibri" w:eastAsia="Calibri"/>
          <w:b/>
          <w:color w:val="2E74B5"/>
          <w:sz w:val="19"/>
        </w:rPr>
        <w:t>SECTION 6  /  AUTONOMY</w:t>
      </w:r>
    </w:p>
    <w:p>
      <w:pPr>
        <w:pStyle w:val="Heading2"/>
        <w:keepNext w:val="1"/>
        <w:keepLines w:val="1"/>
      </w:pPr>
      <w:r>
        <w:t>Choose how much support your practice needs.</w:t>
      </w:r>
    </w:p>
    <w:p>
      <w:pPr>
        <w:spacing w:before="80" w:after="40"/>
        <w:keepNext w:val="1"/>
      </w:pPr>
      <w:r>
        <w:rPr>
          <w:rFonts w:ascii="Calibri" w:hAnsi="Calibri" w:eastAsia="Calibri"/>
          <w:b/>
          <w:color w:val="1F4D78"/>
          <w:sz w:val="23"/>
        </w:rPr>
        <w:t>Design Only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Planning and ready-to-print files for teams with a validated local production workflow.</w:t>
      </w:r>
      <w:r>
        <w:rPr>
          <w:rFonts w:ascii="Calibri" w:hAnsi="Calibri" w:eastAsia="Calibri"/>
          <w:b/>
          <w:color w:val="2E74B5"/>
          <w:sz w:val="19"/>
        </w:rPr>
        <w:t xml:space="preserve">  Link label: Review Design-Only Support</w:t>
      </w:r>
    </w:p>
    <w:p>
      <w:pPr>
        <w:spacing w:before="80" w:after="40"/>
        <w:keepNext w:val="1"/>
      </w:pPr>
      <w:r>
        <w:rPr>
          <w:rFonts w:ascii="Calibri" w:hAnsi="Calibri" w:eastAsia="Calibri"/>
          <w:b/>
          <w:color w:val="1F4D78"/>
          <w:sz w:val="23"/>
        </w:rPr>
        <w:t>Design to Delivery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Planning, design, production coordination and delivery managed through one case.</w:t>
      </w:r>
      <w:r>
        <w:rPr>
          <w:rFonts w:ascii="Calibri" w:hAnsi="Calibri" w:eastAsia="Calibri"/>
          <w:b/>
          <w:color w:val="2E74B5"/>
          <w:sz w:val="19"/>
        </w:rPr>
        <w:t xml:space="preserve">  Link label: Review Design-to-Delivery Support</w:t>
      </w:r>
    </w:p>
    <w:p>
      <w:pPr>
        <w:spacing w:before="80" w:after="40"/>
        <w:keepNext w:val="1"/>
      </w:pPr>
      <w:r>
        <w:rPr>
          <w:rFonts w:ascii="Calibri" w:hAnsi="Calibri" w:eastAsia="Calibri"/>
          <w:b/>
          <w:color w:val="1F4D78"/>
          <w:sz w:val="23"/>
        </w:rPr>
        <w:t>White-Label Workflow Partnership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Specialist workflow capacity for laboratories, practice groups, implant companies and international partners.</w:t>
      </w:r>
      <w:r>
        <w:rPr>
          <w:rFonts w:ascii="Calibri" w:hAnsi="Calibri" w:eastAsia="Calibri"/>
          <w:b/>
          <w:color w:val="2E74B5"/>
          <w:sz w:val="19"/>
        </w:rPr>
        <w:t xml:space="preserve">  Link label: Discuss a Workflow Partnership</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Section link: </w:t>
      </w:r>
      <w:r>
        <w:rPr>
          <w:rFonts w:ascii="Calibri" w:hAnsi="Calibri" w:eastAsia="Calibri"/>
          <w:color w:val="162236"/>
          <w:sz w:val="21"/>
        </w:rPr>
        <w:t>Compare ways to work with us</w:t>
      </w:r>
    </w:p>
    <w:p>
      <w:pPr>
        <w:spacing w:before="0" w:after="60" w:line="300" w:lineRule="auto"/>
        <w:jc w:val="left"/>
        <w:keepNext w:val="1"/>
        <w:keepLines w:val="1"/>
      </w:pPr>
      <w:r>
        <w:rPr>
          <w:rFonts w:ascii="Calibri" w:hAnsi="Calibri" w:eastAsia="Calibri"/>
          <w:b w:val="0"/>
          <w:i/>
          <w:color w:val="5F6B7A"/>
          <w:sz w:val="19"/>
        </w:rPr>
        <w:t>Psychological job: Give the dentist or partner control over scope. The site should not force every visitor into the highest-service package.</w:t>
      </w:r>
    </w:p>
    <w:p>
      <w:pPr>
        <w:spacing w:before="0" w:after="60" w:line="300" w:lineRule="auto"/>
        <w:jc w:val="left"/>
        <w:keepNext w:val="1"/>
        <w:keepLines w:val="1"/>
      </w:pPr>
      <w:r>
        <w:rPr>
          <w:rFonts w:ascii="Calibri" w:hAnsi="Calibri" w:eastAsia="Calibri"/>
          <w:b w:val="0"/>
          <w:i w:val="0"/>
          <w:color w:val="5F6B7A"/>
          <w:sz w:val="19"/>
        </w:rPr>
        <w:t>Visual direction: Three calm columns with a short scope line and a concrete best-fit note. Use no pricing table on the homepage.</w:t>
      </w:r>
    </w:p>
    <w:p>
      <w:pPr>
        <w:spacing w:before="0" w:after="60" w:line="300" w:lineRule="auto"/>
        <w:jc w:val="left"/>
        <w:keepNext w:val="1"/>
        <w:keepLines w:val="1"/>
      </w:pPr>
      <w:r>
        <w:rPr>
          <w:rFonts w:ascii="Calibri" w:hAnsi="Calibri" w:eastAsia="Calibri"/>
          <w:b w:val="0"/>
          <w:i w:val="0"/>
          <w:color w:val="5F6B7A"/>
          <w:sz w:val="19"/>
        </w:rPr>
        <w:t>Mobile: Keep all three choices stacked and readable. Each CTA names the specific mode.</w:t>
      </w:r>
    </w:p>
    <w:p>
      <w:pPr>
        <w:spacing w:before="0" w:after="140" w:line="300" w:lineRule="auto"/>
        <w:jc w:val="left"/>
        <w:keepLines w:val="1"/>
      </w:pPr>
      <w:r>
        <w:rPr>
          <w:rFonts w:ascii="Calibri" w:hAnsi="Calibri" w:eastAsia="Calibri"/>
          <w:b w:val="0"/>
          <w:i w:val="0"/>
          <w:color w:val="5F6B7A"/>
          <w:sz w:val="19"/>
        </w:rPr>
        <w:t>Implementation: Publish only the modes that operations can support at launch. Do not show a mode as Coming Soon in the homepage grid.</w:t>
      </w:r>
    </w:p>
    <w:p>
      <w:pPr>
        <w:spacing w:before="0" w:after="80"/>
        <w:keepNext w:val="1"/>
      </w:pPr>
      <w:r>
        <w:rPr>
          <w:rFonts w:ascii="Calibri" w:hAnsi="Calibri" w:eastAsia="Calibri"/>
          <w:b/>
          <w:color w:val="2E74B5"/>
          <w:sz w:val="19"/>
        </w:rPr>
        <w:t>SECTION 7  /  GLOBAL PRACTICE FIT</w:t>
      </w:r>
    </w:p>
    <w:p>
      <w:pPr>
        <w:pStyle w:val="Heading2"/>
        <w:keepNext w:val="1"/>
        <w:keepLines w:val="1"/>
      </w:pPr>
      <w:r>
        <w:t>Built to work with practices across borders.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Use Image3DConversion as a design partner for validated local production, coordinate design and delivery through one case, or establish a white-label workflow for a practice group, laboratory or implant partner.</w:t>
      </w:r>
    </w:p>
    <w:p>
      <w:pPr>
        <w:spacing w:before="80" w:after="40"/>
        <w:keepNext w:val="1"/>
      </w:pPr>
      <w:r>
        <w:rPr>
          <w:rFonts w:ascii="Calibri" w:hAnsi="Calibri" w:eastAsia="Calibri"/>
          <w:b/>
          <w:color w:val="1F4D78"/>
          <w:sz w:val="23"/>
        </w:rPr>
        <w:t>Review without geography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Versioned plans, named questions and recorded approvals allow clinical and technical teams to review the same case without sharing one location.</w:t>
      </w:r>
    </w:p>
    <w:p>
      <w:pPr>
        <w:spacing w:before="80" w:after="40"/>
        <w:keepNext w:val="1"/>
      </w:pPr>
      <w:r>
        <w:rPr>
          <w:rFonts w:ascii="Calibri" w:hAnsi="Calibri" w:eastAsia="Calibri"/>
          <w:b/>
          <w:color w:val="1F4D78"/>
          <w:sz w:val="23"/>
        </w:rPr>
        <w:t>Choose the production route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ready-to-produce files with a validated local workflow or select coordinated production and delivery where the confirmed service scope supports it.</w:t>
      </w:r>
    </w:p>
    <w:p>
      <w:pPr>
        <w:spacing w:before="80" w:after="40"/>
        <w:keepNext w:val="1"/>
      </w:pPr>
      <w:r>
        <w:rPr>
          <w:rFonts w:ascii="Calibri" w:hAnsi="Calibri" w:eastAsia="Calibri"/>
          <w:b/>
          <w:color w:val="1F4D78"/>
          <w:sz w:val="23"/>
        </w:rPr>
        <w:t>Know the responsibility split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File preparation, clinical decisions, design, manufacturing checks, shipping and local verification are assigned before work begins.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link: </w:t>
      </w:r>
      <w:r>
        <w:rPr>
          <w:rFonts w:ascii="Calibri" w:hAnsi="Calibri" w:eastAsia="Calibri"/>
          <w:color w:val="162236"/>
          <w:sz w:val="21"/>
        </w:rPr>
        <w:t>Review Global Practice Workflows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link: </w:t>
      </w:r>
      <w:r>
        <w:rPr>
          <w:rFonts w:ascii="Calibri" w:hAnsi="Calibri" w:eastAsia="Calibri"/>
          <w:color w:val="162236"/>
          <w:sz w:val="21"/>
        </w:rPr>
        <w:t>Discuss a Workflow Partnership</w:t>
      </w:r>
    </w:p>
    <w:p>
      <w:pPr>
        <w:spacing w:before="0" w:after="60" w:line="300" w:lineRule="auto"/>
        <w:jc w:val="left"/>
        <w:keepNext w:val="1"/>
        <w:keepLines w:val="1"/>
      </w:pPr>
      <w:r>
        <w:rPr>
          <w:rFonts w:ascii="Calibri" w:hAnsi="Calibri" w:eastAsia="Calibri"/>
          <w:b w:val="0"/>
          <w:i/>
          <w:color w:val="5F6B7A"/>
          <w:sz w:val="19"/>
        </w:rPr>
        <w:t>Psychological job: Reduce the risk a global practice feels when considering a remote workflow partner. Operational clarity carries more trust than flags, maps or the word worldwide.</w:t>
      </w:r>
    </w:p>
    <w:p>
      <w:pPr>
        <w:spacing w:before="0" w:after="60" w:line="300" w:lineRule="auto"/>
        <w:jc w:val="left"/>
        <w:keepNext w:val="1"/>
        <w:keepLines w:val="1"/>
      </w:pPr>
      <w:r>
        <w:rPr>
          <w:rFonts w:ascii="Calibri" w:hAnsi="Calibri" w:eastAsia="Calibri"/>
          <w:b w:val="0"/>
          <w:i w:val="0"/>
          <w:color w:val="5F6B7A"/>
          <w:sz w:val="19"/>
        </w:rPr>
        <w:t>Visual direction: Show one case moving through three real environments: practice review, Image3DConversion planning and approved local production or coordinated delivery. Use a simple blue route line on white, not a flag collage.</w:t>
      </w:r>
    </w:p>
    <w:p>
      <w:pPr>
        <w:spacing w:before="0" w:after="60" w:line="300" w:lineRule="auto"/>
        <w:jc w:val="left"/>
        <w:keepNext w:val="1"/>
        <w:keepLines w:val="1"/>
      </w:pPr>
      <w:r>
        <w:rPr>
          <w:rFonts w:ascii="Calibri" w:hAnsi="Calibri" w:eastAsia="Calibri"/>
          <w:b w:val="0"/>
          <w:i w:val="0"/>
          <w:color w:val="5F6B7A"/>
          <w:sz w:val="19"/>
        </w:rPr>
        <w:t>Mobile: Use three stacked responsibility cards. Keep the route choice and service conditions visible without hover.</w:t>
      </w:r>
    </w:p>
    <w:p>
      <w:pPr>
        <w:spacing w:before="0" w:after="140" w:line="300" w:lineRule="auto"/>
        <w:jc w:val="left"/>
        <w:keepLines w:val="1"/>
      </w:pPr>
      <w:r>
        <w:rPr>
          <w:rFonts w:ascii="Calibri" w:hAnsi="Calibri" w:eastAsia="Calibri"/>
          <w:b w:val="0"/>
          <w:i w:val="0"/>
          <w:color w:val="5F6B7A"/>
          <w:sz w:val="19"/>
        </w:rPr>
        <w:t>Implementation: Publish countries, time-zone response windows, currencies, languages, shipping regions, data safeguards and turnaround bands only after operations and legal verification.</w:t>
      </w:r>
    </w:p>
    <w:p>
      <w:pPr>
        <w:spacing w:before="0" w:after="80"/>
        <w:keepNext w:val="1"/>
      </w:pPr>
      <w:r>
        <w:rPr>
          <w:rFonts w:ascii="Calibri" w:hAnsi="Calibri" w:eastAsia="Calibri"/>
          <w:b/>
          <w:color w:val="2E74B5"/>
          <w:sz w:val="19"/>
        </w:rPr>
        <w:t>SECTION 8  /  COMPLEX-CASE AUTHORITY</w:t>
      </w:r>
    </w:p>
    <w:p>
      <w:pPr>
        <w:pStyle w:val="Heading2"/>
        <w:keepNext w:val="1"/>
        <w:keepLines w:val="1"/>
      </w:pPr>
      <w:r>
        <w:t>Bring us the cases that need more than a template.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Lead: </w:t>
      </w:r>
      <w:r>
        <w:rPr>
          <w:rFonts w:ascii="Calibri" w:hAnsi="Calibri" w:eastAsia="Calibri"/>
          <w:color w:val="162236"/>
          <w:sz w:val="21"/>
        </w:rPr>
        <w:t>A full-arch case is not a collection of products. It is one sequence.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Full-arch, immediate-loading, pterygoid and zygomatic cases involve more than implant coordinates. They require a shared understanding of the restorative goal, support strategy, surgical sequence and approval points.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Sequence: </w:t>
      </w:r>
      <w:r>
        <w:rPr>
          <w:rFonts w:ascii="Calibri" w:hAnsi="Calibri" w:eastAsia="Calibri"/>
          <w:color w:val="162236"/>
          <w:sz w:val="21"/>
        </w:rPr>
        <w:t>Pin fixation → Bone reduction → Implant placement → MUA positioning → Prosthesis pickup</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Closing line: </w:t>
      </w:r>
      <w:r>
        <w:rPr>
          <w:rFonts w:ascii="Calibri" w:hAnsi="Calibri" w:eastAsia="Calibri"/>
          <w:color w:val="162236"/>
          <w:sz w:val="21"/>
        </w:rPr>
        <w:t>Discuss the workflow before uploading the complete case if the scope is still being defined.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Explore the Full-Arch Stackable Workflow</w:t>
      </w:r>
    </w:p>
    <w:p>
      <w:pPr>
        <w:spacing w:before="0" w:after="60" w:line="300" w:lineRule="auto"/>
        <w:jc w:val="left"/>
        <w:keepNext w:val="1"/>
        <w:keepLines w:val="1"/>
      </w:pPr>
      <w:r>
        <w:rPr>
          <w:rFonts w:ascii="Calibri" w:hAnsi="Calibri" w:eastAsia="Calibri"/>
          <w:b w:val="0"/>
          <w:i/>
          <w:color w:val="5F6B7A"/>
          <w:sz w:val="19"/>
        </w:rPr>
        <w:t>Psychological job: Demonstrate specialist depth through dependency and sequence, not through claims of being the best.</w:t>
      </w:r>
    </w:p>
    <w:p>
      <w:pPr>
        <w:spacing w:before="0" w:after="60" w:line="300" w:lineRule="auto"/>
        <w:jc w:val="left"/>
        <w:keepNext w:val="1"/>
        <w:keepLines w:val="1"/>
      </w:pPr>
      <w:r>
        <w:rPr>
          <w:rFonts w:ascii="Calibri" w:hAnsi="Calibri" w:eastAsia="Calibri"/>
          <w:b w:val="0"/>
          <w:i w:val="0"/>
          <w:color w:val="5F6B7A"/>
          <w:sz w:val="19"/>
        </w:rPr>
        <w:t>Visual direction: Use one real case as a continuous sequence on a white field. A full Image3DConversion Blue band may create one controlled contrast moment, with the guide layers and captions kept simple.</w:t>
      </w:r>
    </w:p>
    <w:p>
      <w:pPr>
        <w:spacing w:before="0" w:after="60" w:line="300" w:lineRule="auto"/>
        <w:jc w:val="left"/>
        <w:keepNext w:val="1"/>
        <w:keepLines w:val="1"/>
      </w:pPr>
      <w:r>
        <w:rPr>
          <w:rFonts w:ascii="Calibri" w:hAnsi="Calibri" w:eastAsia="Calibri"/>
          <w:b w:val="0"/>
          <w:i w:val="0"/>
          <w:color w:val="5F6B7A"/>
          <w:sz w:val="19"/>
        </w:rPr>
        <w:t>Mobile: Use a top-to-bottom sequence with a small image at each stage. Do not compress five stages into an unreadable horizontal graphic.</w:t>
      </w:r>
    </w:p>
    <w:p>
      <w:pPr>
        <w:spacing w:before="0" w:after="140" w:line="300" w:lineRule="auto"/>
        <w:jc w:val="left"/>
        <w:keepLines w:val="1"/>
      </w:pPr>
      <w:r>
        <w:rPr>
          <w:rFonts w:ascii="Calibri" w:hAnsi="Calibri" w:eastAsia="Calibri"/>
          <w:b w:val="0"/>
          <w:i w:val="0"/>
          <w:color w:val="5F6B7A"/>
          <w:sz w:val="19"/>
        </w:rPr>
        <w:t>Implementation: The selected case must be de-identified and permission-cleared. Captions must state what is actually shown and must not imply a clinical outcome not documented by the treating team.</w:t>
      </w:r>
    </w:p>
    <w:p>
      <w:pPr>
        <w:spacing w:before="0" w:after="80"/>
        <w:keepNext w:val="1"/>
      </w:pPr>
      <w:r>
        <w:rPr>
          <w:rFonts w:ascii="Calibri" w:hAnsi="Calibri" w:eastAsia="Calibri"/>
          <w:b/>
          <w:color w:val="2E74B5"/>
          <w:sz w:val="19"/>
        </w:rPr>
        <w:t>SECTION 9  /  PROOF</w:t>
      </w:r>
    </w:p>
    <w:p>
      <w:pPr>
        <w:pStyle w:val="Heading2"/>
        <w:keepNext w:val="1"/>
        <w:keepLines w:val="1"/>
      </w:pPr>
      <w:r>
        <w:t>Evidence, not adjectives.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See what was received, what had to be decided, what the treating team approved and what was delivered. Each published case is de-identified and permission-cleared.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Filter labels: </w:t>
      </w:r>
      <w:r>
        <w:rPr>
          <w:rFonts w:ascii="Calibri" w:hAnsi="Calibri" w:eastAsia="Calibri"/>
          <w:color w:val="162236"/>
          <w:sz w:val="21"/>
        </w:rPr>
        <w:t>Guided implant · Full arch · Immediate loading · Zygoma &amp; pterygoid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link: </w:t>
      </w:r>
      <w:r>
        <w:rPr>
          <w:rFonts w:ascii="Calibri" w:hAnsi="Calibri" w:eastAsia="Calibri"/>
          <w:color w:val="162236"/>
          <w:sz w:val="21"/>
        </w:rPr>
        <w:t>View case workflows</w:t>
      </w:r>
    </w:p>
    <w:p>
      <w:pPr>
        <w:spacing w:before="60" w:after="180" w:line="300" w:lineRule="auto"/>
        <w:ind w:left="173" w:right="115"/>
        <w:shd w:fill="FFF7E1"/>
        <w:pBdr>
          <w:left w:val="single" w:sz="18" w:space="8" w:color="A67C00"/>
        </w:pBdr>
        <w:keepLines w:val="1"/>
      </w:pPr>
      <w:r>
        <w:rPr>
          <w:rFonts w:ascii="Calibri" w:hAnsi="Calibri" w:eastAsia="Calibri"/>
          <w:b/>
          <w:color w:val="A67C00"/>
          <w:sz w:val="19"/>
        </w:rPr>
        <w:t xml:space="preserve">NUMERIC PROOF GATE  </w:t>
      </w:r>
      <w:r>
        <w:rPr>
          <w:rFonts w:ascii="Calibri" w:hAnsi="Calibri" w:eastAsia="Calibri"/>
          <w:b w:val="0"/>
          <w:color w:val="162236"/>
          <w:sz w:val="22"/>
        </w:rPr>
        <w:t>Do not publish 50,000+, 100,000+, 17+ years, 300+ active users, 24-hour delivery, named partners or compatibility claims until each has a definition, evidence source, owner and review date. The current 50,000+ and 100,000+ case narratives conflict and must be reconciled.</w:t>
      </w:r>
    </w:p>
    <w:p>
      <w:pPr>
        <w:spacing w:before="0" w:after="60" w:line="300" w:lineRule="auto"/>
        <w:jc w:val="left"/>
        <w:keepNext w:val="1"/>
        <w:keepLines w:val="1"/>
      </w:pPr>
      <w:r>
        <w:rPr>
          <w:rFonts w:ascii="Calibri" w:hAnsi="Calibri" w:eastAsia="Calibri"/>
          <w:b w:val="0"/>
          <w:i/>
          <w:color w:val="5F6B7A"/>
          <w:sz w:val="19"/>
        </w:rPr>
        <w:t>Psychological job: Specific work earns trust more credibly than a wall of statistics.</w:t>
      </w:r>
    </w:p>
    <w:p>
      <w:pPr>
        <w:spacing w:before="0" w:after="60" w:line="300" w:lineRule="auto"/>
        <w:jc w:val="left"/>
        <w:keepNext w:val="1"/>
        <w:keepLines w:val="1"/>
      </w:pPr>
      <w:r>
        <w:rPr>
          <w:rFonts w:ascii="Calibri" w:hAnsi="Calibri" w:eastAsia="Calibri"/>
          <w:b w:val="0"/>
          <w:i w:val="0"/>
          <w:color w:val="5F6B7A"/>
          <w:sz w:val="19"/>
        </w:rPr>
        <w:t>Visual direction: Show one featured case plus three small workflow thumbnails. No auto-rotating testimonial carousel.</w:t>
      </w:r>
    </w:p>
    <w:p>
      <w:pPr>
        <w:spacing w:before="0" w:after="60" w:line="300" w:lineRule="auto"/>
        <w:jc w:val="left"/>
        <w:keepNext w:val="1"/>
        <w:keepLines w:val="1"/>
      </w:pPr>
      <w:r>
        <w:rPr>
          <w:rFonts w:ascii="Calibri" w:hAnsi="Calibri" w:eastAsia="Calibri"/>
          <w:b w:val="0"/>
          <w:i w:val="0"/>
          <w:color w:val="5F6B7A"/>
          <w:sz w:val="19"/>
        </w:rPr>
        <w:t>Mobile: Feature one case at a time with manual controls and visible captions.</w:t>
      </w:r>
    </w:p>
    <w:p>
      <w:pPr>
        <w:spacing w:before="0" w:after="140" w:line="300" w:lineRule="auto"/>
        <w:jc w:val="left"/>
        <w:keepLines w:val="1"/>
      </w:pPr>
      <w:r>
        <w:rPr>
          <w:rFonts w:ascii="Calibri" w:hAnsi="Calibri" w:eastAsia="Calibri"/>
          <w:b w:val="0"/>
          <w:i w:val="0"/>
          <w:color w:val="5F6B7A"/>
          <w:sz w:val="19"/>
        </w:rPr>
        <w:t>Implementation: If one approved case is not ready, remove this section from Release 1 rather than filling it with stock imagery or an invented example.</w:t>
      </w:r>
    </w:p>
    <w:p>
      <w:pPr>
        <w:spacing w:before="0" w:after="80"/>
        <w:keepNext w:val="1"/>
      </w:pPr>
      <w:r>
        <w:rPr>
          <w:rFonts w:ascii="Calibri" w:hAnsi="Calibri" w:eastAsia="Calibri"/>
          <w:b/>
          <w:color w:val="2E74B5"/>
          <w:sz w:val="19"/>
        </w:rPr>
        <w:t>SECTION 10  /  PREPARATION</w:t>
      </w:r>
    </w:p>
    <w:p>
      <w:pPr>
        <w:pStyle w:val="Heading2"/>
        <w:keepNext w:val="1"/>
        <w:keepLines w:val="1"/>
      </w:pPr>
      <w:r>
        <w:t>Send the right data before planning begins.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Requirements change by workflow. Review the DICOM, intraoral scan, bite, prosthetic reference, implant system and supporting records before you submit.</w:t>
      </w:r>
    </w:p>
    <w:p>
      <w:pPr>
        <w:pStyle w:val="Heading3"/>
        <w:keepNext w:val="1"/>
        <w:keepLines w:val="1"/>
      </w:pPr>
      <w:r>
        <w:t>Homepage preview checklist</w:t>
      </w:r>
    </w:p>
    <w:p>
      <w:pPr>
        <w:numPr>
          <w:ilvl w:val="0"/>
          <w:numId w:val="16"/>
        </w:numPr>
        <w:spacing w:before="0" w:after="80" w:line="300" w:lineRule="auto"/>
        <w:keepLines w:val="1"/>
      </w:pPr>
      <w:r>
        <w:rPr>
          <w:rFonts w:ascii="Calibri" w:hAnsi="Calibri" w:eastAsia="Calibri"/>
          <w:color w:val="162236"/>
          <w:sz w:val="22"/>
        </w:rPr>
        <w:t>CBCT DICOM dataset</w:t>
      </w:r>
    </w:p>
    <w:p>
      <w:pPr>
        <w:numPr>
          <w:ilvl w:val="0"/>
          <w:numId w:val="16"/>
        </w:numPr>
        <w:spacing w:before="0" w:after="80" w:line="300" w:lineRule="auto"/>
        <w:keepLines w:val="1"/>
      </w:pPr>
      <w:r>
        <w:rPr>
          <w:rFonts w:ascii="Calibri" w:hAnsi="Calibri" w:eastAsia="Calibri"/>
          <w:color w:val="162236"/>
          <w:sz w:val="22"/>
        </w:rPr>
        <w:t>Intraoral or model scans</w:t>
      </w:r>
    </w:p>
    <w:p>
      <w:pPr>
        <w:numPr>
          <w:ilvl w:val="0"/>
          <w:numId w:val="16"/>
        </w:numPr>
        <w:spacing w:before="0" w:after="80" w:line="300" w:lineRule="auto"/>
        <w:keepLines w:val="1"/>
      </w:pPr>
      <w:r>
        <w:rPr>
          <w:rFonts w:ascii="Calibri" w:hAnsi="Calibri" w:eastAsia="Calibri"/>
          <w:color w:val="162236"/>
          <w:sz w:val="22"/>
        </w:rPr>
        <w:t>Bite record and prosthetic setup where relevant</w:t>
      </w:r>
    </w:p>
    <w:p>
      <w:pPr>
        <w:numPr>
          <w:ilvl w:val="0"/>
          <w:numId w:val="16"/>
        </w:numPr>
        <w:spacing w:before="0" w:after="80" w:line="300" w:lineRule="auto"/>
        <w:keepLines w:val="1"/>
      </w:pPr>
      <w:r>
        <w:rPr>
          <w:rFonts w:ascii="Calibri" w:hAnsi="Calibri" w:eastAsia="Calibri"/>
          <w:color w:val="162236"/>
          <w:sz w:val="22"/>
        </w:rPr>
        <w:t>Clinical photographs for aesthetic and immediate-loading workflows</w:t>
      </w:r>
    </w:p>
    <w:p>
      <w:pPr>
        <w:numPr>
          <w:ilvl w:val="0"/>
          <w:numId w:val="16"/>
        </w:numPr>
        <w:spacing w:before="0" w:after="80" w:line="300" w:lineRule="auto"/>
        <w:keepLines w:val="1"/>
      </w:pPr>
      <w:r>
        <w:rPr>
          <w:rFonts w:ascii="Calibri" w:hAnsi="Calibri" w:eastAsia="Calibri"/>
          <w:color w:val="162236"/>
          <w:sz w:val="22"/>
        </w:rPr>
        <w:t>Implant system, components and drill-kit information</w:t>
      </w:r>
    </w:p>
    <w:p>
      <w:pPr>
        <w:numPr>
          <w:ilvl w:val="0"/>
          <w:numId w:val="16"/>
        </w:numPr>
        <w:spacing w:before="0" w:after="80" w:line="300" w:lineRule="auto"/>
        <w:keepLines w:val="1"/>
      </w:pPr>
      <w:r>
        <w:rPr>
          <w:rFonts w:ascii="Calibri" w:hAnsi="Calibri" w:eastAsia="Calibri"/>
          <w:color w:val="162236"/>
          <w:sz w:val="22"/>
        </w:rPr>
        <w:t>Case prescription, planned surgery date and delivery location</w:t>
      </w:r>
    </w:p>
    <w:p>
      <w:pPr>
        <w:spacing w:before="0" w:after="100" w:line="300" w:lineRule="auto"/>
        <w:ind w:left="158" w:right="86"/>
        <w:shd w:fill="FCECEC"/>
        <w:pBdr>
          <w:left w:val="single" w:sz="14" w:space="8" w:color="9B1C1C"/>
        </w:pBdr>
        <w:keepLines w:val="1"/>
      </w:pPr>
      <w:r>
        <w:rPr>
          <w:rFonts w:ascii="Calibri" w:hAnsi="Calibri" w:eastAsia="Calibri"/>
          <w:b/>
          <w:color w:val="1F4D78"/>
          <w:sz w:val="21"/>
        </w:rPr>
        <w:t xml:space="preserve">Privacy notice: </w:t>
      </w:r>
      <w:r>
        <w:rPr>
          <w:rFonts w:ascii="Calibri" w:hAnsi="Calibri" w:eastAsia="Calibri"/>
          <w:color w:val="162236"/>
          <w:sz w:val="21"/>
        </w:rPr>
        <w:t>Do not email or place patient-identifying information in a public enquiry form. Clinical files are submitted only through the Case Portal.</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Review Case Requirements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text link: </w:t>
      </w:r>
      <w:r>
        <w:rPr>
          <w:rFonts w:ascii="Calibri" w:hAnsi="Calibri" w:eastAsia="Calibri"/>
          <w:color w:val="162236"/>
          <w:sz w:val="21"/>
        </w:rPr>
        <w:t>Start a Case</w:t>
      </w:r>
    </w:p>
    <w:p>
      <w:pPr>
        <w:spacing w:before="0" w:after="60" w:line="300" w:lineRule="auto"/>
        <w:jc w:val="left"/>
        <w:keepNext w:val="1"/>
        <w:keepLines w:val="1"/>
      </w:pPr>
      <w:r>
        <w:rPr>
          <w:rFonts w:ascii="Calibri" w:hAnsi="Calibri" w:eastAsia="Calibri"/>
          <w:b w:val="0"/>
          <w:i/>
          <w:color w:val="5F6B7A"/>
          <w:sz w:val="19"/>
        </w:rPr>
        <w:t>Psychological job: Make the work required from the practice visible before conversion. Transparency reduces incomplete submissions and later frustration.</w:t>
      </w:r>
    </w:p>
    <w:p>
      <w:pPr>
        <w:spacing w:before="0" w:after="60" w:line="300" w:lineRule="auto"/>
        <w:jc w:val="left"/>
        <w:keepNext w:val="1"/>
        <w:keepLines w:val="1"/>
      </w:pPr>
      <w:r>
        <w:rPr>
          <w:rFonts w:ascii="Calibri" w:hAnsi="Calibri" w:eastAsia="Calibri"/>
          <w:b w:val="0"/>
          <w:i w:val="0"/>
          <w:color w:val="5F6B7A"/>
          <w:sz w:val="19"/>
        </w:rPr>
        <w:t>Visual direction: Use a real file-preview pattern with DICOM, STL and image labels. Do not use generic folder icons as the dominant visual.</w:t>
      </w:r>
    </w:p>
    <w:p>
      <w:pPr>
        <w:spacing w:before="0" w:after="60" w:line="300" w:lineRule="auto"/>
        <w:jc w:val="left"/>
        <w:keepNext w:val="1"/>
        <w:keepLines w:val="1"/>
      </w:pPr>
      <w:r>
        <w:rPr>
          <w:rFonts w:ascii="Calibri" w:hAnsi="Calibri" w:eastAsia="Calibri"/>
          <w:b w:val="0"/>
          <w:i w:val="0"/>
          <w:color w:val="5F6B7A"/>
          <w:sz w:val="19"/>
        </w:rPr>
        <w:t>Mobile: Use a compact checklist; keep the privacy notice immediately above the CTA.</w:t>
      </w:r>
    </w:p>
    <w:p>
      <w:pPr>
        <w:spacing w:before="0" w:after="140" w:line="300" w:lineRule="auto"/>
        <w:jc w:val="left"/>
        <w:keepLines w:val="1"/>
      </w:pPr>
      <w:r>
        <w:rPr>
          <w:rFonts w:ascii="Calibri" w:hAnsi="Calibri" w:eastAsia="Calibri"/>
          <w:b w:val="0"/>
          <w:i w:val="0"/>
          <w:color w:val="5F6B7A"/>
          <w:sz w:val="19"/>
        </w:rPr>
        <w:t>Implementation: The full requirements page must be workflow-specific. Do not imply one universal upload checklist is sufficient for every case.</w:t>
      </w:r>
    </w:p>
    <w:p>
      <w:pPr>
        <w:spacing w:before="0" w:after="80"/>
        <w:keepNext w:val="1"/>
      </w:pPr>
      <w:r>
        <w:rPr>
          <w:rFonts w:ascii="Calibri" w:hAnsi="Calibri" w:eastAsia="Calibri"/>
          <w:b/>
          <w:color w:val="2E74B5"/>
          <w:sz w:val="19"/>
        </w:rPr>
        <w:t>SECTION 11  /  FINAL ACTION</w:t>
      </w:r>
    </w:p>
    <w:p>
      <w:pPr>
        <w:pStyle w:val="Heading2"/>
        <w:keepNext w:val="1"/>
        <w:keepLines w:val="1"/>
      </w:pPr>
      <w:r>
        <w:t>Ready when the case is.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Start the case when your records and scope are clear. If the workflow is still being defined, speak with the team first.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Start a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Returning-user link: </w:t>
      </w:r>
      <w:r>
        <w:rPr>
          <w:rFonts w:ascii="Calibri" w:hAnsi="Calibri" w:eastAsia="Calibri"/>
          <w:color w:val="162236"/>
          <w:sz w:val="21"/>
        </w:rPr>
        <w:t>Open the Case Portal</w:t>
      </w:r>
    </w:p>
    <w:p>
      <w:pPr>
        <w:spacing w:before="0" w:after="60" w:line="300" w:lineRule="auto"/>
        <w:jc w:val="left"/>
        <w:keepNext w:val="1"/>
        <w:keepLines w:val="1"/>
      </w:pPr>
      <w:r>
        <w:rPr>
          <w:rFonts w:ascii="Calibri" w:hAnsi="Calibri" w:eastAsia="Calibri"/>
          <w:b w:val="0"/>
          <w:i/>
          <w:color w:val="5F6B7A"/>
          <w:sz w:val="19"/>
        </w:rPr>
        <w:t>Psychological job: Close without pressure. The two routes reflect genuine case readiness.</w:t>
      </w:r>
    </w:p>
    <w:p>
      <w:pPr>
        <w:spacing w:before="0" w:after="60" w:line="300" w:lineRule="auto"/>
        <w:jc w:val="left"/>
        <w:keepNext w:val="1"/>
        <w:keepLines w:val="1"/>
      </w:pPr>
      <w:r>
        <w:rPr>
          <w:rFonts w:ascii="Calibri" w:hAnsi="Calibri" w:eastAsia="Calibri"/>
          <w:b w:val="0"/>
          <w:i w:val="0"/>
          <w:color w:val="5F6B7A"/>
          <w:sz w:val="19"/>
        </w:rPr>
        <w:t>Visual direction: Use generous whitespace and a single de-identified planning image or a quiet ink background. Avoid urgency badges, countdowns or discount language.</w:t>
      </w:r>
    </w:p>
    <w:p>
      <w:pPr>
        <w:spacing w:before="0" w:after="60" w:line="300" w:lineRule="auto"/>
        <w:jc w:val="left"/>
        <w:keepNext w:val="1"/>
        <w:keepLines w:val="1"/>
      </w:pPr>
      <w:r>
        <w:rPr>
          <w:rFonts w:ascii="Calibri" w:hAnsi="Calibri" w:eastAsia="Calibri"/>
          <w:b w:val="0"/>
          <w:i w:val="0"/>
          <w:color w:val="5F6B7A"/>
          <w:sz w:val="19"/>
        </w:rPr>
        <w:t>Mobile: Buttons stack full width; portal link remains directly below.</w:t>
      </w:r>
    </w:p>
    <w:p>
      <w:pPr>
        <w:spacing w:before="0" w:after="140" w:line="300" w:lineRule="auto"/>
        <w:jc w:val="left"/>
        <w:keepLines w:val="1"/>
      </w:pPr>
      <w:r>
        <w:rPr>
          <w:rFonts w:ascii="Calibri" w:hAnsi="Calibri" w:eastAsia="Calibri"/>
          <w:b w:val="0"/>
          <w:i w:val="0"/>
          <w:color w:val="5F6B7A"/>
          <w:sz w:val="19"/>
        </w:rPr>
        <w:t>Implementation: All three routes must be tested on staging with dummy data before the homepage replaces the current live actions.</w:t>
      </w:r>
    </w:p>
    <w:p>
      <w:pPr>
        <w:pStyle w:val="Heading1"/>
        <w:pageBreakBefore w:val="1"/>
        <w:keepNext w:val="1"/>
        <w:keepLines w:val="1"/>
      </w:pPr>
      <w:r>
        <w:t>5. Footer copy and information architecture</w:t>
      </w:r>
    </w:p>
    <w:p>
      <w:pPr>
        <w:spacing w:before="0" w:after="80"/>
        <w:keepNext w:val="1"/>
      </w:pPr>
      <w:r>
        <w:rPr>
          <w:rFonts w:ascii="Calibri" w:hAnsi="Calibri" w:eastAsia="Calibri"/>
          <w:b/>
          <w:color w:val="2E74B5"/>
          <w:sz w:val="19"/>
        </w:rPr>
        <w:t>A QUIET END, NOT A SECOND HOMEPAGE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Brand descriptor: </w:t>
      </w:r>
      <w:r>
        <w:rPr>
          <w:rFonts w:ascii="Calibri" w:hAnsi="Calibri" w:eastAsia="Calibri"/>
          <w:color w:val="162236"/>
          <w:sz w:val="21"/>
        </w:rPr>
        <w:t>The Digital Workflow Partner for Guided Implantology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Short footer line: </w:t>
      </w:r>
      <w:r>
        <w:rPr>
          <w:rFonts w:ascii="Calibri" w:hAnsi="Calibri" w:eastAsia="Calibri"/>
          <w:color w:val="162236"/>
          <w:sz w:val="21"/>
        </w:rPr>
        <w:t>Digital implant planning, surgical guide workflows and case coordination for dental professionals.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20"/>
        <w:gridCol w:w="6840"/>
      </w:tblGrid>
      <w:tr>
        <w:trPr>
          <w:tblHeader w:val="true"/>
        </w:trPr>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Column</w:t>
            </w:r>
          </w:p>
        </w:tc>
        <w:tc>
          <w:tcPr>
            <w:tcW w:type="dxa" w:w="68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Links</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Clinical workflows</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Guided Implant · Full-Arch Stackable · Zygoma &amp; Pterygoid · Immediate Loading</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Ways to work</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Design Only · Design to Delivery · White-Label Partnership · Case Portal</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 support</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How It Works · Case Requirements · Discuss a Complex Case · Contact</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Company</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About · Case Workflows · Careers · Privacy · Terms</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Education</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SurgiGuideExcellence at PaulSudeep.com — external destination</w:t>
            </w:r>
          </w:p>
        </w:tc>
      </w:tr>
    </w:tbl>
    <w:p>
      <w:pPr>
        <w:spacing w:before="0" w:after="80" w:line="300" w:lineRule="auto"/>
        <w:jc w:val="left"/>
      </w:pPr>
      <w:r>
        <w:rPr>
          <w:rFonts w:ascii="Calibri" w:hAnsi="Calibri" w:eastAsia="Calibri"/>
          <w:b w:val="0"/>
          <w:i w:val="0"/>
          <w:color w:val="162236"/>
          <w:sz w:val="22"/>
        </w:rPr>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Professional-services notice: </w:t>
      </w:r>
      <w:r>
        <w:rPr>
          <w:rFonts w:ascii="Calibri" w:hAnsi="Calibri" w:eastAsia="Calibri"/>
          <w:color w:val="162236"/>
          <w:sz w:val="21"/>
        </w:rPr>
        <w:t>Image3DConversion works with dental professionals and authorised workflow partners. Patients should consult their treating dentist.</w:t>
      </w:r>
    </w:p>
    <w:p>
      <w:pPr>
        <w:spacing w:before="0" w:after="120" w:line="300" w:lineRule="auto"/>
        <w:jc w:val="left"/>
      </w:pPr>
      <w:r>
        <w:rPr>
          <w:rFonts w:ascii="Calibri" w:hAnsi="Calibri" w:eastAsia="Calibri"/>
          <w:b w:val="0"/>
          <w:i w:val="0"/>
          <w:color w:val="5F6B7A"/>
          <w:sz w:val="20"/>
        </w:rPr>
        <w:t>Company address, email, telephone, legal entity name, tax details and regional contact routes must be checked against current records before publishing. Do not introduce a Mumbai headquarters claim.</w:t>
      </w:r>
    </w:p>
    <w:p>
      <w:pPr>
        <w:pStyle w:val="Heading2"/>
        <w:keepNext w:val="1"/>
        <w:keepLines w:val="1"/>
      </w:pPr>
      <w:r>
        <w:t>Do not carry into the footer</w:t>
      </w:r>
    </w:p>
    <w:p>
      <w:pPr>
        <w:numPr>
          <w:ilvl w:val="0"/>
          <w:numId w:val="17"/>
        </w:numPr>
        <w:spacing w:before="0" w:after="80" w:line="300" w:lineRule="auto"/>
        <w:keepLines w:val="1"/>
      </w:pPr>
      <w:r>
        <w:rPr>
          <w:rFonts w:ascii="Calibri" w:hAnsi="Calibri" w:eastAsia="Calibri"/>
          <w:color w:val="162236"/>
          <w:sz w:val="22"/>
        </w:rPr>
        <w:t>A newsletter or catalogue gate that interrupts the case journey.</w:t>
      </w:r>
    </w:p>
    <w:p>
      <w:pPr>
        <w:numPr>
          <w:ilvl w:val="0"/>
          <w:numId w:val="17"/>
        </w:numPr>
        <w:spacing w:before="0" w:after="80" w:line="300" w:lineRule="auto"/>
        <w:keepLines w:val="1"/>
      </w:pPr>
      <w:r>
        <w:rPr>
          <w:rFonts w:ascii="Calibri" w:hAnsi="Calibri" w:eastAsia="Calibri"/>
          <w:color w:val="162236"/>
          <w:sz w:val="22"/>
        </w:rPr>
        <w:t>Workshops as a main Image3DConversion service.</w:t>
      </w:r>
    </w:p>
    <w:p>
      <w:pPr>
        <w:numPr>
          <w:ilvl w:val="0"/>
          <w:numId w:val="17"/>
        </w:numPr>
        <w:spacing w:before="0" w:after="80" w:line="300" w:lineRule="auto"/>
        <w:keepLines w:val="1"/>
      </w:pPr>
      <w:r>
        <w:rPr>
          <w:rFonts w:ascii="Calibri" w:hAnsi="Calibri" w:eastAsia="Calibri"/>
          <w:color w:val="162236"/>
          <w:sz w:val="22"/>
        </w:rPr>
        <w:t>Every legacy blog category.</w:t>
      </w:r>
    </w:p>
    <w:p>
      <w:pPr>
        <w:numPr>
          <w:ilvl w:val="0"/>
          <w:numId w:val="17"/>
        </w:numPr>
        <w:spacing w:before="0" w:after="80" w:line="300" w:lineRule="auto"/>
        <w:keepLines w:val="1"/>
      </w:pPr>
      <w:r>
        <w:rPr>
          <w:rFonts w:ascii="Calibri" w:hAnsi="Calibri" w:eastAsia="Calibri"/>
          <w:color w:val="162236"/>
          <w:sz w:val="22"/>
        </w:rPr>
        <w:t>Social icons with inactive or unmanaged destinations.</w:t>
      </w:r>
    </w:p>
    <w:p>
      <w:pPr>
        <w:numPr>
          <w:ilvl w:val="0"/>
          <w:numId w:val="17"/>
        </w:numPr>
        <w:spacing w:before="0" w:after="80" w:line="300" w:lineRule="auto"/>
        <w:keepLines w:val="1"/>
      </w:pPr>
      <w:r>
        <w:rPr>
          <w:rFonts w:ascii="Calibri" w:hAnsi="Calibri" w:eastAsia="Calibri"/>
          <w:color w:val="162236"/>
          <w:sz w:val="22"/>
        </w:rPr>
        <w:t>Unsupported HIPAA, AI, turnaround, accuracy or worldwide-delivery claims.</w:t>
      </w:r>
    </w:p>
    <w:p>
      <w:pPr>
        <w:pStyle w:val="Heading1"/>
        <w:pageBreakBefore w:val="1"/>
        <w:keepNext w:val="1"/>
        <w:keepLines w:val="1"/>
      </w:pPr>
      <w:r>
        <w:t>6. Design psychology and visual system</w:t>
      </w:r>
    </w:p>
    <w:p>
      <w:pPr>
        <w:spacing w:before="0" w:after="80"/>
        <w:keepNext w:val="1"/>
      </w:pPr>
      <w:r>
        <w:rPr>
          <w:rFonts w:ascii="Calibri" w:hAnsi="Calibri" w:eastAsia="Calibri"/>
          <w:b/>
          <w:color w:val="2E74B5"/>
          <w:sz w:val="19"/>
        </w:rPr>
        <w:t>PREMIUM CLINICAL, HUMAN, EVIDENCE-LED</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40"/>
        <w:gridCol w:w="2520"/>
        <w:gridCol w:w="3780"/>
        <w:gridCol w:w="1620"/>
      </w:tblGrid>
      <w:tr>
        <w:trPr>
          <w:tblHeader w:val="true"/>
        </w:trPr>
        <w:tc>
          <w:tcPr>
            <w:tcW w:type="dxa" w:w="1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Page stage</w:t>
            </w:r>
          </w:p>
        </w:tc>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state</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response</w:t>
            </w:r>
          </w:p>
        </w:tc>
        <w:tc>
          <w:tcPr>
            <w:tcW w:type="dxa" w:w="16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Desired action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Is this built around my patient outcome?</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Smile/setup connected to the real workflow</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Stay and understand</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 outcome</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they translate aesthetics into a workable plan?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Outcome first; function and biology follow</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Recognise the philosophy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cards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Is my case here?</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case-led choices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Choose a workflow</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 explanation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Why this team?</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dependencies before production</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Understand the difference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Five steps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happens next?</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Visible status sequence</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Accept the process</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Support modes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much help?</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Three scope choices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Choose autonomy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fit</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this work across teams and borders?</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production and responsibility options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Assess partnership fit</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 case</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they handle depth?</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connected sequence</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Trust specialist capability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I verify it?</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case logic and approvals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Inspect proof</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Am I ready?</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Concrete file preview</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or submit</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Final action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now?</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Repeat only the two valid routes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or discuss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Recommended interface system</w:t>
      </w:r>
    </w:p>
    <w:p>
      <w:pPr>
        <w:numPr>
          <w:ilvl w:val="0"/>
          <w:numId w:val="18"/>
        </w:numPr>
        <w:spacing w:before="0" w:after="80" w:line="300" w:lineRule="auto"/>
        <w:keepLines w:val="1"/>
      </w:pPr>
      <w:r>
        <w:rPr>
          <w:rFonts w:ascii="Calibri" w:hAnsi="Calibri" w:eastAsia="Calibri"/>
          <w:b/>
          <w:color w:val="162236"/>
          <w:sz w:val="22"/>
        </w:rPr>
        <w:t xml:space="preserve">Layout — </w:t>
      </w:r>
      <w:r>
        <w:rPr>
          <w:rFonts w:ascii="Calibri" w:hAnsi="Calibri" w:eastAsia="Calibri"/>
          <w:color w:val="162236"/>
          <w:sz w:val="22"/>
        </w:rPr>
        <w:t>12-column desktop grid; 1,200–1,280 px content maximum; 88–112 px section spacing on desktop and 56–72 px on mobile.</w:t>
      </w:r>
    </w:p>
    <w:p>
      <w:pPr>
        <w:numPr>
          <w:ilvl w:val="0"/>
          <w:numId w:val="18"/>
        </w:numPr>
        <w:spacing w:before="0" w:after="80" w:line="300" w:lineRule="auto"/>
        <w:keepLines w:val="1"/>
      </w:pPr>
      <w:r>
        <w:rPr>
          <w:rFonts w:ascii="Calibri" w:hAnsi="Calibri" w:eastAsia="Calibri"/>
          <w:b/>
          <w:color w:val="162236"/>
          <w:sz w:val="22"/>
        </w:rPr>
        <w:t xml:space="preserve">Typography — </w:t>
      </w:r>
      <w:r>
        <w:rPr>
          <w:rFonts w:ascii="Calibri" w:hAnsi="Calibri" w:eastAsia="Calibri"/>
          <w:color w:val="162236"/>
          <w:sz w:val="22"/>
        </w:rPr>
        <w:t>Bricolage Grotesque 600 for display headings and Lato 400/700 for body and interface text. Use one display voice, not several.</w:t>
      </w:r>
    </w:p>
    <w:p>
      <w:pPr>
        <w:numPr>
          <w:ilvl w:val="0"/>
          <w:numId w:val="18"/>
        </w:numPr>
        <w:spacing w:before="0" w:after="80" w:line="300" w:lineRule="auto"/>
        <w:keepLines w:val="1"/>
      </w:pPr>
      <w:r>
        <w:rPr>
          <w:rFonts w:ascii="Calibri" w:hAnsi="Calibri" w:eastAsia="Calibri"/>
          <w:b/>
          <w:color w:val="162236"/>
          <w:sz w:val="22"/>
        </w:rPr>
        <w:t xml:space="preserve">Type scale — </w:t>
      </w:r>
      <w:r>
        <w:rPr>
          <w:rFonts w:ascii="Calibri" w:hAnsi="Calibri" w:eastAsia="Calibri"/>
          <w:color w:val="162236"/>
          <w:sz w:val="22"/>
        </w:rPr>
        <w:t>H1 approximately 56–64 px desktop and 38–42 px mobile; body 18 px desktop and 17 px mobile; 1.5–1.65 line height.</w:t>
      </w:r>
    </w:p>
    <w:p>
      <w:pPr>
        <w:numPr>
          <w:ilvl w:val="0"/>
          <w:numId w:val="18"/>
        </w:numPr>
        <w:spacing w:before="0" w:after="80" w:line="300" w:lineRule="auto"/>
        <w:keepLines w:val="1"/>
      </w:pPr>
      <w:r>
        <w:rPr>
          <w:rFonts w:ascii="Calibri" w:hAnsi="Calibri" w:eastAsia="Calibri"/>
          <w:b/>
          <w:color w:val="162236"/>
          <w:sz w:val="22"/>
        </w:rPr>
        <w:t xml:space="preserve">Buttons — </w:t>
      </w:r>
      <w:r>
        <w:rPr>
          <w:rFonts w:ascii="Calibri" w:hAnsi="Calibri" w:eastAsia="Calibri"/>
          <w:color w:val="162236"/>
          <w:sz w:val="22"/>
        </w:rPr>
        <w:t>Minimum 48 px high; concrete labels; primary solid blue, secondary outlined, utility as text.</w:t>
      </w:r>
    </w:p>
    <w:p>
      <w:pPr>
        <w:numPr>
          <w:ilvl w:val="0"/>
          <w:numId w:val="18"/>
        </w:numPr>
        <w:spacing w:before="0" w:after="80" w:line="300" w:lineRule="auto"/>
        <w:keepLines w:val="1"/>
      </w:pPr>
      <w:r>
        <w:rPr>
          <w:rFonts w:ascii="Calibri" w:hAnsi="Calibri" w:eastAsia="Calibri"/>
          <w:b/>
          <w:color w:val="162236"/>
          <w:sz w:val="22"/>
        </w:rPr>
        <w:t xml:space="preserve">Cards — </w:t>
      </w:r>
      <w:r>
        <w:rPr>
          <w:rFonts w:ascii="Calibri" w:hAnsi="Calibri" w:eastAsia="Calibri"/>
          <w:color w:val="162236"/>
          <w:sz w:val="22"/>
        </w:rPr>
        <w:t>Large images, short labels and visible descriptions. Avoid small icon grids that make every workflow look interchangeable.</w:t>
      </w:r>
    </w:p>
    <w:p>
      <w:pPr>
        <w:numPr>
          <w:ilvl w:val="0"/>
          <w:numId w:val="18"/>
        </w:numPr>
        <w:spacing w:before="0" w:after="80" w:line="300" w:lineRule="auto"/>
        <w:keepLines w:val="1"/>
      </w:pPr>
      <w:r>
        <w:rPr>
          <w:rFonts w:ascii="Calibri" w:hAnsi="Calibri" w:eastAsia="Calibri"/>
          <w:b/>
          <w:color w:val="162236"/>
          <w:sz w:val="22"/>
        </w:rPr>
        <w:t xml:space="preserve">Rhythm — </w:t>
      </w:r>
      <w:r>
        <w:rPr>
          <w:rFonts w:ascii="Calibri" w:hAnsi="Calibri" w:eastAsia="Calibri"/>
          <w:color w:val="162236"/>
          <w:sz w:val="22"/>
        </w:rPr>
        <w:t>White remains the dominant field. Use very light tints derived from the master blue for section separation and, at most, one full-blue band for controlled contrast.</w:t>
      </w:r>
    </w:p>
    <w:p>
      <w:pPr>
        <w:numPr>
          <w:ilvl w:val="0"/>
          <w:numId w:val="18"/>
        </w:numPr>
        <w:spacing w:before="0" w:after="80" w:line="300" w:lineRule="auto"/>
        <w:keepLines w:val="1"/>
      </w:pPr>
      <w:r>
        <w:rPr>
          <w:rFonts w:ascii="Calibri" w:hAnsi="Calibri" w:eastAsia="Calibri"/>
          <w:b/>
          <w:color w:val="162236"/>
          <w:sz w:val="22"/>
        </w:rPr>
        <w:t xml:space="preserve">Motion — </w:t>
      </w:r>
      <w:r>
        <w:rPr>
          <w:rFonts w:ascii="Calibri" w:hAnsi="Calibri" w:eastAsia="Calibri"/>
          <w:color w:val="162236"/>
          <w:sz w:val="22"/>
        </w:rPr>
        <w:t>Subtle reveal or layer transitions only when they explain sequence. Respect reduced-motion settings.</w:t>
      </w:r>
    </w:p>
    <w:p>
      <w:pPr>
        <w:pStyle w:val="Heading2"/>
        <w:keepNext w:val="1"/>
        <w:keepLines w:val="1"/>
      </w:pPr>
      <w:r>
        <w:t>Founder-approved two-colour system</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3200"/>
        <w:gridCol w:w="3960"/>
      </w:tblGrid>
      <w:tr>
        <w:trPr>
          <w:tblHeader w:val="true"/>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Role</w:t>
            </w:r>
          </w:p>
        </w:tc>
        <w:tc>
          <w:tcPr>
            <w:tcW w:type="dxa" w:w="3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Production rule</w:t>
            </w:r>
          </w:p>
        </w:tc>
        <w:tc>
          <w:tcPr>
            <w:tcW w:type="dxa" w:w="39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Blue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Extract exact HEX from the approved master logo</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 links, headings, branded active state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White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#FFFFFF</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Dominant page background, cards and negative space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Deep blue value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Derive from the same master blue</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Accessible body text and limited high-contrast typography</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Pale blue tint</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Derive from the same master blue</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Section separation, evidence cards and quiet interface fields</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Functional status colours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semantics only</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Green, amber and red only for success, caution and error</w:t>
            </w:r>
          </w:p>
        </w:tc>
      </w:tr>
    </w:tbl>
    <w:p>
      <w:pPr>
        <w:spacing w:before="0" w:after="80" w:line="300" w:lineRule="auto"/>
        <w:jc w:val="left"/>
      </w:pPr>
      <w:r>
        <w:rPr>
          <w:rFonts w:ascii="Calibri" w:hAnsi="Calibri" w:eastAsia="Calibri"/>
          <w:b w:val="0"/>
          <w:i w:val="0"/>
          <w:color w:val="162236"/>
          <w:sz w:val="22"/>
        </w:rPr>
      </w:r>
    </w:p>
    <w:p>
      <w:pPr>
        <w:spacing w:before="0" w:after="120" w:line="300" w:lineRule="auto"/>
        <w:jc w:val="left"/>
      </w:pPr>
      <w:r>
        <w:rPr>
          <w:rFonts w:ascii="Calibri" w:hAnsi="Calibri" w:eastAsia="Calibri"/>
          <w:b w:val="0"/>
          <w:i w:val="0"/>
          <w:color w:val="5F6B7A"/>
          <w:sz w:val="20"/>
        </w:rPr>
        <w:t>Locked decision: the website and Case Portal have no decorative third brand colour. Lime, neon cyan, gold, purple and unrelated accent colours are excluded. #2E74B5 may remain in wireframes only until the original vector/logo asset is supplied; it is not the production approval.</w:t>
      </w:r>
    </w:p>
    <w:p>
      <w:pPr>
        <w:pStyle w:val="Heading2"/>
        <w:keepNext w:val="1"/>
        <w:keepLines w:val="1"/>
      </w:pPr>
      <w:r>
        <w:t>Image psychology</w:t>
      </w:r>
    </w:p>
    <w:p>
      <w:pPr>
        <w:numPr>
          <w:ilvl w:val="0"/>
          <w:numId w:val="19"/>
        </w:numPr>
        <w:spacing w:before="0" w:after="80" w:line="300" w:lineRule="auto"/>
        <w:keepLines w:val="1"/>
      </w:pPr>
      <w:r>
        <w:rPr>
          <w:rFonts w:ascii="Calibri" w:hAnsi="Calibri" w:eastAsia="Calibri"/>
          <w:color w:val="162236"/>
          <w:sz w:val="22"/>
        </w:rPr>
        <w:t>Show the work a dentist recognises: anatomy, prosthetic reference, implant plan, guide geometry, provisional and production sequence.</w:t>
      </w:r>
    </w:p>
    <w:p>
      <w:pPr>
        <w:numPr>
          <w:ilvl w:val="0"/>
          <w:numId w:val="19"/>
        </w:numPr>
        <w:spacing w:before="0" w:after="80" w:line="300" w:lineRule="auto"/>
        <w:keepLines w:val="1"/>
      </w:pPr>
      <w:r>
        <w:rPr>
          <w:rFonts w:ascii="Calibri" w:hAnsi="Calibri" w:eastAsia="Calibri"/>
          <w:color w:val="162236"/>
          <w:sz w:val="22"/>
        </w:rPr>
        <w:t>Use one case consistently across a section instead of stitching together unrelated screenshots.</w:t>
      </w:r>
    </w:p>
    <w:p>
      <w:pPr>
        <w:numPr>
          <w:ilvl w:val="0"/>
          <w:numId w:val="19"/>
        </w:numPr>
        <w:spacing w:before="0" w:after="80" w:line="300" w:lineRule="auto"/>
        <w:keepLines w:val="1"/>
      </w:pPr>
      <w:r>
        <w:rPr>
          <w:rFonts w:ascii="Calibri" w:hAnsi="Calibri" w:eastAsia="Calibri"/>
          <w:color w:val="162236"/>
          <w:sz w:val="22"/>
        </w:rPr>
        <w:t>Caption the decision shown, not the software brand alone.</w:t>
      </w:r>
    </w:p>
    <w:p>
      <w:pPr>
        <w:numPr>
          <w:ilvl w:val="0"/>
          <w:numId w:val="19"/>
        </w:numPr>
        <w:spacing w:before="0" w:after="80" w:line="300" w:lineRule="auto"/>
        <w:keepLines w:val="1"/>
      </w:pPr>
      <w:r>
        <w:rPr>
          <w:rFonts w:ascii="Calibri" w:hAnsi="Calibri" w:eastAsia="Calibri"/>
          <w:color w:val="162236"/>
          <w:sz w:val="22"/>
        </w:rPr>
        <w:t>De-identify every screen and image. Remove patient names, IDs, dates of birth, scan metadata and portal identifiers.</w:t>
      </w:r>
    </w:p>
    <w:p>
      <w:pPr>
        <w:numPr>
          <w:ilvl w:val="0"/>
          <w:numId w:val="19"/>
        </w:numPr>
        <w:spacing w:before="0" w:after="80" w:line="300" w:lineRule="auto"/>
        <w:keepLines w:val="1"/>
      </w:pPr>
      <w:r>
        <w:rPr>
          <w:rFonts w:ascii="Calibri" w:hAnsi="Calibri" w:eastAsia="Calibri"/>
          <w:color w:val="162236"/>
          <w:sz w:val="22"/>
        </w:rPr>
        <w:t>Do not use generative imagery to represent a real clinical case, a real guide or a real patient outcome.</w:t>
      </w:r>
    </w:p>
    <w:p>
      <w:pPr>
        <w:numPr>
          <w:ilvl w:val="0"/>
          <w:numId w:val="19"/>
        </w:numPr>
        <w:spacing w:before="0" w:after="80" w:line="300" w:lineRule="auto"/>
        <w:keepLines w:val="1"/>
      </w:pPr>
      <w:r>
        <w:rPr>
          <w:rFonts w:ascii="Calibri" w:hAnsi="Calibri" w:eastAsia="Calibri"/>
          <w:color w:val="162236"/>
          <w:sz w:val="22"/>
        </w:rPr>
        <w:t>People photography is secondary: team review, case coordination and production quality are more useful than posed group portraits.</w:t>
      </w:r>
    </w:p>
    <w:p>
      <w:pPr>
        <w:pStyle w:val="Heading1"/>
        <w:pageBreakBefore w:val="1"/>
        <w:keepNext w:val="1"/>
        <w:keepLines w:val="1"/>
      </w:pPr>
      <w:r>
        <w:t>7. Asset shot list and alt-text direction</w:t>
      </w:r>
    </w:p>
    <w:p>
      <w:pPr>
        <w:spacing w:before="0" w:after="80"/>
        <w:keepNext w:val="1"/>
      </w:pPr>
      <w:r>
        <w:rPr>
          <w:rFonts w:ascii="Calibri" w:hAnsi="Calibri" w:eastAsia="Calibri"/>
          <w:b/>
          <w:color w:val="2E74B5"/>
          <w:sz w:val="19"/>
        </w:rPr>
        <w:t>REAL ASSETS LEAD THE DESIGN</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40"/>
        <w:gridCol w:w="3780"/>
        <w:gridCol w:w="4140"/>
      </w:tblGrid>
      <w:tr>
        <w:trPr>
          <w:tblHeader w:val="true"/>
        </w:trPr>
        <w:tc>
          <w:tcPr>
            <w:tcW w:type="dxa" w:w="1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Asset</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Required visual</w:t>
            </w:r>
          </w:p>
        </w:tc>
        <w:tc>
          <w:tcPr>
            <w:tcW w:type="dxa" w:w="41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Recommended alt-text direction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Restoration, implant plan and surgical guide from one de-identified case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Restoration-led dental implant plan aligned with a surgical guide workflow.</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Single or multiple implant planning view</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Digital implant plan for a guided single-to-multiple implant case.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Stackable guide components shown in sequence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guide sequence for reduction, implant placement and prosthetic pickup.</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Zygoma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Anatomy and trajectory view with prosthetic reference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Zygomatic and pterygoid trajectories reviewed against a prosthetic plan.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Immediate-loading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Plan, guide and provisional reference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Immediate-loading workflow aligning implant plan, guide and provisional reference.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Five-step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status examples with no patient identifiers</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contextual alt text per screenshot; decorative status shapes use empty alt.</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Complex-case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five-stage full-arch case sequence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Describe the specific stage and dependency visible in each frame.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case evidence with captions</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State the workflow and the exact planning or delivery view shown.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F4F6F9"/>
        <w:pBdr>
          <w:left w:val="single" w:sz="18" w:space="8" w:color="1F4D78"/>
        </w:pBdr>
        <w:keepLines w:val="1"/>
      </w:pPr>
      <w:r>
        <w:rPr>
          <w:rFonts w:ascii="Calibri" w:hAnsi="Calibri" w:eastAsia="Calibri"/>
          <w:b/>
          <w:color w:val="1F4D78"/>
          <w:sz w:val="19"/>
        </w:rPr>
        <w:t xml:space="preserve">ALT-TEXT RULE  </w:t>
      </w:r>
      <w:r>
        <w:rPr>
          <w:rFonts w:ascii="Calibri" w:hAnsi="Calibri" w:eastAsia="Calibri"/>
          <w:b w:val="0"/>
          <w:color w:val="162236"/>
          <w:sz w:val="22"/>
        </w:rPr>
        <w:t>Alt text must match the final image. These lines are direction, not automatic copy. Do not stuff implant-planning keywords into every image description.</w:t>
      </w:r>
    </w:p>
    <w:p>
      <w:pPr>
        <w:pStyle w:val="Heading2"/>
        <w:keepNext w:val="1"/>
        <w:keepLines w:val="1"/>
      </w:pPr>
      <w:r>
        <w:t>File and crop standards</w:t>
      </w:r>
    </w:p>
    <w:p>
      <w:pPr>
        <w:numPr>
          <w:ilvl w:val="0"/>
          <w:numId w:val="20"/>
        </w:numPr>
        <w:spacing w:before="0" w:after="80" w:line="300" w:lineRule="auto"/>
        <w:keepLines w:val="1"/>
      </w:pPr>
      <w:r>
        <w:rPr>
          <w:rFonts w:ascii="Calibri" w:hAnsi="Calibri" w:eastAsia="Calibri"/>
          <w:color w:val="162236"/>
          <w:sz w:val="22"/>
        </w:rPr>
        <w:t>Hero master at least 2,400 px wide; provide AVIF/WebP and fallback formats.</w:t>
      </w:r>
    </w:p>
    <w:p>
      <w:pPr>
        <w:numPr>
          <w:ilvl w:val="0"/>
          <w:numId w:val="20"/>
        </w:numPr>
        <w:spacing w:before="0" w:after="80" w:line="300" w:lineRule="auto"/>
        <w:keepLines w:val="1"/>
      </w:pPr>
      <w:r>
        <w:rPr>
          <w:rFonts w:ascii="Calibri" w:hAnsi="Calibri" w:eastAsia="Calibri"/>
          <w:color w:val="162236"/>
          <w:sz w:val="22"/>
        </w:rPr>
        <w:t>Case-card masters at consistent 4:3 or 16:10 aspect ratio.</w:t>
      </w:r>
    </w:p>
    <w:p>
      <w:pPr>
        <w:numPr>
          <w:ilvl w:val="0"/>
          <w:numId w:val="20"/>
        </w:numPr>
        <w:spacing w:before="0" w:after="80" w:line="300" w:lineRule="auto"/>
        <w:keepLines w:val="1"/>
      </w:pPr>
      <w:r>
        <w:rPr>
          <w:rFonts w:ascii="Calibri" w:hAnsi="Calibri" w:eastAsia="Calibri"/>
          <w:color w:val="162236"/>
          <w:sz w:val="22"/>
        </w:rPr>
        <w:t>Keep critical anatomy, plan labels and guide details inside a mobile-safe central crop.</w:t>
      </w:r>
    </w:p>
    <w:p>
      <w:pPr>
        <w:numPr>
          <w:ilvl w:val="0"/>
          <w:numId w:val="20"/>
        </w:numPr>
        <w:spacing w:before="0" w:after="80" w:line="300" w:lineRule="auto"/>
        <w:keepLines w:val="1"/>
      </w:pPr>
      <w:r>
        <w:rPr>
          <w:rFonts w:ascii="Calibri" w:hAnsi="Calibri" w:eastAsia="Calibri"/>
          <w:color w:val="162236"/>
          <w:sz w:val="22"/>
        </w:rPr>
        <w:t>Never place essential explanatory text only inside the image.</w:t>
      </w:r>
    </w:p>
    <w:p>
      <w:pPr>
        <w:numPr>
          <w:ilvl w:val="0"/>
          <w:numId w:val="20"/>
        </w:numPr>
        <w:spacing w:before="0" w:after="80" w:line="300" w:lineRule="auto"/>
        <w:keepLines w:val="1"/>
      </w:pPr>
      <w:r>
        <w:rPr>
          <w:rFonts w:ascii="Calibri" w:hAnsi="Calibri" w:eastAsia="Calibri"/>
          <w:color w:val="162236"/>
          <w:sz w:val="22"/>
        </w:rPr>
        <w:t>Record asset owner, consent/permission status, de-identification review and review date.</w:t>
      </w:r>
    </w:p>
    <w:p>
      <w:pPr>
        <w:pStyle w:val="Heading1"/>
        <w:pageBreakBefore w:val="1"/>
        <w:keepNext w:val="1"/>
        <w:keepLines w:val="1"/>
      </w:pPr>
      <w:r>
        <w:t>8. Mobile, accessibility and interaction</w:t>
      </w:r>
    </w:p>
    <w:p>
      <w:pPr>
        <w:spacing w:before="0" w:after="80"/>
        <w:keepNext w:val="1"/>
      </w:pPr>
      <w:r>
        <w:rPr>
          <w:rFonts w:ascii="Calibri" w:hAnsi="Calibri" w:eastAsia="Calibri"/>
          <w:b/>
          <w:color w:val="2E74B5"/>
          <w:sz w:val="19"/>
        </w:rPr>
        <w:t>THE MOBILE PAGE IS THE PAGE</w:t>
      </w:r>
    </w:p>
    <w:p>
      <w:pPr>
        <w:pStyle w:val="Heading2"/>
        <w:keepNext w:val="1"/>
        <w:keepLines w:val="1"/>
      </w:pPr>
      <w:r>
        <w:t>Mobile reading order</w:t>
      </w:r>
    </w:p>
    <w:p>
      <w:pPr>
        <w:numPr>
          <w:ilvl w:val="0"/>
          <w:numId w:val="21"/>
        </w:numPr>
        <w:spacing w:before="0" w:after="100" w:line="300" w:lineRule="auto"/>
        <w:keepLines w:val="1"/>
      </w:pPr>
      <w:r>
        <w:rPr>
          <w:rFonts w:ascii="Calibri" w:hAnsi="Calibri" w:eastAsia="Calibri"/>
          <w:b/>
          <w:color w:val="162236"/>
          <w:sz w:val="22"/>
        </w:rPr>
        <w:t xml:space="preserve">Hero copy and Start a Case. </w:t>
      </w:r>
      <w:r>
        <w:rPr>
          <w:rFonts w:ascii="Calibri" w:hAnsi="Calibri" w:eastAsia="Calibri"/>
          <w:color w:val="162236"/>
          <w:sz w:val="22"/>
        </w:rPr>
        <w:t>The visual follows the text; the returning-user portal link remains visible.</w:t>
      </w:r>
    </w:p>
    <w:p>
      <w:pPr>
        <w:numPr>
          <w:ilvl w:val="0"/>
          <w:numId w:val="21"/>
        </w:numPr>
        <w:spacing w:before="0" w:after="100" w:line="300" w:lineRule="auto"/>
        <w:keepLines w:val="1"/>
      </w:pPr>
      <w:r>
        <w:rPr>
          <w:rFonts w:ascii="Calibri" w:hAnsi="Calibri" w:eastAsia="Calibri"/>
          <w:b/>
          <w:color w:val="162236"/>
          <w:sz w:val="22"/>
        </w:rPr>
        <w:t xml:space="preserve">Four workflow cards. </w:t>
      </w:r>
      <w:r>
        <w:rPr>
          <w:rFonts w:ascii="Calibri" w:hAnsi="Calibri" w:eastAsia="Calibri"/>
          <w:color w:val="162236"/>
          <w:sz w:val="22"/>
        </w:rPr>
        <w:t>Single column; all descriptions and links visible.</w:t>
      </w:r>
    </w:p>
    <w:p>
      <w:pPr>
        <w:numPr>
          <w:ilvl w:val="0"/>
          <w:numId w:val="21"/>
        </w:numPr>
        <w:spacing w:before="0" w:after="100" w:line="300" w:lineRule="auto"/>
        <w:keepLines w:val="1"/>
      </w:pPr>
      <w:r>
        <w:rPr>
          <w:rFonts w:ascii="Calibri" w:hAnsi="Calibri" w:eastAsia="Calibri"/>
          <w:b/>
          <w:color w:val="162236"/>
          <w:sz w:val="22"/>
        </w:rPr>
        <w:t xml:space="preserve">Workflow explanation. </w:t>
      </w:r>
      <w:r>
        <w:rPr>
          <w:rFonts w:ascii="Calibri" w:hAnsi="Calibri" w:eastAsia="Calibri"/>
          <w:color w:val="162236"/>
          <w:sz w:val="22"/>
        </w:rPr>
        <w:t>Five layers in a compact vertical sequence.</w:t>
      </w:r>
    </w:p>
    <w:p>
      <w:pPr>
        <w:numPr>
          <w:ilvl w:val="0"/>
          <w:numId w:val="21"/>
        </w:numPr>
        <w:spacing w:before="0" w:after="100" w:line="300" w:lineRule="auto"/>
        <w:keepLines w:val="1"/>
      </w:pPr>
      <w:r>
        <w:rPr>
          <w:rFonts w:ascii="Calibri" w:hAnsi="Calibri" w:eastAsia="Calibri"/>
          <w:b/>
          <w:color w:val="162236"/>
          <w:sz w:val="22"/>
        </w:rPr>
        <w:t xml:space="preserve">Five case steps. </w:t>
      </w:r>
      <w:r>
        <w:rPr>
          <w:rFonts w:ascii="Calibri" w:hAnsi="Calibri" w:eastAsia="Calibri"/>
          <w:color w:val="162236"/>
          <w:sz w:val="22"/>
        </w:rPr>
        <w:t>No horizontal timeline that requires zooming.</w:t>
      </w:r>
    </w:p>
    <w:p>
      <w:pPr>
        <w:numPr>
          <w:ilvl w:val="0"/>
          <w:numId w:val="21"/>
        </w:numPr>
        <w:spacing w:before="0" w:after="100" w:line="300" w:lineRule="auto"/>
        <w:keepLines w:val="1"/>
      </w:pPr>
      <w:r>
        <w:rPr>
          <w:rFonts w:ascii="Calibri" w:hAnsi="Calibri" w:eastAsia="Calibri"/>
          <w:b/>
          <w:color w:val="162236"/>
          <w:sz w:val="22"/>
        </w:rPr>
        <w:t xml:space="preserve">Support modes. </w:t>
      </w:r>
      <w:r>
        <w:rPr>
          <w:rFonts w:ascii="Calibri" w:hAnsi="Calibri" w:eastAsia="Calibri"/>
          <w:color w:val="162236"/>
          <w:sz w:val="22"/>
        </w:rPr>
        <w:t>Three stacked choices with specific CTA labels.</w:t>
      </w:r>
    </w:p>
    <w:p>
      <w:pPr>
        <w:numPr>
          <w:ilvl w:val="0"/>
          <w:numId w:val="21"/>
        </w:numPr>
        <w:spacing w:before="0" w:after="100" w:line="300" w:lineRule="auto"/>
        <w:keepLines w:val="1"/>
      </w:pPr>
      <w:r>
        <w:rPr>
          <w:rFonts w:ascii="Calibri" w:hAnsi="Calibri" w:eastAsia="Calibri"/>
          <w:b/>
          <w:color w:val="162236"/>
          <w:sz w:val="22"/>
        </w:rPr>
        <w:t xml:space="preserve">Complex case and evidence. </w:t>
      </w:r>
      <w:r>
        <w:rPr>
          <w:rFonts w:ascii="Calibri" w:hAnsi="Calibri" w:eastAsia="Calibri"/>
          <w:color w:val="162236"/>
          <w:sz w:val="22"/>
        </w:rPr>
        <w:t>One sequence and one manually controlled case at a time.</w:t>
      </w:r>
    </w:p>
    <w:p>
      <w:pPr>
        <w:numPr>
          <w:ilvl w:val="0"/>
          <w:numId w:val="21"/>
        </w:numPr>
        <w:spacing w:before="0" w:after="100" w:line="300" w:lineRule="auto"/>
        <w:keepLines w:val="1"/>
      </w:pPr>
      <w:r>
        <w:rPr>
          <w:rFonts w:ascii="Calibri" w:hAnsi="Calibri" w:eastAsia="Calibri"/>
          <w:b/>
          <w:color w:val="162236"/>
          <w:sz w:val="22"/>
        </w:rPr>
        <w:t xml:space="preserve">Requirements and privacy notice. </w:t>
      </w:r>
      <w:r>
        <w:rPr>
          <w:rFonts w:ascii="Calibri" w:hAnsi="Calibri" w:eastAsia="Calibri"/>
          <w:color w:val="162236"/>
          <w:sz w:val="22"/>
        </w:rPr>
        <w:t>The patient-data warning appears before the action.</w:t>
      </w:r>
    </w:p>
    <w:p>
      <w:pPr>
        <w:numPr>
          <w:ilvl w:val="0"/>
          <w:numId w:val="21"/>
        </w:numPr>
        <w:spacing w:before="0" w:after="100" w:line="300" w:lineRule="auto"/>
        <w:keepLines w:val="1"/>
      </w:pPr>
      <w:r>
        <w:rPr>
          <w:rFonts w:ascii="Calibri" w:hAnsi="Calibri" w:eastAsia="Calibri"/>
          <w:b/>
          <w:color w:val="162236"/>
          <w:sz w:val="22"/>
        </w:rPr>
        <w:t xml:space="preserve">Final action. </w:t>
      </w:r>
      <w:r>
        <w:rPr>
          <w:rFonts w:ascii="Calibri" w:hAnsi="Calibri" w:eastAsia="Calibri"/>
          <w:color w:val="162236"/>
          <w:sz w:val="22"/>
        </w:rPr>
        <w:t>Buttons stack and remain at least 48 px high.</w:t>
      </w:r>
    </w:p>
    <w:p>
      <w:pPr>
        <w:pStyle w:val="Heading2"/>
        <w:keepNext w:val="1"/>
        <w:keepLines w:val="1"/>
      </w:pPr>
      <w:r>
        <w:t>Accessibility requirements</w:t>
      </w:r>
    </w:p>
    <w:p>
      <w:pPr>
        <w:numPr>
          <w:ilvl w:val="0"/>
          <w:numId w:val="22"/>
        </w:numPr>
        <w:spacing w:before="0" w:after="80" w:line="300" w:lineRule="auto"/>
        <w:keepLines w:val="1"/>
      </w:pPr>
      <w:r>
        <w:rPr>
          <w:rFonts w:ascii="Calibri" w:hAnsi="Calibri" w:eastAsia="Calibri"/>
          <w:color w:val="162236"/>
          <w:sz w:val="22"/>
        </w:rPr>
        <w:t>Maintain WCAG AA colour contrast for body text, buttons, links and focus states.</w:t>
      </w:r>
    </w:p>
    <w:p>
      <w:pPr>
        <w:numPr>
          <w:ilvl w:val="0"/>
          <w:numId w:val="22"/>
        </w:numPr>
        <w:spacing w:before="0" w:after="80" w:line="300" w:lineRule="auto"/>
        <w:keepLines w:val="1"/>
      </w:pPr>
      <w:r>
        <w:rPr>
          <w:rFonts w:ascii="Calibri" w:hAnsi="Calibri" w:eastAsia="Calibri"/>
          <w:color w:val="162236"/>
          <w:sz w:val="22"/>
        </w:rPr>
        <w:t>Use one H1 and a logical H2/H3 order; never style a paragraph to look like a heading.</w:t>
      </w:r>
    </w:p>
    <w:p>
      <w:pPr>
        <w:numPr>
          <w:ilvl w:val="0"/>
          <w:numId w:val="22"/>
        </w:numPr>
        <w:spacing w:before="0" w:after="80" w:line="300" w:lineRule="auto"/>
        <w:keepLines w:val="1"/>
      </w:pPr>
      <w:r>
        <w:rPr>
          <w:rFonts w:ascii="Calibri" w:hAnsi="Calibri" w:eastAsia="Calibri"/>
          <w:color w:val="162236"/>
          <w:sz w:val="22"/>
        </w:rPr>
        <w:t>Keep touch targets at least 44 × 44 px and preserve visible keyboard focus.</w:t>
      </w:r>
    </w:p>
    <w:p>
      <w:pPr>
        <w:numPr>
          <w:ilvl w:val="0"/>
          <w:numId w:val="22"/>
        </w:numPr>
        <w:spacing w:before="0" w:after="80" w:line="300" w:lineRule="auto"/>
        <w:keepLines w:val="1"/>
      </w:pPr>
      <w:r>
        <w:rPr>
          <w:rFonts w:ascii="Calibri" w:hAnsi="Calibri" w:eastAsia="Calibri"/>
          <w:color w:val="162236"/>
          <w:sz w:val="22"/>
        </w:rPr>
        <w:t>Every interactive card has a descriptive accessible name; do not use repeated “Learn more” links.</w:t>
      </w:r>
    </w:p>
    <w:p>
      <w:pPr>
        <w:numPr>
          <w:ilvl w:val="0"/>
          <w:numId w:val="22"/>
        </w:numPr>
        <w:spacing w:before="0" w:after="80" w:line="300" w:lineRule="auto"/>
        <w:keepLines w:val="1"/>
      </w:pPr>
      <w:r>
        <w:rPr>
          <w:rFonts w:ascii="Calibri" w:hAnsi="Calibri" w:eastAsia="Calibri"/>
          <w:color w:val="162236"/>
          <w:sz w:val="22"/>
        </w:rPr>
        <w:t>Carousels are manually controlled, pauseable and keyboard accessible. Prefer no carousel when a grid works.</w:t>
      </w:r>
    </w:p>
    <w:p>
      <w:pPr>
        <w:numPr>
          <w:ilvl w:val="0"/>
          <w:numId w:val="22"/>
        </w:numPr>
        <w:spacing w:before="0" w:after="80" w:line="300" w:lineRule="auto"/>
        <w:keepLines w:val="1"/>
      </w:pPr>
      <w:r>
        <w:rPr>
          <w:rFonts w:ascii="Calibri" w:hAnsi="Calibri" w:eastAsia="Calibri"/>
          <w:color w:val="162236"/>
          <w:sz w:val="22"/>
        </w:rPr>
        <w:t>Respect reduced-motion settings and do not require motion to understand the workflow.</w:t>
      </w:r>
    </w:p>
    <w:p>
      <w:pPr>
        <w:numPr>
          <w:ilvl w:val="0"/>
          <w:numId w:val="22"/>
        </w:numPr>
        <w:spacing w:before="0" w:after="80" w:line="300" w:lineRule="auto"/>
        <w:keepLines w:val="1"/>
      </w:pPr>
      <w:r>
        <w:rPr>
          <w:rFonts w:ascii="Calibri" w:hAnsi="Calibri" w:eastAsia="Calibri"/>
          <w:color w:val="162236"/>
          <w:sz w:val="22"/>
        </w:rPr>
        <w:t>Use descriptive form labels and show validation messages next to the affected field.</w:t>
      </w:r>
    </w:p>
    <w:p>
      <w:pPr>
        <w:pStyle w:val="Heading2"/>
        <w:keepNext w:val="1"/>
        <w:keepLines w:val="1"/>
      </w:pPr>
      <w:r>
        <w:t>Sticky mobile action</w:t>
      </w:r>
    </w:p>
    <w:p>
      <w:pPr>
        <w:spacing w:before="0" w:after="120" w:line="300" w:lineRule="auto"/>
        <w:jc w:val="left"/>
      </w:pPr>
      <w:r>
        <w:rPr>
          <w:rFonts w:ascii="Calibri" w:hAnsi="Calibri" w:eastAsia="Calibri"/>
          <w:b w:val="0"/>
          <w:i w:val="0"/>
          <w:color w:val="162236"/>
          <w:sz w:val="22"/>
        </w:rPr>
        <w:t>Recommended: a restrained bottom action with Start a Case and a small Portal link after the visitor scrolls beyond the hero. It must not cover content, obscure form fields or occupy a large portion of the viewport.</w:t>
      </w:r>
    </w:p>
    <w:p>
      <w:pPr>
        <w:pStyle w:val="Heading2"/>
        <w:keepNext w:val="1"/>
        <w:keepLines w:val="1"/>
      </w:pPr>
      <w:r>
        <w:t>Discuss-a-case form boundary</w:t>
      </w:r>
    </w:p>
    <w:p>
      <w:pPr>
        <w:numPr>
          <w:ilvl w:val="0"/>
          <w:numId w:val="23"/>
        </w:numPr>
        <w:spacing w:before="0" w:after="80" w:line="300" w:lineRule="auto"/>
        <w:keepLines w:val="1"/>
      </w:pPr>
      <w:r>
        <w:rPr>
          <w:rFonts w:ascii="Calibri" w:hAnsi="Calibri" w:eastAsia="Calibri"/>
          <w:color w:val="162236"/>
          <w:sz w:val="22"/>
        </w:rPr>
        <w:t>Public fields: name, practice/organisation, professional email, optional phone, country, workflow of interest, preferred contact method and a short non-clinical question.</w:t>
      </w:r>
    </w:p>
    <w:p>
      <w:pPr>
        <w:numPr>
          <w:ilvl w:val="0"/>
          <w:numId w:val="23"/>
        </w:numPr>
        <w:spacing w:before="0" w:after="80" w:line="300" w:lineRule="auto"/>
        <w:keepLines w:val="1"/>
      </w:pPr>
      <w:r>
        <w:rPr>
          <w:rFonts w:ascii="Calibri" w:hAnsi="Calibri" w:eastAsia="Calibri"/>
          <w:color w:val="162236"/>
          <w:sz w:val="22"/>
        </w:rPr>
        <w:t>No file upload control.</w:t>
      </w:r>
    </w:p>
    <w:p>
      <w:pPr>
        <w:numPr>
          <w:ilvl w:val="0"/>
          <w:numId w:val="23"/>
        </w:numPr>
        <w:spacing w:before="0" w:after="80" w:line="300" w:lineRule="auto"/>
        <w:keepLines w:val="1"/>
      </w:pPr>
      <w:r>
        <w:rPr>
          <w:rFonts w:ascii="Calibri" w:hAnsi="Calibri" w:eastAsia="Calibri"/>
          <w:color w:val="162236"/>
          <w:sz w:val="22"/>
        </w:rPr>
        <w:t>Place this instruction above the message field: “Do not include patient-identifying information or clinical files here.”</w:t>
      </w:r>
    </w:p>
    <w:p>
      <w:pPr>
        <w:numPr>
          <w:ilvl w:val="0"/>
          <w:numId w:val="23"/>
        </w:numPr>
        <w:spacing w:before="0" w:after="80" w:line="300" w:lineRule="auto"/>
        <w:keepLines w:val="1"/>
      </w:pPr>
      <w:r>
        <w:rPr>
          <w:rFonts w:ascii="Calibri" w:hAnsi="Calibri" w:eastAsia="Calibri"/>
          <w:color w:val="162236"/>
          <w:sz w:val="22"/>
        </w:rPr>
        <w:t>After submission, direct the user to the Case Portal only when case files are required.</w:t>
      </w:r>
    </w:p>
    <w:p>
      <w:pPr>
        <w:pStyle w:val="Heading1"/>
        <w:keepNext w:val="1"/>
        <w:keepLines w:val="1"/>
      </w:pPr>
      <w:r>
        <w:t>9. Technical SEO and developer handoff</w:t>
      </w:r>
    </w:p>
    <w:p>
      <w:pPr>
        <w:spacing w:before="0" w:after="80"/>
        <w:keepNext w:val="1"/>
      </w:pPr>
      <w:r>
        <w:rPr>
          <w:rFonts w:ascii="Calibri" w:hAnsi="Calibri" w:eastAsia="Calibri"/>
          <w:b/>
          <w:color w:val="2E74B5"/>
          <w:sz w:val="19"/>
        </w:rPr>
        <w:t>CONTENT MUST EXIST IN THE PAGE, NOT ONLY IN THE DESIGN</w:t>
      </w:r>
    </w:p>
    <w:p>
      <w:pPr>
        <w:pStyle w:val="Heading2"/>
        <w:keepNext w:val="1"/>
        <w:keepLines w:val="1"/>
      </w:pPr>
      <w:r>
        <w:t>HTML and indexing controls</w:t>
      </w:r>
    </w:p>
    <w:p>
      <w:pPr>
        <w:numPr>
          <w:ilvl w:val="0"/>
          <w:numId w:val="24"/>
        </w:numPr>
        <w:spacing w:before="0" w:after="80" w:line="300" w:lineRule="auto"/>
        <w:keepLines w:val="1"/>
      </w:pPr>
      <w:r>
        <w:rPr>
          <w:rFonts w:ascii="Calibri" w:hAnsi="Calibri" w:eastAsia="Calibri"/>
          <w:color w:val="162236"/>
          <w:sz w:val="22"/>
        </w:rPr>
        <w:t>Server-render or pre-render the homepage title, description, headings, body copy and internal links.</w:t>
      </w:r>
    </w:p>
    <w:p>
      <w:pPr>
        <w:numPr>
          <w:ilvl w:val="0"/>
          <w:numId w:val="24"/>
        </w:numPr>
        <w:spacing w:before="0" w:after="80" w:line="300" w:lineRule="auto"/>
        <w:keepLines w:val="1"/>
      </w:pPr>
      <w:r>
        <w:rPr>
          <w:rFonts w:ascii="Calibri" w:hAnsi="Calibri" w:eastAsia="Calibri"/>
          <w:color w:val="162236"/>
          <w:sz w:val="22"/>
        </w:rPr>
        <w:t>Use one canonical homepage URL and one redirect policy for protocol, host and trailing-slash variants.</w:t>
      </w:r>
    </w:p>
    <w:p>
      <w:pPr>
        <w:numPr>
          <w:ilvl w:val="0"/>
          <w:numId w:val="24"/>
        </w:numPr>
        <w:spacing w:before="0" w:after="80" w:line="300" w:lineRule="auto"/>
        <w:keepLines w:val="1"/>
      </w:pPr>
      <w:r>
        <w:rPr>
          <w:rFonts w:ascii="Calibri" w:hAnsi="Calibri" w:eastAsia="Calibri"/>
          <w:color w:val="162236"/>
          <w:sz w:val="22"/>
        </w:rPr>
        <w:t>Keep all core mobile content equivalent to desktop content; design may collapse, but copy must not disappear.</w:t>
      </w:r>
    </w:p>
    <w:p>
      <w:pPr>
        <w:numPr>
          <w:ilvl w:val="0"/>
          <w:numId w:val="24"/>
        </w:numPr>
        <w:spacing w:before="0" w:after="80" w:line="300" w:lineRule="auto"/>
        <w:keepLines w:val="1"/>
      </w:pPr>
      <w:r>
        <w:rPr>
          <w:rFonts w:ascii="Calibri" w:hAnsi="Calibri" w:eastAsia="Calibri"/>
          <w:color w:val="162236"/>
          <w:sz w:val="22"/>
        </w:rPr>
        <w:t>Use descriptive, crawlable anchor links rather than JavaScript-only cards.</w:t>
      </w:r>
    </w:p>
    <w:p>
      <w:pPr>
        <w:numPr>
          <w:ilvl w:val="0"/>
          <w:numId w:val="24"/>
        </w:numPr>
        <w:spacing w:before="0" w:after="80" w:line="300" w:lineRule="auto"/>
        <w:keepLines w:val="1"/>
      </w:pPr>
      <w:r>
        <w:rPr>
          <w:rFonts w:ascii="Calibri" w:hAnsi="Calibri" w:eastAsia="Calibri"/>
          <w:color w:val="162236"/>
          <w:sz w:val="22"/>
        </w:rPr>
        <w:t>Add Organisation and WebSite structured data only with verified legal name, logo, URL and contact details.</w:t>
      </w:r>
    </w:p>
    <w:p>
      <w:pPr>
        <w:numPr>
          <w:ilvl w:val="0"/>
          <w:numId w:val="24"/>
        </w:numPr>
        <w:spacing w:before="0" w:after="80" w:line="300" w:lineRule="auto"/>
        <w:keepLines w:val="1"/>
      </w:pPr>
      <w:r>
        <w:rPr>
          <w:rFonts w:ascii="Calibri" w:hAnsi="Calibri" w:eastAsia="Calibri"/>
          <w:color w:val="162236"/>
          <w:sz w:val="22"/>
        </w:rPr>
        <w:t>Keep authenticated portal, case, patient, upload, plan, quotation, payment, file and tracking screens noindex.</w:t>
      </w:r>
    </w:p>
    <w:p>
      <w:pPr>
        <w:numPr>
          <w:ilvl w:val="0"/>
          <w:numId w:val="24"/>
        </w:numPr>
        <w:spacing w:before="0" w:after="80" w:line="300" w:lineRule="auto"/>
        <w:keepLines w:val="1"/>
      </w:pPr>
      <w:r>
        <w:rPr>
          <w:rFonts w:ascii="Calibri" w:hAnsi="Calibri" w:eastAsia="Calibri"/>
          <w:color w:val="162236"/>
          <w:sz w:val="22"/>
        </w:rPr>
        <w:t>Do not expose patient names, case IDs, file URLs, thumbnails or metadata in public HTML, sitemaps or analytics.</w:t>
      </w:r>
    </w:p>
    <w:p>
      <w:pPr>
        <w:pStyle w:val="Heading2"/>
        <w:keepNext w:val="1"/>
        <w:keepLines w:val="1"/>
      </w:pPr>
      <w:r>
        <w:t>Performance controls</w:t>
      </w:r>
    </w:p>
    <w:p>
      <w:pPr>
        <w:numPr>
          <w:ilvl w:val="0"/>
          <w:numId w:val="25"/>
        </w:numPr>
        <w:spacing w:before="0" w:after="80" w:line="300" w:lineRule="auto"/>
        <w:keepLines w:val="1"/>
      </w:pPr>
      <w:r>
        <w:rPr>
          <w:rFonts w:ascii="Calibri" w:hAnsi="Calibri" w:eastAsia="Calibri"/>
          <w:color w:val="162236"/>
          <w:sz w:val="22"/>
        </w:rPr>
        <w:t>Target passing Core Web Vitals at the 75th percentile; do not trade clarity for a decorative animation.</w:t>
      </w:r>
    </w:p>
    <w:p>
      <w:pPr>
        <w:numPr>
          <w:ilvl w:val="0"/>
          <w:numId w:val="25"/>
        </w:numPr>
        <w:spacing w:before="0" w:after="80" w:line="300" w:lineRule="auto"/>
        <w:keepLines w:val="1"/>
      </w:pPr>
      <w:r>
        <w:rPr>
          <w:rFonts w:ascii="Calibri" w:hAnsi="Calibri" w:eastAsia="Calibri"/>
          <w:color w:val="162236"/>
          <w:sz w:val="22"/>
        </w:rPr>
        <w:t>Preload only the true hero asset and primary font files.</w:t>
      </w:r>
    </w:p>
    <w:p>
      <w:pPr>
        <w:numPr>
          <w:ilvl w:val="0"/>
          <w:numId w:val="25"/>
        </w:numPr>
        <w:spacing w:before="0" w:after="80" w:line="300" w:lineRule="auto"/>
        <w:keepLines w:val="1"/>
      </w:pPr>
      <w:r>
        <w:rPr>
          <w:rFonts w:ascii="Calibri" w:hAnsi="Calibri" w:eastAsia="Calibri"/>
          <w:color w:val="162236"/>
          <w:sz w:val="22"/>
        </w:rPr>
        <w:t>Use responsive images with explicit dimensions to prevent layout shift.</w:t>
      </w:r>
    </w:p>
    <w:p>
      <w:pPr>
        <w:numPr>
          <w:ilvl w:val="0"/>
          <w:numId w:val="25"/>
        </w:numPr>
        <w:spacing w:before="0" w:after="80" w:line="300" w:lineRule="auto"/>
        <w:keepLines w:val="1"/>
      </w:pPr>
      <w:r>
        <w:rPr>
          <w:rFonts w:ascii="Calibri" w:hAnsi="Calibri" w:eastAsia="Calibri"/>
          <w:color w:val="162236"/>
          <w:sz w:val="22"/>
        </w:rPr>
        <w:t>Lazy-load below-the-fold evidence images, but do not require a click or swipe for Google to discover primary content.</w:t>
      </w:r>
    </w:p>
    <w:p>
      <w:pPr>
        <w:numPr>
          <w:ilvl w:val="0"/>
          <w:numId w:val="25"/>
        </w:numPr>
        <w:spacing w:before="0" w:after="80" w:line="300" w:lineRule="auto"/>
        <w:keepLines w:val="1"/>
      </w:pPr>
      <w:r>
        <w:rPr>
          <w:rFonts w:ascii="Calibri" w:hAnsi="Calibri" w:eastAsia="Calibri"/>
          <w:color w:val="162236"/>
          <w:sz w:val="22"/>
        </w:rPr>
        <w:t>Keep the hero video optional and poster-led; a still image should preserve the complete message.</w:t>
      </w:r>
    </w:p>
    <w:p>
      <w:pPr>
        <w:pStyle w:val="Heading2"/>
        <w:keepNext w:val="1"/>
        <w:keepLines w:val="1"/>
      </w:pPr>
      <w:r>
        <w:t>Analytics events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700"/>
        <w:gridCol w:w="2880"/>
        <w:gridCol w:w="3780"/>
      </w:tblGrid>
      <w:tr>
        <w:trPr>
          <w:tblHeader w:val="true"/>
        </w:trPr>
        <w:tc>
          <w:tcPr>
            <w:tcW w:type="dxa" w:w="2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Event</w:t>
            </w:r>
          </w:p>
        </w:tc>
        <w:tc>
          <w:tcPr>
            <w:tcW w:type="dxa" w:w="28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Trigger</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Privacy control</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home_start_case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case or patient identifier</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home_discuss_case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message content in event payload</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home_open_portal</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utility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user or case identifier</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home_workflow_select</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Workflow card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Workflow type only</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home_requirements</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Requirements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Page context only</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home_case_evidence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workflow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Public case category only</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Structured content ownership</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780"/>
        <w:gridCol w:w="2340"/>
        <w:gridCol w:w="3240"/>
      </w:tblGrid>
      <w:tr>
        <w:trPr>
          <w:tblHeader w:val="true"/>
        </w:trPr>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Decision</w:t>
            </w:r>
          </w:p>
        </w:tc>
        <w:tc>
          <w:tcPr>
            <w:tcW w:type="dxa" w:w="23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Owner</w:t>
            </w:r>
          </w:p>
        </w:tc>
        <w:tc>
          <w:tcPr>
            <w:tcW w:type="dxa" w:w="32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Release gate</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Public positioning and material claims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Founder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Explicit approval</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Live workflow availability and requirements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Operations</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Current scope confirmed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statements and limitations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Qualified clinical reviewer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recorded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routes, statuses and security wording</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lead</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Staging test passed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Privacy notice and public-form boundary</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Privacy/legal owner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Wording approved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 H1, links and canonical</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SEO/web lead</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Staging crawl reviewed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Real case assets and permissions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evidence owner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Consent and de-identification passed</w:t>
            </w:r>
          </w:p>
        </w:tc>
      </w:tr>
    </w:tbl>
    <w:p>
      <w:pPr>
        <w:spacing w:before="0" w:after="80" w:line="300" w:lineRule="auto"/>
        <w:jc w:val="left"/>
      </w:pPr>
      <w:r>
        <w:rPr>
          <w:rFonts w:ascii="Calibri" w:hAnsi="Calibri" w:eastAsia="Calibri"/>
          <w:b w:val="0"/>
          <w:i w:val="0"/>
          <w:color w:val="162236"/>
          <w:sz w:val="22"/>
        </w:rPr>
      </w:r>
    </w:p>
    <w:p>
      <w:pPr>
        <w:pStyle w:val="Heading1"/>
        <w:pageBreakBefore w:val="1"/>
        <w:keepNext w:val="1"/>
        <w:keepLines w:val="1"/>
      </w:pPr>
      <w:r>
        <w:t>10. Publication blockers and acceptance criteria</w:t>
      </w:r>
    </w:p>
    <w:p>
      <w:pPr>
        <w:spacing w:before="0" w:after="80"/>
        <w:keepNext w:val="1"/>
      </w:pPr>
      <w:r>
        <w:rPr>
          <w:rFonts w:ascii="Calibri" w:hAnsi="Calibri" w:eastAsia="Calibri"/>
          <w:b/>
          <w:color w:val="2E74B5"/>
          <w:sz w:val="19"/>
        </w:rPr>
        <w:t>CONTENT IS READY; THESE ITEMS PROTECT THE LAUNCH</w:t>
      </w:r>
    </w:p>
    <w:p>
      <w:pPr>
        <w:pStyle w:val="Heading2"/>
        <w:keepNext w:val="1"/>
        <w:keepLines w:val="1"/>
      </w:pPr>
      <w:r>
        <w:t>Resolve before publication</w:t>
      </w:r>
    </w:p>
    <w:p>
      <w:pPr>
        <w:numPr>
          <w:ilvl w:val="0"/>
          <w:numId w:val="26"/>
        </w:numPr>
        <w:spacing w:before="0" w:after="80" w:line="300" w:lineRule="auto"/>
        <w:keepLines w:val="1"/>
      </w:pPr>
      <w:r>
        <w:rPr>
          <w:rFonts w:ascii="Calibri" w:hAnsi="Calibri" w:eastAsia="Calibri"/>
          <w:color w:val="162236"/>
          <w:sz w:val="22"/>
        </w:rPr>
        <w:t>Confirm the production URL and login/registration behaviour behind Start a Case.</w:t>
      </w:r>
    </w:p>
    <w:p>
      <w:pPr>
        <w:numPr>
          <w:ilvl w:val="0"/>
          <w:numId w:val="26"/>
        </w:numPr>
        <w:spacing w:before="0" w:after="80" w:line="300" w:lineRule="auto"/>
        <w:keepLines w:val="1"/>
      </w:pPr>
      <w:r>
        <w:rPr>
          <w:rFonts w:ascii="Calibri" w:hAnsi="Calibri" w:eastAsia="Calibri"/>
          <w:color w:val="162236"/>
          <w:sz w:val="22"/>
        </w:rPr>
        <w:t>Confirm whether the word secure and any HIPAA-compliance statement are supported by the implemented portal and current documentation.</w:t>
      </w:r>
    </w:p>
    <w:p>
      <w:pPr>
        <w:numPr>
          <w:ilvl w:val="0"/>
          <w:numId w:val="26"/>
        </w:numPr>
        <w:spacing w:before="0" w:after="80" w:line="300" w:lineRule="auto"/>
        <w:keepLines w:val="1"/>
      </w:pPr>
      <w:r>
        <w:rPr>
          <w:rFonts w:ascii="Calibri" w:hAnsi="Calibri" w:eastAsia="Calibri"/>
          <w:color w:val="162236"/>
          <w:sz w:val="22"/>
        </w:rPr>
        <w:t>Select one de-identified hero case and one complex-case sequence with permission to publish.</w:t>
      </w:r>
    </w:p>
    <w:p>
      <w:pPr>
        <w:numPr>
          <w:ilvl w:val="0"/>
          <w:numId w:val="26"/>
        </w:numPr>
        <w:spacing w:before="0" w:after="80" w:line="300" w:lineRule="auto"/>
        <w:keepLines w:val="1"/>
      </w:pPr>
      <w:r>
        <w:rPr>
          <w:rFonts w:ascii="Calibri" w:hAnsi="Calibri" w:eastAsia="Calibri"/>
          <w:color w:val="162236"/>
          <w:sz w:val="22"/>
        </w:rPr>
        <w:t>Resolve the conflict between 50,000+ and 100,000+ case narratives; publish neither until the definition and source are approved.</w:t>
      </w:r>
    </w:p>
    <w:p>
      <w:pPr>
        <w:numPr>
          <w:ilvl w:val="0"/>
          <w:numId w:val="26"/>
        </w:numPr>
        <w:spacing w:before="0" w:after="80" w:line="300" w:lineRule="auto"/>
        <w:keepLines w:val="1"/>
      </w:pPr>
      <w:r>
        <w:rPr>
          <w:rFonts w:ascii="Calibri" w:hAnsi="Calibri" w:eastAsia="Calibri"/>
          <w:color w:val="162236"/>
          <w:sz w:val="22"/>
        </w:rPr>
        <w:t>Confirm which workflows and support modes are operationally available on launch day.</w:t>
      </w:r>
    </w:p>
    <w:p>
      <w:pPr>
        <w:numPr>
          <w:ilvl w:val="0"/>
          <w:numId w:val="26"/>
        </w:numPr>
        <w:spacing w:before="0" w:after="80" w:line="300" w:lineRule="auto"/>
        <w:keepLines w:val="1"/>
      </w:pPr>
      <w:r>
        <w:rPr>
          <w:rFonts w:ascii="Calibri" w:hAnsi="Calibri" w:eastAsia="Calibri"/>
          <w:color w:val="162236"/>
          <w:sz w:val="22"/>
        </w:rPr>
        <w:t>Verify company legal details, address, phone, email, regional contacts and partner permissions.</w:t>
      </w:r>
    </w:p>
    <w:p>
      <w:pPr>
        <w:numPr>
          <w:ilvl w:val="0"/>
          <w:numId w:val="26"/>
        </w:numPr>
        <w:spacing w:before="0" w:after="80" w:line="300" w:lineRule="auto"/>
        <w:keepLines w:val="1"/>
      </w:pPr>
      <w:r>
        <w:rPr>
          <w:rFonts w:ascii="Calibri" w:hAnsi="Calibri" w:eastAsia="Calibri"/>
          <w:color w:val="162236"/>
          <w:sz w:val="22"/>
        </w:rPr>
        <w:t>Test the new public Discuss a Complex Case form without replacing the current live form until staging records reach the correct Zoho destination.</w:t>
      </w:r>
    </w:p>
    <w:p>
      <w:pPr>
        <w:pStyle w:val="Heading2"/>
        <w:keepNext w:val="1"/>
        <w:keepLines w:val="1"/>
      </w:pPr>
      <w:r>
        <w:t>Homepage acceptance checklist</w:t>
      </w:r>
    </w:p>
    <w:p>
      <w:pPr>
        <w:numPr>
          <w:ilvl w:val="0"/>
          <w:numId w:val="27"/>
        </w:numPr>
        <w:spacing w:before="0" w:after="80" w:line="300" w:lineRule="auto"/>
        <w:keepLines w:val="1"/>
      </w:pPr>
      <w:r>
        <w:rPr>
          <w:rFonts w:ascii="Calibri" w:hAnsi="Calibri" w:eastAsia="Calibri"/>
          <w:color w:val="162236"/>
          <w:sz w:val="22"/>
        </w:rPr>
        <w:t>A new visitor can choose the relevant workflow within the first screen and first scroll.</w:t>
      </w:r>
    </w:p>
    <w:p>
      <w:pPr>
        <w:numPr>
          <w:ilvl w:val="0"/>
          <w:numId w:val="27"/>
        </w:numPr>
        <w:spacing w:before="0" w:after="80" w:line="300" w:lineRule="auto"/>
        <w:keepLines w:val="1"/>
      </w:pPr>
      <w:r>
        <w:rPr>
          <w:rFonts w:ascii="Calibri" w:hAnsi="Calibri" w:eastAsia="Calibri"/>
          <w:color w:val="162236"/>
          <w:sz w:val="22"/>
        </w:rPr>
        <w:t>One H1, one primary CTA and one relevant secondary route are visible.</w:t>
      </w:r>
    </w:p>
    <w:p>
      <w:pPr>
        <w:numPr>
          <w:ilvl w:val="0"/>
          <w:numId w:val="27"/>
        </w:numPr>
        <w:spacing w:before="0" w:after="80" w:line="300" w:lineRule="auto"/>
        <w:keepLines w:val="1"/>
      </w:pPr>
      <w:r>
        <w:rPr>
          <w:rFonts w:ascii="Calibri" w:hAnsi="Calibri" w:eastAsia="Calibri"/>
          <w:color w:val="162236"/>
          <w:sz w:val="22"/>
        </w:rPr>
        <w:t>A returning user can reach the Case Portal in one interaction.</w:t>
      </w:r>
    </w:p>
    <w:p>
      <w:pPr>
        <w:numPr>
          <w:ilvl w:val="0"/>
          <w:numId w:val="27"/>
        </w:numPr>
        <w:spacing w:before="0" w:after="80" w:line="300" w:lineRule="auto"/>
        <w:keepLines w:val="1"/>
      </w:pPr>
      <w:r>
        <w:rPr>
          <w:rFonts w:ascii="Calibri" w:hAnsi="Calibri" w:eastAsia="Calibri"/>
          <w:color w:val="162236"/>
          <w:sz w:val="22"/>
        </w:rPr>
        <w:t>No public form accepts clinical files or patient-identifying information.</w:t>
      </w:r>
    </w:p>
    <w:p>
      <w:pPr>
        <w:numPr>
          <w:ilvl w:val="0"/>
          <w:numId w:val="27"/>
        </w:numPr>
        <w:spacing w:before="0" w:after="80" w:line="300" w:lineRule="auto"/>
        <w:keepLines w:val="1"/>
      </w:pPr>
      <w:r>
        <w:rPr>
          <w:rFonts w:ascii="Calibri" w:hAnsi="Calibri" w:eastAsia="Calibri"/>
          <w:color w:val="162236"/>
          <w:sz w:val="22"/>
        </w:rPr>
        <w:t>The dentist remains the stated clinical decision-maker.</w:t>
      </w:r>
    </w:p>
    <w:p>
      <w:pPr>
        <w:numPr>
          <w:ilvl w:val="0"/>
          <w:numId w:val="27"/>
        </w:numPr>
        <w:spacing w:before="0" w:after="80" w:line="300" w:lineRule="auto"/>
        <w:keepLines w:val="1"/>
      </w:pPr>
      <w:r>
        <w:rPr>
          <w:rFonts w:ascii="Calibri" w:hAnsi="Calibri" w:eastAsia="Calibri"/>
          <w:color w:val="162236"/>
          <w:sz w:val="22"/>
        </w:rPr>
        <w:t>Guided implantology is visibly dominant over secondary digital services.</w:t>
      </w:r>
    </w:p>
    <w:p>
      <w:pPr>
        <w:numPr>
          <w:ilvl w:val="0"/>
          <w:numId w:val="27"/>
        </w:numPr>
        <w:spacing w:before="0" w:after="80" w:line="300" w:lineRule="auto"/>
        <w:keepLines w:val="1"/>
      </w:pPr>
      <w:r>
        <w:rPr>
          <w:rFonts w:ascii="Calibri" w:hAnsi="Calibri" w:eastAsia="Calibri"/>
          <w:color w:val="162236"/>
          <w:sz w:val="22"/>
        </w:rPr>
        <w:t>The copy is concise, natural and specific to Image3DConversion work.</w:t>
      </w:r>
    </w:p>
    <w:p>
      <w:pPr>
        <w:numPr>
          <w:ilvl w:val="0"/>
          <w:numId w:val="27"/>
        </w:numPr>
        <w:spacing w:before="0" w:after="80" w:line="300" w:lineRule="auto"/>
        <w:keepLines w:val="1"/>
      </w:pPr>
      <w:r>
        <w:rPr>
          <w:rFonts w:ascii="Calibri" w:hAnsi="Calibri" w:eastAsia="Calibri"/>
          <w:color w:val="162236"/>
          <w:sz w:val="22"/>
        </w:rPr>
        <w:t>No unsupported accuracy, safety, predictability, turnaround, scale, AI or partner claim appears.</w:t>
      </w:r>
    </w:p>
    <w:p>
      <w:pPr>
        <w:numPr>
          <w:ilvl w:val="0"/>
          <w:numId w:val="27"/>
        </w:numPr>
        <w:spacing w:before="0" w:after="80" w:line="300" w:lineRule="auto"/>
        <w:keepLines w:val="1"/>
      </w:pPr>
      <w:r>
        <w:rPr>
          <w:rFonts w:ascii="Calibri" w:hAnsi="Calibri" w:eastAsia="Calibri"/>
          <w:color w:val="162236"/>
          <w:sz w:val="22"/>
        </w:rPr>
        <w:t>Every case image is real, de-identified, permission-cleared and accurately captioned.</w:t>
      </w:r>
    </w:p>
    <w:p>
      <w:pPr>
        <w:numPr>
          <w:ilvl w:val="0"/>
          <w:numId w:val="27"/>
        </w:numPr>
        <w:spacing w:before="0" w:after="80" w:line="300" w:lineRule="auto"/>
        <w:keepLines w:val="1"/>
      </w:pPr>
      <w:r>
        <w:rPr>
          <w:rFonts w:ascii="Calibri" w:hAnsi="Calibri" w:eastAsia="Calibri"/>
          <w:color w:val="162236"/>
          <w:sz w:val="22"/>
        </w:rPr>
        <w:t>Titles, descriptions, headings, links and core copy are crawlable on desktop and mobile.</w:t>
      </w:r>
    </w:p>
    <w:p>
      <w:pPr>
        <w:numPr>
          <w:ilvl w:val="0"/>
          <w:numId w:val="27"/>
        </w:numPr>
        <w:spacing w:before="0" w:after="80" w:line="300" w:lineRule="auto"/>
        <w:keepLines w:val="1"/>
      </w:pPr>
      <w:r>
        <w:rPr>
          <w:rFonts w:ascii="Calibri" w:hAnsi="Calibri" w:eastAsia="Calibri"/>
          <w:color w:val="162236"/>
          <w:sz w:val="22"/>
        </w:rPr>
        <w:t>Every CTA and redirect is tested on staging before launch.</w:t>
      </w:r>
    </w:p>
    <w:p>
      <w:pPr>
        <w:spacing w:before="60" w:after="180" w:line="300" w:lineRule="auto"/>
        <w:ind w:left="173" w:right="115"/>
        <w:shd w:fill="E8EEF5"/>
        <w:pBdr>
          <w:left w:val="single" w:sz="18" w:space="8" w:color="2E6B57"/>
        </w:pBdr>
        <w:keepLines w:val="1"/>
      </w:pPr>
      <w:r>
        <w:rPr>
          <w:rFonts w:ascii="Calibri" w:hAnsi="Calibri" w:eastAsia="Calibri"/>
          <w:b/>
          <w:color w:val="2E6B57"/>
          <w:sz w:val="19"/>
        </w:rPr>
        <w:t xml:space="preserve">APPROVAL RECOMMENDATION  </w:t>
      </w:r>
      <w:r>
        <w:rPr>
          <w:rFonts w:ascii="Calibri" w:hAnsi="Calibri" w:eastAsia="Calibri"/>
          <w:b w:val="0"/>
          <w:color w:val="162236"/>
          <w:sz w:val="22"/>
        </w:rPr>
        <w:t>Approve the content hierarchy and visitor-facing copy now. Hold only the evidence strip, security wording and final case imagery behind the named verification gates.</w:t>
      </w:r>
    </w:p>
    <w:p>
      <w:pPr>
        <w:pStyle w:val="Heading2"/>
        <w:pageBreakBefore w:val="1"/>
        <w:keepNext w:val="1"/>
        <w:keepLines w:val="1"/>
      </w:pPr>
      <w:r>
        <w:t>Reference links</w:t>
      </w:r>
    </w:p>
    <w:p>
      <w:pPr>
        <w:numPr>
          <w:ilvl w:val="0"/>
          <w:numId w:val="28"/>
        </w:numPr>
        <w:spacing w:after="80" w:line="300" w:lineRule="auto"/>
      </w:pPr>
      <w:hyperlink r:id="rId11">
        <w:r>
          <w:rPr>
            <w:rFonts w:ascii="Calibri" w:hAnsi="Calibri"/>
            <w:color w:val="2E74B5"/>
            <w:u w:val="single"/>
          </w:rPr>
          <w:t>Current Image3DConversion homepage</w:t>
        </w:r>
      </w:hyperlink>
      <w:r>
        <w:rPr>
          <w:rFonts w:ascii="Calibri" w:hAnsi="Calibri" w:eastAsia="Calibri"/>
          <w:color w:val="162236"/>
          <w:sz w:val="21"/>
        </w:rPr>
        <w:t xml:space="preserve"> — baseline service, claim, training and navigation audit observed 26 July 2026</w:t>
      </w:r>
    </w:p>
    <w:p>
      <w:pPr>
        <w:numPr>
          <w:ilvl w:val="0"/>
          <w:numId w:val="29"/>
        </w:numPr>
        <w:spacing w:after="80" w:line="300" w:lineRule="auto"/>
      </w:pPr>
      <w:hyperlink r:id="rId12">
        <w:r>
          <w:rPr>
            <w:rFonts w:ascii="Calibri" w:hAnsi="Calibri"/>
            <w:color w:val="2E74B5"/>
            <w:u w:val="single"/>
          </w:rPr>
          <w:t>Google Search SEO Starter Guide</w:t>
        </w:r>
      </w:hyperlink>
      <w:r>
        <w:rPr>
          <w:rFonts w:ascii="Calibri" w:hAnsi="Calibri" w:eastAsia="Calibri"/>
          <w:color w:val="162236"/>
          <w:sz w:val="21"/>
        </w:rPr>
        <w:t xml:space="preserve"> — titles, descriptions, useful content, links and image guidance</w:t>
      </w:r>
    </w:p>
    <w:p>
      <w:pPr>
        <w:numPr>
          <w:ilvl w:val="0"/>
          <w:numId w:val="30"/>
        </w:numPr>
        <w:spacing w:after="80" w:line="300" w:lineRule="auto"/>
      </w:pPr>
      <w:hyperlink r:id="rId13">
        <w:r>
          <w:rPr>
            <w:rFonts w:ascii="Calibri" w:hAnsi="Calibri"/>
            <w:color w:val="2E74B5"/>
            <w:u w:val="single"/>
          </w:rPr>
          <w:t>Google Search mobile-first indexing guidance</w:t>
        </w:r>
      </w:hyperlink>
      <w:r>
        <w:rPr>
          <w:rFonts w:ascii="Calibri" w:hAnsi="Calibri" w:eastAsia="Calibri"/>
          <w:color w:val="162236"/>
          <w:sz w:val="21"/>
        </w:rPr>
        <w:t xml:space="preserve"> — mobile content equivalence, metadata and image visibility</w:t>
      </w:r>
    </w:p>
    <w:p>
      <w:pPr>
        <w:numPr>
          <w:ilvl w:val="0"/>
          <w:numId w:val="31"/>
        </w:numPr>
        <w:spacing w:after="80" w:line="300" w:lineRule="auto"/>
      </w:pPr>
      <w:hyperlink r:id="rId14">
        <w:r>
          <w:rPr>
            <w:rFonts w:ascii="Calibri" w:hAnsi="Calibri"/>
            <w:color w:val="2E74B5"/>
            <w:u w:val="single"/>
          </w:rPr>
          <w:t>Google Image SEO best practices</w:t>
        </w:r>
      </w:hyperlink>
      <w:r>
        <w:rPr>
          <w:rFonts w:ascii="Calibri" w:hAnsi="Calibri" w:eastAsia="Calibri"/>
          <w:color w:val="162236"/>
          <w:sz w:val="21"/>
        </w:rPr>
        <w:t xml:space="preserve"> — descriptive alt text and contextual image use</w:t>
      </w:r>
    </w:p>
    <w:p>
      <w:pPr>
        <w:numPr>
          <w:ilvl w:val="0"/>
          <w:numId w:val="32"/>
        </w:numPr>
        <w:spacing w:after="80" w:line="300" w:lineRule="auto"/>
      </w:pPr>
      <w:hyperlink r:id="rId15">
        <w:r>
          <w:rPr>
            <w:rFonts w:ascii="Calibri" w:hAnsi="Calibri"/>
            <w:color w:val="2E74B5"/>
            <w:u w:val="single"/>
          </w:rPr>
          <w:t>Google page experience guidance</w:t>
        </w:r>
      </w:hyperlink>
      <w:r>
        <w:rPr>
          <w:rFonts w:ascii="Calibri" w:hAnsi="Calibri" w:eastAsia="Calibri"/>
          <w:color w:val="162236"/>
          <w:sz w:val="21"/>
        </w:rPr>
        <w:t xml:space="preserve"> — Core Web Vitals and user-centred page experience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WEBSITE RELEASE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hint="default"/>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hint="default"/>
      </w:r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rPr>
        <w:rFonts w:ascii="Calibri" w:hAnsi="Calibri" w:hint="default"/>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hint="default"/>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hint="default"/>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hint="default"/>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hint="default"/>
      </w:rPr>
    </w:lvl>
  </w:abstractNum>
  <w:num w:numId="26">
    <w:abstractNumId w:val="25"/>
  </w:num>
  <w:abstractNum w:abstractNumId="26">
    <w:multiLevelType w:val="singleLevel"/>
    <w:lvl w:ilvl="0">
      <w:start w:val="1"/>
      <w:numFmt w:val="bullet"/>
      <w:lvlText w:val="•"/>
      <w:suff w:val="tab"/>
      <w:lvlJc w:val="left"/>
      <w:pPr>
        <w:tabs>
          <w:tab w:val="num" w:pos="540"/>
        </w:tabs>
        <w:ind w:left="540" w:hanging="270"/>
      </w:pPr>
      <w:rPr>
        <w:rFonts w:ascii="Calibri" w:hAnsi="Calibri" w:hint="default"/>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hint="default"/>
      </w:rPr>
    </w:lvl>
  </w:abstractNum>
  <w:num w:numId="28">
    <w:abstractNumId w:val="27"/>
  </w:num>
  <w:abstractNum w:abstractNumId="28">
    <w:multiLevelType w:val="singleLevel"/>
    <w:lvl w:ilvl="0">
      <w:start w:val="1"/>
      <w:numFmt w:val="bullet"/>
      <w:lvlText w:val="•"/>
      <w:suff w:val="tab"/>
      <w:lvlJc w:val="left"/>
      <w:pPr>
        <w:tabs>
          <w:tab w:val="num" w:pos="540"/>
        </w:tabs>
        <w:ind w:left="540" w:hanging="270"/>
      </w:pPr>
      <w:rPr>
        <w:rFonts w:ascii="Calibri" w:hAnsi="Calibri" w:hint="default"/>
      </w:rPr>
    </w:lvl>
  </w:abstractNum>
  <w:num w:numId="29">
    <w:abstractNumId w:val="28"/>
  </w:num>
  <w:abstractNum w:abstractNumId="29">
    <w:multiLevelType w:val="singleLevel"/>
    <w:lvl w:ilvl="0">
      <w:start w:val="1"/>
      <w:numFmt w:val="bullet"/>
      <w:lvlText w:val="•"/>
      <w:suff w:val="tab"/>
      <w:lvlJc w:val="left"/>
      <w:pPr>
        <w:tabs>
          <w:tab w:val="num" w:pos="540"/>
        </w:tabs>
        <w:ind w:left="540" w:hanging="270"/>
      </w:pPr>
      <w:rPr>
        <w:rFonts w:ascii="Calibri" w:hAnsi="Calibri" w:hint="default"/>
      </w:rPr>
    </w:lvl>
  </w:abstractNum>
  <w:num w:numId="30">
    <w:abstractNumId w:val="29"/>
  </w:num>
  <w:abstractNum w:abstractNumId="30">
    <w:multiLevelType w:val="singleLevel"/>
    <w:lvl w:ilvl="0">
      <w:start w:val="1"/>
      <w:numFmt w:val="bullet"/>
      <w:lvlText w:val="•"/>
      <w:suff w:val="tab"/>
      <w:lvlJc w:val="left"/>
      <w:pPr>
        <w:tabs>
          <w:tab w:val="num" w:pos="540"/>
        </w:tabs>
        <w:ind w:left="540" w:hanging="270"/>
      </w:pPr>
      <w:rPr>
        <w:rFonts w:ascii="Calibri" w:hAnsi="Calibri" w:hint="default"/>
      </w:rPr>
    </w:lvl>
  </w:abstractNum>
  <w:num w:numId="31">
    <w:abstractNumId w:val="30"/>
  </w:num>
  <w:abstractNum w:abstractNumId="31">
    <w:multiLevelType w:val="singleLevel"/>
    <w:lvl w:ilvl="0">
      <w:start w:val="1"/>
      <w:numFmt w:val="bullet"/>
      <w:lvlText w:val="•"/>
      <w:suff w:val="tab"/>
      <w:lvlJc w:val="left"/>
      <w:pPr>
        <w:tabs>
          <w:tab w:val="num" w:pos="540"/>
        </w:tabs>
        <w:ind w:left="540" w:hanging="270"/>
      </w:pPr>
      <w:rPr>
        <w:rFonts w:ascii="Calibri" w:hAnsi="Calibri" w:hint="default"/>
      </w:r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mage3dconversion.com/"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developers.google.com/search/docs/crawling-indexing/mobile/mobile-sites-mobile-first-indexing" TargetMode="External"/><Relationship Id="rId14" Type="http://schemas.openxmlformats.org/officeDocument/2006/relationships/hyperlink" Target="https://developers.google.com/search/docs/appearance/google-images" TargetMode="External"/><Relationship Id="rId15" Type="http://schemas.openxmlformats.org/officeDocument/2006/relationships/hyperlink" Target="https://developers.google.com/search/docs/appearance/page-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Homepage Content &amp; Design Psychology Specification</dc:title>
  <dc:subject>Release 1 homepage copy, SEO, design psychology and developer handoff</dc:subject>
  <dc:creator>Image3DConversion</dc:creator>
  <cp:keywords>Image3DConversion, homepage, digital implant planning, surgical guides, content strategy</cp:keywords>
  <dc:description>Prepared for Founder approval and implementation handoff.</dc:description>
  <cp:lastModifiedBy/>
  <cp:revision>1</cp:revision>
  <dcterms:created xsi:type="dcterms:W3CDTF">2013-12-23T23:15:00Z</dcterms:created>
  <dcterms:modified xsi:type="dcterms:W3CDTF">2013-12-23T23:15:00Z</dcterms:modified>
  <cp:category/>
</cp:coreProperties>
</file>