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 w:line="300" w:lineRule="auto"/>
        <w:jc w:val="left"/>
      </w:pPr>
      <w:r>
        <w:rPr>
          <w:rFonts w:ascii="Calibri" w:hAnsi="Calibri" w:eastAsia="Calibri"/>
          <w:b/>
          <w:i w:val="0"/>
          <w:color w:val="2E74B5"/>
          <w:sz w:val="19"/>
        </w:rPr>
        <w:t>CONTENT + EXPERIENCE SPECIFICATION</w:t>
      </w:r>
    </w:p>
    <w:p>
      <w:pPr>
        <w:spacing w:after="120"/>
      </w:pPr>
      <w:r>
        <w:rPr>
          <w:rFonts w:ascii="Calibri" w:hAnsi="Calibri" w:eastAsia="Calibri"/>
          <w:b/>
          <w:color w:val="162236"/>
          <w:sz w:val="56"/>
        </w:rPr>
        <w:t>Image3DConversion</w:t>
        <w:br/>
      </w:r>
      <w:r>
        <w:rPr>
          <w:rFonts w:ascii="Calibri" w:hAnsi="Calibri" w:eastAsia="Calibri"/>
          <w:b/>
          <w:color w:val="2E74B5"/>
          <w:sz w:val="50"/>
        </w:rPr>
        <w:t>How It Works / Workflow Overview</w:t>
      </w:r>
    </w:p>
    <w:p>
      <w:pPr>
        <w:spacing w:before="0" w:after="320" w:line="300" w:lineRule="auto"/>
        <w:jc w:val="left"/>
      </w:pPr>
      <w:r>
        <w:rPr>
          <w:rFonts w:ascii="Calibri" w:hAnsi="Calibri" w:eastAsia="Calibri"/>
          <w:b w:val="0"/>
          <w:i w:val="0"/>
          <w:color w:val="5F6B7A"/>
          <w:sz w:val="26"/>
        </w:rPr>
        <w:t>Final public workflow copy, SEO hierarchy, journey psychology, route architecture, 3D visual direction, mobile behaviour, Case Portal boundary and publication controls.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Version: </w:t>
      </w:r>
      <w:r>
        <w:rPr>
          <w:rFonts w:ascii="Calibri" w:hAnsi="Calibri" w:eastAsia="Calibri"/>
          <w:color w:val="162236"/>
          <w:sz w:val="21"/>
        </w:rPr>
        <w:t>1.0 · 28 July 2026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Status: </w:t>
      </w:r>
      <w:r>
        <w:rPr>
          <w:rFonts w:ascii="Calibri" w:hAnsi="Calibri" w:eastAsia="Calibri"/>
          <w:color w:val="162236"/>
          <w:sz w:val="21"/>
        </w:rPr>
        <w:t>Prepared for Founder approval and design/development handoff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Public URL: </w:t>
      </w:r>
      <w:r>
        <w:rPr>
          <w:rFonts w:ascii="Calibri" w:hAnsi="Calibri" w:eastAsia="Calibri"/>
          <w:color w:val="162236"/>
          <w:sz w:val="21"/>
        </w:rPr>
        <w:t>https://www.image3dconversion.com/how-it-works/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action: </w:t>
      </w:r>
      <w:r>
        <w:rPr>
          <w:rFonts w:ascii="Calibri" w:hAnsi="Calibri" w:eastAsia="Calibri"/>
          <w:color w:val="162236"/>
          <w:sz w:val="21"/>
        </w:rPr>
        <w:t>Discuss a Case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PAGE DECISION  </w:t>
      </w:r>
      <w:r>
        <w:rPr>
          <w:rFonts w:ascii="Calibri" w:hAnsi="Calibri" w:eastAsia="Calibri"/>
          <w:b w:val="0"/>
          <w:color w:val="162236"/>
          <w:sz w:val="22"/>
        </w:rPr>
        <w:t>This page is the public operating overview for Image3DConversion. It should make the workflow easy to understand before the visitor enters service-specific pages or the authenticated Case Portal. It must not replace clinical judgement, portal submission, approval gates or existing operations architecture.</w:t>
      </w:r>
    </w:p>
    <w:p>
      <w:pPr>
        <w:pStyle w:val="Heading2"/>
        <w:keepNext w:val="1"/>
        <w:keepLines w:val="1"/>
      </w:pPr>
      <w:r>
        <w:t>The job of this page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Explain the Image3DConversion workflow in a calm, premium and practical sequence.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Help dentists understand what happens from initial case discussion to records, planning, review, approval and final deliverables.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Route visitors to the correct deeper page: Case Data, Design-Only, Design-to-Delivery, Global Practice, Case Portal or Contact.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Show that I3DC supports coordinated workflow execution, not just isolated guide design.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Preserve the authenticated Case Portal boundary for clinical records, case tracking, approvals and deliverables.</w:t>
      </w:r>
    </w:p>
    <w:p>
      <w:pPr>
        <w:numPr>
          <w:ilvl w:val="0"/>
          <w:numId w:val="10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Avoid unsupported claims around speed, surgical outcomes, security, availability, global coverage or production capacity.</w:t>
      </w:r>
    </w:p>
    <w:p>
      <w:r>
        <w:br w:type="page"/>
      </w:r>
    </w:p>
    <w:p>
      <w:pPr>
        <w:pStyle w:val="Heading1"/>
        <w:keepNext w:val="1"/>
        <w:keepLines w:val="1"/>
      </w:pPr>
      <w:r>
        <w:t>1. SEO and page identity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500"/>
        <w:gridCol w:w="650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Approved value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Route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/how-it-works/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Indexing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index, follow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SEO title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How Image3DConversion Works | Guided Implant Workflow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Meta description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Understand how Image3DConversion supports guided implant planning, case data preparation, design review, approval and delivery workflows for dental practices.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H1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A clearer workflow from records to guided execution.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Primary keyword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guided implant workflow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Supporting keywords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digital implant planning workflow; surgical guide design process; dental case planning workflow; Image3DConversion workflow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Primary CTA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Discuss a Case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Secondary CTA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8"/>
              </w:rPr>
              <w:t>Open the Case Portal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SEO PRINCIPLE  </w:t>
      </w:r>
      <w:r>
        <w:rPr>
          <w:rFonts w:ascii="Calibri" w:hAnsi="Calibri" w:eastAsia="Calibri"/>
          <w:b w:val="0"/>
          <w:color w:val="162236"/>
          <w:sz w:val="22"/>
        </w:rPr>
        <w:t>The page should rank for workflow-intent searches and give visitors enough clarity to choose their next page. It should not become a technical manual, a portal screen or a long list of services.</w:t>
      </w:r>
    </w:p>
    <w:p>
      <w:pPr>
        <w:pStyle w:val="Heading1"/>
        <w:pageBreakBefore w:val="1"/>
        <w:keepNext w:val="1"/>
        <w:keepLines w:val="1"/>
      </w:pPr>
      <w:r>
        <w:t>2. Final page copy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HERO EYEBROW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HOW IMAGE3DCONVERSION WORKS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H1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A clearer workflow from records to guided execution.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HERO BODY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Image3DConversion supports dental practices through the digital workflow behind guided implant treatment: case understanding, diagnostic-record preparation, planning support, guide and prosthetic design coordination, professional review, revision handling, approval and final deliverables.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PROFESSIONAL NOTE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The treating clinician remains responsible for diagnosis, treatment indication, patient consent, surgical execution and final clinical approval. Image3DConversion supports the digital planning and workflow environment around the case.</w:t>
      </w:r>
    </w:p>
    <w:p>
      <w:pPr>
        <w:spacing w:before="0" w:after="100" w:line="300" w:lineRule="auto"/>
        <w:ind w:left="158" w:right="86"/>
        <w:shd w:fill="E8EEF5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CTA: </w:t>
      </w:r>
      <w:r>
        <w:rPr>
          <w:rFonts w:ascii="Calibri" w:hAnsi="Calibri" w:eastAsia="Calibri"/>
          <w:color w:val="162236"/>
          <w:sz w:val="21"/>
        </w:rPr>
        <w:t>Discuss a Case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Secondary CTA: </w:t>
      </w:r>
      <w:r>
        <w:rPr>
          <w:rFonts w:ascii="Calibri" w:hAnsi="Calibri" w:eastAsia="Calibri"/>
          <w:color w:val="162236"/>
          <w:sz w:val="21"/>
        </w:rPr>
        <w:t>Open the Case Portal</w:t>
      </w:r>
    </w:p>
    <w:p>
      <w:pPr>
        <w:pStyle w:val="Heading2"/>
        <w:keepNext w:val="1"/>
        <w:keepLines w:val="1"/>
      </w:pPr>
      <w:r>
        <w:t>Section 1 — Start with the workflow, not the file</w:t>
      </w:r>
    </w:p>
    <w:p>
      <w:pPr>
        <w:spacing w:before="0" w:after="100" w:line="300" w:lineRule="auto"/>
        <w:jc w:val="left"/>
      </w:pPr>
      <w:r>
        <w:rPr>
          <w:rFonts w:ascii="Calibri" w:hAnsi="Calibri" w:eastAsia="Calibri"/>
          <w:b/>
          <w:i w:val="0"/>
          <w:color w:val="1F4D78"/>
          <w:sz w:val="30"/>
        </w:rPr>
        <w:t>A guided case becomes predictable when the sequence is clear.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Before production or file delivery, the case needs the right clinical records, prosthetic reference, planning objective, implant-system direction, review rhythm and approval path.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This page shows how Image3DConversion helps organise that sequence so practices can choose the right route before starting the case.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/>
          <w:color w:val="5F6B7A"/>
          <w:sz w:val="19"/>
        </w:rPr>
        <w:t>Psychological job: Reduce mental load. The visitor should feel the workflow is structured and understandable before committing to a case route.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Visual direction: Blue-white full-width workflow scene with DICOM, scan, prosthetic plan, guide design and approval steps arranged around a clean 3D implant/prosthetic model.</w:t>
      </w:r>
    </w:p>
    <w:p>
      <w:pPr>
        <w:spacing w:before="0" w:after="60" w:line="300" w:lineRule="auto"/>
        <w:jc w:val="left"/>
        <w:keepNext w:val="1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Mobile: Show the five-step journey as stacked cards with clear next actions after each card.</w:t>
      </w:r>
    </w:p>
    <w:p>
      <w:pPr>
        <w:spacing w:before="0" w:after="14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5F6B7A"/>
          <w:sz w:val="19"/>
        </w:rPr>
        <w:t>Implementation: Use this page as a hub. Do not duplicate every service page; route to deeper pages when detail becomes case-type specific.</w:t>
      </w:r>
    </w:p>
    <w:p>
      <w:pPr>
        <w:pStyle w:val="Heading2"/>
        <w:keepNext w:val="1"/>
        <w:keepLines w:val="1"/>
      </w:pPr>
      <w:r>
        <w:t>Section 2 — The Image3DConversion workflow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100"/>
        <w:gridCol w:w="4700"/>
        <w:gridCol w:w="220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Stage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What happens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Where it routes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1. Discuss the case route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The practice identifies the case type, workflow need and whether it needs planning, design-only, design-to-delivery, global support or partnership discussion.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/discuss-a-case/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2. Prepare diagnostic records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The practice prepares CBCT/DICOM, scan files, bite, photographs, smile/prosthetic reference and clinical instructions as required by case type.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/case-data-diagnostic-preparation/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3. Submit through the right pathway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Ready cases move through the authenticated Case Portal. Early enquiries remain on the public discussion route until submission is appropriate.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/case-portal/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4. Plan, design and review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I3DC supports planning, guide design, prosthetic alignment, revision handling and review-ready outputs within the agreed scope.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Relevant workflow page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5. Approve and receive deliverables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The practice reviews, requests changes where needed, records approval and receives production-ready files or delivery support according to the selected route.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Case Portal / agreed delivery route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Section 3 — Choose the route that fits your practice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300"/>
        <w:gridCol w:w="4200"/>
        <w:gridCol w:w="2500"/>
      </w:tblGrid>
      <w:tr>
        <w:trPr>
          <w:tblHeader w:val="true"/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Route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Best fit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Visitor next step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Guided Implant Workflow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Routine, multi-implant or restorative-driven planning support.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Review the guided implant workflow page.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Full-Arch / Stackable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Cases involving full-arch sequencing, bone reduction, MUA direction or immediate prosthetic coordination.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Review the full-arch workflow page.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Immediate Loading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Cases where the provisional, smile reference and surgical plan must stay coordinated.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Review the immediate-loading workflow page.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Zygoma / Pterygoid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Advanced cases requiring specialist-led planning context and careful responsibility boundaries.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Review the advanced planning page.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Design-Only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Practices or labs that want files while keeping local production under their control.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Review the design-only page.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Design-to-Delivery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Practices wanting coordinated planning, design and production handoff where scope is available.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Review the design-to-delivery page.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Global Practice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International teams needing cross-border planning, file handoff or production coordination.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Review global practice workflows.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White-Label Partnership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Labs, DSOs, implant companies or education groups needing behind-the-scenes workflow support.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Review partnership page.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2"/>
        <w:keepNext w:val="1"/>
        <w:keepLines w:val="1"/>
      </w:pPr>
      <w:r>
        <w:t>Section 4 — What the practice should prepare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The exact records depend on the case, but most workflows become clearer when the following information is prepared before formal submission.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CBCT / DICOM data with appropriate field of view for the planned treatment.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Intraoral scan, model scan, denture scan or wax-up scan where relevant.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Bite record, clinical photographs and smile/prosthetic reference when the outcome is patient-facing.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Implant system, component preferences and surgical notes where already decided.</w:t>
      </w:r>
    </w:p>
    <w:p>
      <w:pPr>
        <w:numPr>
          <w:ilvl w:val="0"/>
          <w:numId w:val="11"/>
        </w:numPr>
        <w:spacing w:before="0" w:after="80" w:line="300" w:lineRule="auto"/>
        <w:keepLines w:val="1"/>
      </w:pPr>
      <w:r>
        <w:rPr>
          <w:rFonts w:ascii="Calibri" w:hAnsi="Calibri" w:eastAsia="Calibri"/>
          <w:color w:val="162236"/>
          <w:sz w:val="22"/>
        </w:rPr>
        <w:t>Clear statement of the desired workflow: planning support, guide design, design-only files, design-to-delivery or partner support.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Supporting page: </w:t>
      </w:r>
      <w:r>
        <w:rPr>
          <w:rFonts w:ascii="Calibri" w:hAnsi="Calibri" w:eastAsia="Calibri"/>
          <w:color w:val="162236"/>
          <w:sz w:val="21"/>
        </w:rPr>
        <w:t>Case Data &amp; Diagnostic Preparation</w:t>
      </w:r>
    </w:p>
    <w:p>
      <w:pPr>
        <w:pStyle w:val="Heading2"/>
        <w:keepNext w:val="1"/>
        <w:keepLines w:val="1"/>
      </w:pPr>
      <w:r>
        <w:t>Section 5 — Review, revision and approval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The digital workflow should include space for professional review. When a plan or design output is prepared, the practice should be able to review it, ask questions, request changes and approve the agreed direction before the workflow moves forward.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This protects clarity. It also helps the practice understand where clinical decision-making, digital planning support and production coordination meet.</w:t>
      </w:r>
    </w:p>
    <w:p>
      <w:pPr>
        <w:pStyle w:val="Heading2"/>
        <w:keepNext w:val="1"/>
        <w:keepLines w:val="1"/>
      </w:pPr>
      <w:r>
        <w:t>Section 6 — Where the Case Portal fits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The Case Portal is the authenticated environment for active case submission, clinical-record exchange, case status, review, revision, approval and final deliverables.</w:t>
      </w:r>
    </w:p>
    <w:p>
      <w:pPr>
        <w:spacing w:before="0" w:after="12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3"/>
        </w:rPr>
        <w:t>The public website helps a practice understand the workflow and choose the right route. The portal is where active cases are handled after the correct pathway is confirmed.</w:t>
      </w:r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PORTAL BOUNDARY  </w:t>
      </w:r>
      <w:r>
        <w:rPr>
          <w:rFonts w:ascii="Calibri" w:hAnsi="Calibri" w:eastAsia="Calibri"/>
          <w:b w:val="0"/>
          <w:color w:val="162236"/>
          <w:sz w:val="22"/>
        </w:rPr>
        <w:t>Public pages may explain the workflow and collect non-identifying professional enquiries. Clinical files, patient-identifying information, approvals and case deliverables belong inside the authenticated Case Portal or another approved professional intake route.</w:t>
      </w:r>
    </w:p>
    <w:p>
      <w:pPr>
        <w:pStyle w:val="Heading2"/>
        <w:keepNext w:val="1"/>
        <w:keepLines w:val="1"/>
      </w:pPr>
      <w:r>
        <w:t>Section 7 — CTA block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CTA HEADLINE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Know the workflow before the case begins.</w:t>
      </w:r>
    </w:p>
    <w:p>
      <w:pPr>
        <w:spacing w:before="0" w:after="80"/>
        <w:keepNext w:val="1"/>
      </w:pPr>
      <w:r>
        <w:rPr>
          <w:rFonts w:ascii="Calibri" w:hAnsi="Calibri" w:eastAsia="Calibri"/>
          <w:b/>
          <w:color w:val="2E74B5"/>
          <w:sz w:val="19"/>
        </w:rPr>
        <w:t>CTA BODY</w:t>
      </w:r>
    </w:p>
    <w:p>
      <w:pPr>
        <w:spacing w:before="0" w:after="100" w:line="300" w:lineRule="auto"/>
        <w:jc w:val="left"/>
        <w:keepLines w:val="1"/>
      </w:pPr>
      <w:r>
        <w:rPr>
          <w:rFonts w:ascii="Calibri" w:hAnsi="Calibri" w:eastAsia="Calibri"/>
          <w:b w:val="0"/>
          <w:i w:val="0"/>
          <w:color w:val="162236"/>
          <w:sz w:val="24"/>
        </w:rPr>
        <w:t>Share your case type, practice context and the workflow you are considering. Image3DConversion can help you choose the right path before clinical records are submitted.</w:t>
      </w:r>
    </w:p>
    <w:p>
      <w:pPr>
        <w:spacing w:before="0" w:after="100" w:line="300" w:lineRule="auto"/>
        <w:ind w:left="158" w:right="86"/>
        <w:shd w:fill="E8EEF5"/>
        <w:pBdr>
          <w:left w:val="single" w:sz="14" w:space="8" w:color="2E74B5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Primary CTA: </w:t>
      </w:r>
      <w:r>
        <w:rPr>
          <w:rFonts w:ascii="Calibri" w:hAnsi="Calibri" w:eastAsia="Calibri"/>
          <w:color w:val="162236"/>
          <w:sz w:val="21"/>
        </w:rPr>
        <w:t>Discuss a Case</w:t>
      </w:r>
    </w:p>
    <w:p>
      <w:pPr>
        <w:spacing w:before="0" w:after="100" w:line="300" w:lineRule="auto"/>
        <w:ind w:left="158" w:right="86"/>
        <w:shd w:fill="F4F6F9"/>
        <w:pBdr>
          <w:left w:val="single" w:sz="14" w:space="8" w:color="1F4D78"/>
        </w:pBdr>
        <w:keepLines w:val="1"/>
      </w:pPr>
      <w:r>
        <w:rPr>
          <w:rFonts w:ascii="Calibri" w:hAnsi="Calibri" w:eastAsia="Calibri"/>
          <w:b/>
          <w:color w:val="1F4D78"/>
          <w:sz w:val="21"/>
        </w:rPr>
        <w:t xml:space="preserve">Secondary CTA: </w:t>
      </w:r>
      <w:r>
        <w:rPr>
          <w:rFonts w:ascii="Calibri" w:hAnsi="Calibri" w:eastAsia="Calibri"/>
          <w:color w:val="162236"/>
          <w:sz w:val="21"/>
        </w:rPr>
        <w:t>Open the Case Portal</w:t>
      </w:r>
    </w:p>
    <w:p>
      <w:pPr>
        <w:pStyle w:val="Heading1"/>
        <w:keepNext w:val="1"/>
        <w:keepLines w:val="1"/>
      </w:pPr>
      <w:r>
        <w:t>3. Design and visual direction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500"/>
        <w:gridCol w:w="650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Element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Direction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Overall feel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Structured, premium, calm and clinically organised. This page should make the system feel easy to enter.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Colour system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Image3DConversion Blue + White only. Use pale blue cards, white space and dark-blue hierarchy.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Hero visual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 clean 3D workflow path moving from CBCT and scan data toward implant plan, guide/prosthetic design, review and deliverable output.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Workflow component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Use five clear cards or horizontal steps on desktop; stack them on mobile.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Route selector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Use compact cards linking to the major workflow pages. Avoid large paragraph blocks for navigation.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Avoid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7"/>
              </w:rPr>
              <w:t>Generic laboratory stock photos, chaotic file-transfer visuals, dark gradients, exaggerated automation graphics or claims that the workflow replaces clinical judgement.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1"/>
        <w:keepNext w:val="1"/>
        <w:keepLines w:val="1"/>
      </w:pPr>
      <w:r>
        <w:t>4. Navigation and CTA routing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300"/>
        <w:gridCol w:w="3200"/>
        <w:gridCol w:w="3500"/>
      </w:tblGrid>
      <w:tr>
        <w:trPr>
          <w:tblHeader w:val="true"/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CTA / link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Destination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Discuss a Case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/discuss-a-case/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Primary public enquiry for non-identifying professional context.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Open the Case Portal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/case-portal/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Gateway for returning users and ready active-case workflow.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Prepare Case Data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/case-data-diagnostic-preparation/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Teach required records before submission.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Design-Only Workflow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/design-only-workflow/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Route practices keeping production local.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Design-to-Delivery Workflow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/design-to-delivery-workflow/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Route practices needing coordinated handoff.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Global Practice Workflows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/global-practice-workflows/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Explain international collaboration and local-production models.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White-Label Partnership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/white-label-workflow-partnership/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Route partner organisations.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1"/>
        <w:keepNext w:val="1"/>
        <w:keepLines w:val="1"/>
      </w:pPr>
      <w:r>
        <w:t>5. Publication controls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500"/>
        <w:gridCol w:w="650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Control area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Rule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Workflow positioning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Describe an organised support workflow, not a clinical replacement or autonomous treatment-decision system.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Clinical authority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Keep diagnosis, treatment indication, consent, surgery and final approval with the treating clinician or responsible professional team.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Public intake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Public forms collect professional context and non-identifying workflow summaries only.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Portal architecture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Do not alter login, role controls, tenant isolation, finance separation, statuses, approvals or authenticated screens.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Global claims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Describe supported collaboration routes only. Do not imply universal coverage, fixed delivery or local regulatory responsibility.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Timing / pricing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Publish exact turnaround, pricing or dispatch claims only after operations approval for the current market and workflow.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Tone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color w:val="162236"/>
                <w:sz w:val="16"/>
              </w:rPr>
              <w:t>Clear, confident and practical. Avoid heavy technical jargon, panic language or over-selling.</w:t>
            </w:r>
          </w:p>
        </w:tc>
      </w:tr>
    </w:tbl>
    <w:p>
      <w:pPr>
        <w:spacing w:before="0" w:after="80" w:line="300" w:lineRule="auto"/>
        <w:jc w:val="left"/>
      </w:pPr>
      <w:r>
        <w:rPr>
          <w:rFonts w:ascii="Calibri" w:hAnsi="Calibri" w:eastAsia="Calibri"/>
          <w:b w:val="0"/>
          <w:i w:val="0"/>
          <w:color w:val="162236"/>
          <w:sz w:val="22"/>
        </w:rPr>
      </w:r>
    </w:p>
    <w:p>
      <w:pPr>
        <w:pStyle w:val="Heading1"/>
        <w:keepNext w:val="1"/>
        <w:keepLines w:val="1"/>
      </w:pPr>
      <w:r>
        <w:t>6. Source alignment</w:t>
      </w:r>
    </w:p>
    <w:p>
      <w:pPr>
        <w:numPr>
          <w:ilvl w:val="0"/>
          <w:numId w:val="12"/>
        </w:numPr>
        <w:spacing w:after="80" w:line="300" w:lineRule="auto"/>
      </w:pPr>
      <w:hyperlink r:id="rId11">
        <w:r>
          <w:rPr>
            <w:rFonts w:ascii="Calibri" w:hAnsi="Calibri"/>
            <w:color w:val="2E74B5"/>
            <w:u w:val="single"/>
          </w:rPr>
          <w:t>Master Content Strategy</w:t>
        </w:r>
      </w:hyperlink>
    </w:p>
    <w:p>
      <w:pPr>
        <w:numPr>
          <w:ilvl w:val="0"/>
          <w:numId w:val="13"/>
        </w:numPr>
        <w:spacing w:after="80" w:line="300" w:lineRule="auto"/>
      </w:pPr>
      <w:hyperlink r:id="rId12">
        <w:r>
          <w:rPr>
            <w:rFonts w:ascii="Calibri" w:hAnsi="Calibri"/>
            <w:color w:val="2E74B5"/>
            <w:u w:val="single"/>
          </w:rPr>
          <w:t>Blueprint 01</w:t>
        </w:r>
      </w:hyperlink>
    </w:p>
    <w:p>
      <w:pPr>
        <w:numPr>
          <w:ilvl w:val="0"/>
          <w:numId w:val="14"/>
        </w:numPr>
        <w:spacing w:after="80" w:line="300" w:lineRule="auto"/>
      </w:pPr>
      <w:hyperlink r:id="rId13">
        <w:r>
          <w:rPr>
            <w:rFonts w:ascii="Calibri" w:hAnsi="Calibri"/>
            <w:color w:val="2E74B5"/>
            <w:u w:val="single"/>
          </w:rPr>
          <w:t>Google people-first content guidance</w:t>
        </w:r>
      </w:hyperlink>
    </w:p>
    <w:p>
      <w:pPr>
        <w:spacing w:before="60" w:after="180" w:line="300" w:lineRule="auto"/>
        <w:ind w:left="173" w:right="115"/>
        <w:shd w:fill="E8EEF5"/>
        <w:pBdr>
          <w:left w:val="single" w:sz="18" w:space="8" w:color="2E74B5"/>
        </w:pBdr>
        <w:keepLines w:val="1"/>
      </w:pPr>
      <w:r>
        <w:rPr>
          <w:rFonts w:ascii="Calibri" w:hAnsi="Calibri" w:eastAsia="Calibri"/>
          <w:b/>
          <w:color w:val="2E74B5"/>
          <w:sz w:val="19"/>
        </w:rPr>
        <w:t xml:space="preserve">IMPLEMENTATION NOTE  </w:t>
      </w:r>
      <w:r>
        <w:rPr>
          <w:rFonts w:ascii="Calibri" w:hAnsi="Calibri" w:eastAsia="Calibri"/>
          <w:b w:val="0"/>
          <w:color w:val="162236"/>
          <w:sz w:val="22"/>
        </w:rPr>
        <w:t>This document contains publishable visitor copy and internal handoff rules. In implementation, only the final page copy should be published. Strategy notes, route controls and developer safeguards remain internal.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5F6B7A"/>
        <w:sz w:val="17"/>
      </w:rPr>
      <w:t>IMAGE3DCONVERSION  /  HOW IT WORKS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622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36" w:hanging="259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Image3DConversion_Master_Content_Strategy_v1.0.docx" TargetMode="External"/><Relationship Id="rId12" Type="http://schemas.openxmlformats.org/officeDocument/2006/relationships/hyperlink" Target="Image3DConversion_Blueprint_01_Homepage_Global_Shell.md" TargetMode="External"/><Relationship Id="rId13" Type="http://schemas.openxmlformats.org/officeDocument/2006/relationships/hyperlink" Target="https://developers.google.com/search/docs/fundamentals/creating-helpful-cont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