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280" w:line="300" w:lineRule="auto"/>
        <w:jc w:val="center"/>
      </w:pPr>
      <w:r>
        <w:rPr>
          <w:rFonts w:ascii="Calibri" w:hAnsi="Calibri"/>
          <w:i w:val="0"/>
          <w:color w:val="2E74B5"/>
          <w:sz w:val="20"/>
        </w:rPr>
        <w:t>WEBSITE + CASE PORTAL</w:t>
      </w:r>
    </w:p>
    <w:p>
      <w:pPr>
        <w:spacing w:after="200"/>
        <w:jc w:val="center"/>
      </w:pPr>
      <w:r>
        <w:rPr>
          <w:rFonts w:ascii="Calibri" w:hAnsi="Calibri"/>
          <w:b/>
          <w:color w:val="162236"/>
          <w:sz w:val="56"/>
        </w:rPr>
        <w:t>Image3DConversion</w:t>
      </w:r>
    </w:p>
    <w:p>
      <w:pPr>
        <w:spacing w:after="280"/>
        <w:jc w:val="center"/>
      </w:pPr>
      <w:r>
        <w:rPr>
          <w:rFonts w:ascii="Calibri" w:hAnsi="Calibri"/>
          <w:b/>
          <w:color w:val="1F4D78"/>
          <w:sz w:val="48"/>
        </w:rPr>
        <w:t>Website Strategy Blueprint</w:t>
      </w:r>
    </w:p>
    <w:p>
      <w:pPr>
        <w:spacing w:before="0" w:after="600" w:line="300" w:lineRule="auto"/>
        <w:jc w:val="center"/>
      </w:pPr>
      <w:r>
        <w:rPr>
          <w:rFonts w:ascii="Calibri" w:hAnsi="Calibri"/>
          <w:i w:val="0"/>
          <w:color w:val="5F6B7A"/>
          <w:sz w:val="26"/>
        </w:rPr>
        <w:t>A concise, search-ready website and portal content system for dentists, practices, laboratories and workflow partners.</w:t>
      </w:r>
    </w:p>
    <w:p>
      <w:pPr>
        <w:spacing w:before="100" w:after="180" w:line="300" w:lineRule="auto"/>
        <w:ind w:left="202" w:right="144"/>
        <w:shd w:fill="E8EEF5"/>
        <w:pBdr>
          <w:left w:val="single" w:sz="16" w:space="8" w:color="1F4D78"/>
        </w:pBdr>
        <w:keepLines w:val="1"/>
      </w:pPr>
      <w:r>
        <w:rPr>
          <w:rFonts w:ascii="Calibri" w:hAnsi="Calibri"/>
          <w:b/>
          <w:color w:val="1F4D78"/>
          <w:sz w:val="18"/>
        </w:rPr>
        <w:t xml:space="preserve">STRATEGIC POSITION  </w:t>
      </w:r>
      <w:r>
        <w:rPr>
          <w:rFonts w:ascii="Calibri" w:hAnsi="Calibri"/>
          <w:b/>
          <w:color w:val="162236"/>
          <w:sz w:val="22"/>
        </w:rPr>
        <w:t>Image3DConversion is the digital workflow partner behind confident, restoration-led implant treatment.</w:t>
      </w:r>
    </w:p>
    <w:p>
      <w:pPr>
        <w:spacing w:before="0" w:after="60" w:line="300" w:lineRule="auto"/>
        <w:jc w:val="center"/>
      </w:pPr>
      <w:r>
        <w:rPr>
          <w:rFonts w:ascii="Calibri" w:hAnsi="Calibri"/>
          <w:i w:val="0"/>
          <w:color w:val="162236"/>
          <w:sz w:val="22"/>
        </w:rPr>
        <w:t>Prepared for Sudeep Paul</w:t>
      </w:r>
    </w:p>
    <w:p>
      <w:pPr>
        <w:spacing w:before="0" w:after="0" w:line="300" w:lineRule="auto"/>
        <w:jc w:val="center"/>
      </w:pPr>
      <w:r>
        <w:rPr>
          <w:rFonts w:ascii="Calibri" w:hAnsi="Calibri"/>
          <w:i w:val="0"/>
          <w:color w:val="5F6B7A"/>
          <w:sz w:val="19"/>
        </w:rPr>
        <w:t>Version 1.1  |  26 July 2026  |  Asia/Kolkata</w:t>
      </w:r>
    </w:p>
    <w:p>
      <w:r>
        <w:br w:type="page"/>
      </w:r>
    </w:p>
    <w:p>
      <w:pPr>
        <w:pStyle w:val="Heading1"/>
        <w:spacing w:before="360" w:after="200" w:line="252" w:lineRule="auto"/>
        <w:keepNext w:val="1"/>
        <w:pageBreakBefore w:val="0"/>
      </w:pPr>
      <w:r>
        <w:rPr>
          <w:rFonts w:ascii="Calibri" w:hAnsi="Calibri"/>
          <w:b/>
          <w:color w:val="2E74B5"/>
          <w:sz w:val="32"/>
        </w:rPr>
        <w:t>Executive decision</w:t>
      </w:r>
    </w:p>
    <w:p>
      <w:pPr>
        <w:spacing w:before="0" w:after="120" w:line="300" w:lineRule="auto"/>
        <w:jc w:val="left"/>
        <w:keepLines w:val="1"/>
      </w:pPr>
      <w:r>
        <w:rPr>
          <w:rFonts w:ascii="Calibri" w:hAnsi="Calibri"/>
          <w:i w:val="0"/>
          <w:color w:val="162236"/>
          <w:sz w:val="22"/>
        </w:rPr>
        <w:t>Image3DConversion should stop reading like a catalogue of digital dental services. It should behave like a clinical workflow company: the dentist selects the treatment objective, understands what data are needed, sees how review and approval work, and enters a secure case environment.</w:t>
      </w:r>
    </w:p>
    <w:p>
      <w:pPr>
        <w:spacing w:before="100" w:after="180" w:line="300" w:lineRule="auto"/>
        <w:ind w:left="202" w:right="144"/>
        <w:shd w:fill="E8EEF5"/>
        <w:pBdr>
          <w:left w:val="single" w:sz="16" w:space="8" w:color="2E74B5"/>
        </w:pBdr>
        <w:keepLines w:val="1"/>
      </w:pPr>
      <w:r>
        <w:rPr>
          <w:rFonts w:ascii="Calibri" w:hAnsi="Calibri"/>
          <w:b/>
          <w:color w:val="2E74B5"/>
          <w:sz w:val="18"/>
        </w:rPr>
        <w:t xml:space="preserve">NORTH STAR  </w:t>
      </w:r>
      <w:r>
        <w:rPr>
          <w:rFonts w:ascii="Calibri" w:hAnsi="Calibri"/>
          <w:b/>
          <w:color w:val="162236"/>
          <w:sz w:val="22"/>
        </w:rPr>
        <w:t>Plan the outcome. Guide the execution.</w:t>
      </w:r>
    </w:p>
    <w:p>
      <w:pPr>
        <w:pStyle w:val="Heading2"/>
        <w:spacing w:before="280" w:after="140" w:line="252" w:lineRule="auto"/>
        <w:keepNext w:val="1"/>
        <w:pageBreakBefore w:val="0"/>
      </w:pPr>
      <w:r>
        <w:rPr>
          <w:rFonts w:ascii="Calibri" w:hAnsi="Calibri"/>
          <w:b/>
          <w:color w:val="2E74B5"/>
          <w:sz w:val="26"/>
        </w:rPr>
        <w:t>The brand split is fixed</w:t>
      </w:r>
    </w:p>
    <w:tbl>
      <w:tblPr>
        <w:tblStyle w:val="TableGrid"/>
        <w:tblW w:type="dxa" w:w="9360"/>
        <w:tblLayout w:type="fixed"/>
        <w:tblLook w:firstColumn="1" w:firstRow="1" w:lastColumn="0" w:lastRow="0" w:noHBand="0" w:noVBand="1" w:val="04A0"/>
        <w:jc w:val="left"/>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2300"/>
        <w:gridCol w:w="2700"/>
        <w:gridCol w:w="4360"/>
      </w:tblGrid>
      <w:tr>
        <w:trPr>
          <w:tblHeader w:val="true"/>
          <w:cantSplit/>
        </w:trPr>
        <w:tc>
          <w:tcPr>
            <w:tcW w:type="dxa" w:w="2300"/>
            <w:tcMar>
              <w:top w:w="80" w:type="dxa"/>
              <w:start w:w="120" w:type="dxa"/>
              <w:bottom w:w="80" w:type="dxa"/>
              <w:end w:w="120" w:type="dxa"/>
            </w:tcMar>
            <w:vAlign w:val="center"/>
            <w:shd w:fill="E8EEF5"/>
          </w:tcPr>
          <w:p>
            <w:pPr>
              <w:spacing w:before="0" w:after="0" w:line="264" w:lineRule="auto"/>
            </w:pPr>
            <w:r>
              <w:rPr>
                <w:rFonts w:ascii="Calibri" w:hAnsi="Calibri"/>
                <w:b/>
                <w:color w:val="162236"/>
                <w:sz w:val="18"/>
              </w:rPr>
              <w:t>Experience</w:t>
            </w:r>
          </w:p>
        </w:tc>
        <w:tc>
          <w:tcPr>
            <w:tcW w:type="dxa" w:w="2700"/>
            <w:tcMar>
              <w:top w:w="80" w:type="dxa"/>
              <w:start w:w="120" w:type="dxa"/>
              <w:bottom w:w="80" w:type="dxa"/>
              <w:end w:w="120" w:type="dxa"/>
            </w:tcMar>
            <w:vAlign w:val="center"/>
            <w:shd w:fill="E8EEF5"/>
          </w:tcPr>
          <w:p>
            <w:pPr>
              <w:spacing w:before="0" w:after="0" w:line="264" w:lineRule="auto"/>
            </w:pPr>
            <w:r>
              <w:rPr>
                <w:rFonts w:ascii="Calibri" w:hAnsi="Calibri"/>
                <w:b/>
                <w:color w:val="162236"/>
                <w:sz w:val="18"/>
              </w:rPr>
              <w:t>Primary role</w:t>
            </w:r>
          </w:p>
        </w:tc>
        <w:tc>
          <w:tcPr>
            <w:tcW w:type="dxa" w:w="4360"/>
            <w:tcMar>
              <w:top w:w="80" w:type="dxa"/>
              <w:start w:w="120" w:type="dxa"/>
              <w:bottom w:w="80" w:type="dxa"/>
              <w:end w:w="120" w:type="dxa"/>
            </w:tcMar>
            <w:vAlign w:val="center"/>
            <w:shd w:fill="E8EEF5"/>
          </w:tcPr>
          <w:p>
            <w:pPr>
              <w:spacing w:before="0" w:after="0" w:line="264" w:lineRule="auto"/>
            </w:pPr>
            <w:r>
              <w:rPr>
                <w:rFonts w:ascii="Calibri" w:hAnsi="Calibri"/>
                <w:b/>
                <w:color w:val="162236"/>
                <w:sz w:val="18"/>
              </w:rPr>
              <w:t>What belongs there</w:t>
            </w:r>
          </w:p>
        </w:tc>
      </w:tr>
      <w:tr>
        <w:trPr>
          <w:cantSplit/>
        </w:trPr>
        <w:tc>
          <w:tcPr>
            <w:tcW w:type="dxa" w:w="2300"/>
            <w:vAlign w:val="center"/>
            <w:tcMar>
              <w:top w:w="80" w:type="dxa"/>
              <w:start w:w="120" w:type="dxa"/>
              <w:bottom w:w="80" w:type="dxa"/>
              <w:end w:w="120" w:type="dxa"/>
            </w:tcMar>
          </w:tcPr>
          <w:p>
            <w:pPr>
              <w:spacing w:before="0" w:after="0" w:line="271" w:lineRule="auto"/>
            </w:pPr>
            <w:r>
              <w:rPr>
                <w:rFonts w:ascii="Calibri" w:hAnsi="Calibri"/>
                <w:color w:val="162236"/>
                <w:sz w:val="18"/>
              </w:rPr>
              <w:t>Image3DConversion.com</w:t>
            </w:r>
          </w:p>
        </w:tc>
        <w:tc>
          <w:tcPr>
            <w:tcW w:type="dxa" w:w="2700"/>
            <w:vAlign w:val="center"/>
            <w:tcMar>
              <w:top w:w="80" w:type="dxa"/>
              <w:start w:w="120" w:type="dxa"/>
              <w:bottom w:w="80" w:type="dxa"/>
              <w:end w:w="120" w:type="dxa"/>
            </w:tcMar>
          </w:tcPr>
          <w:p>
            <w:pPr>
              <w:spacing w:before="0" w:after="0" w:line="271" w:lineRule="auto"/>
            </w:pPr>
            <w:r>
              <w:rPr>
                <w:rFonts w:ascii="Calibri" w:hAnsi="Calibri"/>
                <w:color w:val="162236"/>
                <w:sz w:val="18"/>
              </w:rPr>
              <w:t>Clinical service and case-execution ecosystem</w:t>
            </w:r>
          </w:p>
        </w:tc>
        <w:tc>
          <w:tcPr>
            <w:tcW w:type="dxa" w:w="4360"/>
            <w:vAlign w:val="center"/>
            <w:tcMar>
              <w:top w:w="80" w:type="dxa"/>
              <w:start w:w="120" w:type="dxa"/>
              <w:bottom w:w="80" w:type="dxa"/>
              <w:end w:w="120" w:type="dxa"/>
            </w:tcMar>
          </w:tcPr>
          <w:p>
            <w:pPr>
              <w:spacing w:before="0" w:after="0" w:line="271" w:lineRule="auto"/>
            </w:pPr>
            <w:r>
              <w:rPr>
                <w:rFonts w:ascii="Calibri" w:hAnsi="Calibri"/>
                <w:color w:val="162236"/>
                <w:sz w:val="18"/>
              </w:rPr>
              <w:t>Workflow solutions, case evidence, requirements, complex-case consultation and portal entry.</w:t>
            </w:r>
          </w:p>
        </w:tc>
      </w:tr>
      <w:tr>
        <w:trPr>
          <w:cantSplit/>
        </w:trPr>
        <w:tc>
          <w:tcPr>
            <w:tcW w:type="dxa" w:w="2300"/>
            <w:vAlign w:val="center"/>
            <w:tcMar>
              <w:top w:w="80" w:type="dxa"/>
              <w:start w:w="120" w:type="dxa"/>
              <w:bottom w:w="80" w:type="dxa"/>
              <w:end w:w="120" w:type="dxa"/>
            </w:tcMar>
          </w:tcPr>
          <w:p>
            <w:pPr>
              <w:spacing w:before="0" w:after="0" w:line="271" w:lineRule="auto"/>
            </w:pPr>
            <w:r>
              <w:rPr>
                <w:rFonts w:ascii="Calibri" w:hAnsi="Calibri"/>
                <w:color w:val="162236"/>
                <w:sz w:val="18"/>
              </w:rPr>
              <w:t>Image3DConversion Case Portal</w:t>
            </w:r>
          </w:p>
        </w:tc>
        <w:tc>
          <w:tcPr>
            <w:tcW w:type="dxa" w:w="2700"/>
            <w:vAlign w:val="center"/>
            <w:tcMar>
              <w:top w:w="80" w:type="dxa"/>
              <w:start w:w="120" w:type="dxa"/>
              <w:bottom w:w="80" w:type="dxa"/>
              <w:end w:w="120" w:type="dxa"/>
            </w:tcMar>
          </w:tcPr>
          <w:p>
            <w:pPr>
              <w:spacing w:before="0" w:after="0" w:line="271" w:lineRule="auto"/>
            </w:pPr>
            <w:r>
              <w:rPr>
                <w:rFonts w:ascii="Calibri" w:hAnsi="Calibri"/>
                <w:color w:val="162236"/>
                <w:sz w:val="18"/>
              </w:rPr>
              <w:t>Secure operational environment</w:t>
            </w:r>
          </w:p>
        </w:tc>
        <w:tc>
          <w:tcPr>
            <w:tcW w:type="dxa" w:w="4360"/>
            <w:vAlign w:val="center"/>
            <w:tcMar>
              <w:top w:w="80" w:type="dxa"/>
              <w:start w:w="120" w:type="dxa"/>
              <w:bottom w:w="80" w:type="dxa"/>
              <w:end w:w="120" w:type="dxa"/>
            </w:tcMar>
          </w:tcPr>
          <w:p>
            <w:pPr>
              <w:spacing w:before="0" w:after="0" w:line="271" w:lineRule="auto"/>
            </w:pPr>
            <w:r>
              <w:rPr>
                <w:rFonts w:ascii="Calibri" w:hAnsi="Calibri"/>
                <w:color w:val="162236"/>
                <w:sz w:val="18"/>
              </w:rPr>
              <w:t>Practice onboarding, file upload, validation, quotation, plan review, approval, payment, tracking and delivery.</w:t>
            </w:r>
          </w:p>
        </w:tc>
      </w:tr>
      <w:tr>
        <w:trPr>
          <w:cantSplit/>
        </w:trPr>
        <w:tc>
          <w:tcPr>
            <w:tcW w:type="dxa" w:w="2300"/>
            <w:vAlign w:val="center"/>
            <w:tcMar>
              <w:top w:w="80" w:type="dxa"/>
              <w:start w:w="120" w:type="dxa"/>
              <w:bottom w:w="80" w:type="dxa"/>
              <w:end w:w="120" w:type="dxa"/>
            </w:tcMar>
          </w:tcPr>
          <w:p>
            <w:pPr>
              <w:spacing w:before="0" w:after="0" w:line="271" w:lineRule="auto"/>
            </w:pPr>
            <w:r>
              <w:rPr>
                <w:rFonts w:ascii="Calibri" w:hAnsi="Calibri"/>
                <w:color w:val="162236"/>
                <w:sz w:val="18"/>
              </w:rPr>
              <w:t>PaulSudeep.com / SurgiGuideExcellence</w:t>
            </w:r>
          </w:p>
        </w:tc>
        <w:tc>
          <w:tcPr>
            <w:tcW w:type="dxa" w:w="2700"/>
            <w:vAlign w:val="center"/>
            <w:tcMar>
              <w:top w:w="80" w:type="dxa"/>
              <w:start w:w="120" w:type="dxa"/>
              <w:bottom w:w="80" w:type="dxa"/>
              <w:end w:w="120" w:type="dxa"/>
            </w:tcMar>
          </w:tcPr>
          <w:p>
            <w:pPr>
              <w:spacing w:before="0" w:after="0" w:line="271" w:lineRule="auto"/>
            </w:pPr>
            <w:r>
              <w:rPr>
                <w:rFonts w:ascii="Calibri" w:hAnsi="Calibri"/>
                <w:color w:val="162236"/>
                <w:sz w:val="18"/>
              </w:rPr>
              <w:t>Education and mentor ecosystem</w:t>
            </w:r>
          </w:p>
        </w:tc>
        <w:tc>
          <w:tcPr>
            <w:tcW w:type="dxa" w:w="4360"/>
            <w:vAlign w:val="center"/>
            <w:tcMar>
              <w:top w:w="80" w:type="dxa"/>
              <w:start w:w="120" w:type="dxa"/>
              <w:bottom w:w="80" w:type="dxa"/>
              <w:end w:w="120" w:type="dxa"/>
            </w:tcMar>
          </w:tcPr>
          <w:p>
            <w:pPr>
              <w:spacing w:before="0" w:after="0" w:line="271" w:lineRule="auto"/>
            </w:pPr>
            <w:r>
              <w:rPr>
                <w:rFonts w:ascii="Calibri" w:hAnsi="Calibri"/>
                <w:color w:val="162236"/>
                <w:sz w:val="18"/>
              </w:rPr>
              <w:t>Workshops, residencies, lectures, learning content, alumni and professional community.</w:t>
            </w:r>
          </w:p>
        </w:tc>
      </w:tr>
    </w:tbl>
    <w:p>
      <w:pPr>
        <w:spacing w:after="60"/>
      </w:pPr>
    </w:p>
    <w:p>
      <w:pPr>
        <w:spacing w:before="0" w:after="120" w:line="300" w:lineRule="auto"/>
        <w:jc w:val="left"/>
      </w:pPr>
      <w:r>
        <w:rPr>
          <w:rFonts w:ascii="Calibri" w:hAnsi="Calibri"/>
          <w:i w:val="0"/>
          <w:color w:val="162236"/>
          <w:sz w:val="22"/>
        </w:rPr>
        <w:t>Education may be linked from the footer or a restrained “Education” link, but it must leave the Image3DConversion service journey. Workshops and training must not compete with clinical case CTAs.</w:t>
      </w:r>
    </w:p>
    <w:p>
      <w:pPr>
        <w:pStyle w:val="Heading2"/>
        <w:spacing w:before="280" w:after="140" w:line="252" w:lineRule="auto"/>
        <w:keepNext w:val="1"/>
        <w:pageBreakBefore w:val="0"/>
      </w:pPr>
      <w:r>
        <w:rPr>
          <w:rFonts w:ascii="Calibri" w:hAnsi="Calibri"/>
          <w:b/>
          <w:color w:val="2E74B5"/>
          <w:sz w:val="26"/>
        </w:rPr>
        <w:t>Founder-approved colour rule</w:t>
      </w:r>
    </w:p>
    <w:p>
      <w:pPr>
        <w:spacing w:before="100" w:after="180" w:line="300" w:lineRule="auto"/>
        <w:ind w:left="202" w:right="144"/>
        <w:shd w:fill="E8EEF5"/>
        <w:pBdr>
          <w:left w:val="single" w:sz="16" w:space="8" w:color="2E74B5"/>
        </w:pBdr>
        <w:keepLines w:val="1"/>
      </w:pPr>
      <w:r>
        <w:rPr>
          <w:rFonts w:ascii="Calibri" w:hAnsi="Calibri"/>
          <w:b/>
          <w:color w:val="2E74B5"/>
          <w:sz w:val="18"/>
        </w:rPr>
        <w:t xml:space="preserve">BRAND DECISION · 26 JULY 2026  </w:t>
      </w:r>
      <w:r>
        <w:rPr>
          <w:rFonts w:ascii="Calibri" w:hAnsi="Calibri"/>
          <w:b/>
          <w:color w:val="162236"/>
          <w:sz w:val="22"/>
        </w:rPr>
        <w:t>The Image3DConversion website and Case Portal use two brand colours only: the approved Image3DConversion Blue and White.</w:t>
      </w:r>
    </w:p>
    <w:p>
      <w:pPr>
        <w:pStyle w:val="ListBullet"/>
        <w:keepLines/>
        <w:spacing w:before="0" w:after="80" w:line="300" w:lineRule="auto"/>
      </w:pPr>
      <w:r>
        <w:rPr>
          <w:rFonts w:ascii="Calibri" w:hAnsi="Calibri"/>
          <w:b/>
          <w:color w:val="162236"/>
          <w:sz w:val="22"/>
        </w:rPr>
        <w:t xml:space="preserve">White leads. </w:t>
      </w:r>
      <w:r>
        <w:rPr>
          <w:rFonts w:ascii="Calibri" w:hAnsi="Calibri"/>
          <w:color w:val="162236"/>
          <w:sz w:val="22"/>
        </w:rPr>
        <w:t>The public website remains light, spacious and clinical; dark-led layouts are not the default brand expression.</w:t>
      </w:r>
    </w:p>
    <w:p>
      <w:pPr>
        <w:pStyle w:val="ListBullet"/>
        <w:keepLines/>
        <w:spacing w:before="0" w:after="80" w:line="300" w:lineRule="auto"/>
      </w:pPr>
      <w:r>
        <w:rPr>
          <w:rFonts w:ascii="Calibri" w:hAnsi="Calibri"/>
          <w:b/>
          <w:color w:val="162236"/>
          <w:sz w:val="22"/>
        </w:rPr>
        <w:t xml:space="preserve">One master blue. </w:t>
      </w:r>
      <w:r>
        <w:rPr>
          <w:rFonts w:ascii="Calibri" w:hAnsi="Calibri"/>
          <w:color w:val="162236"/>
          <w:sz w:val="22"/>
        </w:rPr>
        <w:t>Buttons, links, headings, linework and branded interface states use the blue extracted from the approved master logo.</w:t>
      </w:r>
    </w:p>
    <w:p>
      <w:pPr>
        <w:pStyle w:val="ListBullet"/>
        <w:keepLines/>
        <w:spacing w:before="0" w:after="80" w:line="300" w:lineRule="auto"/>
      </w:pPr>
      <w:r>
        <w:rPr>
          <w:rFonts w:ascii="Calibri" w:hAnsi="Calibri"/>
          <w:b/>
          <w:color w:val="162236"/>
          <w:sz w:val="22"/>
        </w:rPr>
        <w:t xml:space="preserve">Derived values only. </w:t>
      </w:r>
      <w:r>
        <w:rPr>
          <w:rFonts w:ascii="Calibri" w:hAnsi="Calibri"/>
          <w:color w:val="162236"/>
          <w:sz w:val="22"/>
        </w:rPr>
        <w:t>Pale fields, deeper text values, gradients, transparency and glow must be generated from that same master blue; they are not additional brand colours.</w:t>
      </w:r>
    </w:p>
    <w:p>
      <w:pPr>
        <w:pStyle w:val="ListBullet"/>
        <w:keepLines/>
        <w:spacing w:before="0" w:after="80" w:line="300" w:lineRule="auto"/>
      </w:pPr>
      <w:r>
        <w:rPr>
          <w:rFonts w:ascii="Calibri" w:hAnsi="Calibri"/>
          <w:b/>
          <w:color w:val="162236"/>
          <w:sz w:val="22"/>
        </w:rPr>
        <w:t xml:space="preserve">No decorative third accent. </w:t>
      </w:r>
      <w:r>
        <w:rPr>
          <w:rFonts w:ascii="Calibri" w:hAnsi="Calibri"/>
          <w:color w:val="162236"/>
          <w:sz w:val="22"/>
        </w:rPr>
        <w:t>Lime, neon cyan, gold, purple and unrelated social-media accent colours are excluded from the website and portal identity.</w:t>
      </w:r>
    </w:p>
    <w:p>
      <w:pPr>
        <w:pStyle w:val="ListBullet"/>
        <w:keepLines/>
        <w:spacing w:before="0" w:after="80" w:line="300" w:lineRule="auto"/>
      </w:pPr>
      <w:r>
        <w:rPr>
          <w:rFonts w:ascii="Calibri" w:hAnsi="Calibri"/>
          <w:b/>
          <w:color w:val="162236"/>
          <w:sz w:val="22"/>
        </w:rPr>
        <w:t xml:space="preserve">Functional states stay functional. </w:t>
      </w:r>
      <w:r>
        <w:rPr>
          <w:rFonts w:ascii="Calibri" w:hAnsi="Calibri"/>
          <w:color w:val="162236"/>
          <w:sz w:val="22"/>
        </w:rPr>
        <w:t>Green, amber and red may appear in the Case Portal only when they communicate success, caution or error. They must never become campaign or decorative colours.</w:t>
      </w:r>
    </w:p>
    <w:p>
      <w:pPr>
        <w:pStyle w:val="ListBullet"/>
        <w:keepLines/>
        <w:spacing w:before="0" w:after="80" w:line="300" w:lineRule="auto"/>
      </w:pPr>
      <w:r>
        <w:rPr>
          <w:rFonts w:ascii="Calibri" w:hAnsi="Calibri"/>
          <w:b/>
          <w:color w:val="162236"/>
          <w:sz w:val="22"/>
        </w:rPr>
        <w:t xml:space="preserve">Production token is gated. </w:t>
      </w:r>
      <w:r>
        <w:rPr>
          <w:rFonts w:ascii="Calibri" w:hAnsi="Calibri"/>
          <w:color w:val="162236"/>
          <w:sz w:val="22"/>
        </w:rPr>
        <w:t>The exact master-blue HEX must be sampled from the original vector/logo asset before UI sign-off. #2E74B5 remains a provisional specification token, not the final colour approval.</w:t>
      </w:r>
    </w:p>
    <w:p>
      <w:pPr>
        <w:pStyle w:val="Heading2"/>
        <w:spacing w:before="280" w:after="140" w:line="252" w:lineRule="auto"/>
        <w:keepNext w:val="1"/>
        <w:pageBreakBefore w:val="0"/>
      </w:pPr>
      <w:r>
        <w:rPr>
          <w:rFonts w:ascii="Calibri" w:hAnsi="Calibri"/>
          <w:b/>
          <w:color w:val="2E74B5"/>
          <w:sz w:val="26"/>
        </w:rPr>
        <w:t>What the public site must feel like</w:t>
      </w:r>
    </w:p>
    <w:p>
      <w:pPr>
        <w:pStyle w:val="ListBullet"/>
        <w:keepLines/>
        <w:spacing w:before="0" w:after="80" w:line="300" w:lineRule="auto"/>
      </w:pPr>
      <w:r>
        <w:rPr>
          <w:rFonts w:ascii="Calibri" w:hAnsi="Calibri"/>
          <w:b/>
          <w:color w:val="162236"/>
          <w:sz w:val="22"/>
        </w:rPr>
        <w:t xml:space="preserve">Dentist-centred. </w:t>
      </w:r>
      <w:r>
        <w:rPr>
          <w:rFonts w:ascii="Calibri" w:hAnsi="Calibri"/>
          <w:color w:val="162236"/>
          <w:sz w:val="22"/>
        </w:rPr>
        <w:t>The clinician remains the decision-maker; Image3DConversion coordinates digital execution.</w:t>
      </w:r>
    </w:p>
    <w:p>
      <w:pPr>
        <w:pStyle w:val="ListBullet"/>
        <w:keepLines/>
        <w:spacing w:before="0" w:after="80" w:line="300" w:lineRule="auto"/>
      </w:pPr>
      <w:r>
        <w:rPr>
          <w:rFonts w:ascii="Calibri" w:hAnsi="Calibri"/>
          <w:b/>
          <w:color w:val="162236"/>
          <w:sz w:val="22"/>
        </w:rPr>
        <w:t xml:space="preserve">Clinically literate. </w:t>
      </w:r>
      <w:r>
        <w:rPr>
          <w:rFonts w:ascii="Calibri" w:hAnsi="Calibri"/>
          <w:color w:val="162236"/>
          <w:sz w:val="22"/>
        </w:rPr>
        <w:t>The copy understands data quality, prosthetic objectives, implant systems, approval and production.</w:t>
      </w:r>
    </w:p>
    <w:p>
      <w:pPr>
        <w:pStyle w:val="ListBullet"/>
        <w:keepLines/>
        <w:spacing w:before="0" w:after="80" w:line="300" w:lineRule="auto"/>
      </w:pPr>
      <w:r>
        <w:rPr>
          <w:rFonts w:ascii="Calibri" w:hAnsi="Calibri"/>
          <w:b/>
          <w:color w:val="162236"/>
          <w:sz w:val="22"/>
        </w:rPr>
        <w:t xml:space="preserve">Operationally clear. </w:t>
      </w:r>
      <w:r>
        <w:rPr>
          <w:rFonts w:ascii="Calibri" w:hAnsi="Calibri"/>
          <w:color w:val="162236"/>
          <w:sz w:val="22"/>
        </w:rPr>
        <w:t>Visitors know what to send, what happens next and where responsibility sits.</w:t>
      </w:r>
    </w:p>
    <w:p>
      <w:pPr>
        <w:pStyle w:val="ListBullet"/>
        <w:keepLines/>
        <w:spacing w:before="0" w:after="80" w:line="300" w:lineRule="auto"/>
      </w:pPr>
      <w:r>
        <w:rPr>
          <w:rFonts w:ascii="Calibri" w:hAnsi="Calibri"/>
          <w:b/>
          <w:color w:val="162236"/>
          <w:sz w:val="22"/>
        </w:rPr>
        <w:t xml:space="preserve">Experienced, not boastful. </w:t>
      </w:r>
      <w:r>
        <w:rPr>
          <w:rFonts w:ascii="Calibri" w:hAnsi="Calibri"/>
          <w:color w:val="162236"/>
          <w:sz w:val="22"/>
        </w:rPr>
        <w:t>Evidence comes from real workflows, named reviewers, documented cases and verified figures.</w:t>
      </w:r>
    </w:p>
    <w:p>
      <w:pPr>
        <w:pStyle w:val="ListBullet"/>
        <w:keepLines/>
        <w:spacing w:before="0" w:after="80" w:line="300" w:lineRule="auto"/>
      </w:pPr>
      <w:r>
        <w:rPr>
          <w:rFonts w:ascii="Calibri" w:hAnsi="Calibri"/>
          <w:b/>
          <w:color w:val="162236"/>
          <w:sz w:val="22"/>
        </w:rPr>
        <w:t xml:space="preserve">Concise. </w:t>
      </w:r>
      <w:r>
        <w:rPr>
          <w:rFonts w:ascii="Calibri" w:hAnsi="Calibri"/>
          <w:color w:val="162236"/>
          <w:sz w:val="22"/>
        </w:rPr>
        <w:t>The main website is a guided decision journey, not a reading portal or a software dashboard.</w:t>
      </w:r>
    </w:p>
    <w:p>
      <w:pPr>
        <w:pStyle w:val="Heading2"/>
        <w:spacing w:before="280" w:after="140" w:line="252" w:lineRule="auto"/>
        <w:keepNext w:val="1"/>
        <w:pageBreakBefore w:val="0"/>
      </w:pPr>
      <w:r>
        <w:rPr>
          <w:rFonts w:ascii="Calibri" w:hAnsi="Calibri"/>
          <w:b/>
          <w:color w:val="2E74B5"/>
          <w:sz w:val="26"/>
        </w:rPr>
        <w:t>What it must not become</w:t>
      </w:r>
    </w:p>
    <w:p>
      <w:pPr>
        <w:pStyle w:val="ListBullet"/>
        <w:keepLines/>
        <w:spacing w:before="0" w:after="80" w:line="300" w:lineRule="auto"/>
      </w:pPr>
      <w:r>
        <w:rPr>
          <w:rFonts w:ascii="Calibri" w:hAnsi="Calibri"/>
          <w:color w:val="162236"/>
          <w:sz w:val="22"/>
        </w:rPr>
        <w:t>A generic dental laboratory website.</w:t>
      </w:r>
    </w:p>
    <w:p>
      <w:pPr>
        <w:pStyle w:val="ListBullet"/>
        <w:keepLines/>
        <w:spacing w:before="0" w:after="80" w:line="300" w:lineRule="auto"/>
      </w:pPr>
      <w:r>
        <w:rPr>
          <w:rFonts w:ascii="Calibri" w:hAnsi="Calibri"/>
          <w:color w:val="162236"/>
          <w:sz w:val="22"/>
        </w:rPr>
        <w:t>A software-product website that implies the platform itself makes clinical decisions.</w:t>
      </w:r>
    </w:p>
    <w:p>
      <w:pPr>
        <w:pStyle w:val="ListBullet"/>
        <w:keepLines/>
        <w:spacing w:before="0" w:after="80" w:line="300" w:lineRule="auto"/>
      </w:pPr>
      <w:r>
        <w:rPr>
          <w:rFonts w:ascii="Calibri" w:hAnsi="Calibri"/>
          <w:color w:val="162236"/>
          <w:sz w:val="22"/>
        </w:rPr>
        <w:t>A workshop or education portal.</w:t>
      </w:r>
    </w:p>
    <w:p>
      <w:pPr>
        <w:pStyle w:val="ListBullet"/>
        <w:keepLines/>
        <w:spacing w:before="0" w:after="80" w:line="300" w:lineRule="auto"/>
      </w:pPr>
      <w:r>
        <w:rPr>
          <w:rFonts w:ascii="Calibri" w:hAnsi="Calibri"/>
          <w:color w:val="162236"/>
          <w:sz w:val="22"/>
        </w:rPr>
        <w:t>A large blog built from repetitive search articles.</w:t>
      </w:r>
    </w:p>
    <w:p>
      <w:pPr>
        <w:pStyle w:val="ListBullet"/>
        <w:keepLines/>
        <w:spacing w:before="0" w:after="80" w:line="300" w:lineRule="auto"/>
      </w:pPr>
      <w:r>
        <w:rPr>
          <w:rFonts w:ascii="Calibri" w:hAnsi="Calibri"/>
          <w:color w:val="162236"/>
          <w:sz w:val="22"/>
        </w:rPr>
        <w:t>A claims page using “100% predictable,” “fail-safe,” “99.9% accurate,” or other unsupported language.</w:t>
      </w:r>
    </w:p>
    <w:p>
      <w:pPr>
        <w:pStyle w:val="ListBullet"/>
        <w:keepLines/>
        <w:spacing w:before="0" w:after="80" w:line="300" w:lineRule="auto"/>
      </w:pPr>
      <w:r>
        <w:rPr>
          <w:rFonts w:ascii="Calibri" w:hAnsi="Calibri"/>
          <w:color w:val="162236"/>
          <w:sz w:val="22"/>
        </w:rPr>
        <w:t>A public patient-file submission form.</w:t>
      </w:r>
    </w:p>
    <w:p>
      <w:pPr>
        <w:pStyle w:val="Heading1"/>
        <w:spacing w:before="360" w:after="200" w:line="252" w:lineRule="auto"/>
        <w:keepNext w:val="1"/>
        <w:pageBreakBefore w:val="0"/>
      </w:pPr>
      <w:r>
        <w:rPr>
          <w:rFonts w:ascii="Calibri" w:hAnsi="Calibri"/>
          <w:b/>
          <w:color w:val="2E74B5"/>
          <w:sz w:val="32"/>
        </w:rPr>
        <w:t>1. Brand platform</w:t>
      </w:r>
    </w:p>
    <w:p>
      <w:pPr>
        <w:pStyle w:val="Heading2"/>
        <w:spacing w:before="280" w:after="140" w:line="252" w:lineRule="auto"/>
        <w:keepNext w:val="1"/>
        <w:pageBreakBefore w:val="0"/>
      </w:pPr>
      <w:r>
        <w:rPr>
          <w:rFonts w:ascii="Calibri" w:hAnsi="Calibri"/>
          <w:b/>
          <w:color w:val="2E74B5"/>
          <w:sz w:val="26"/>
        </w:rPr>
        <w:t>Positioning system</w:t>
      </w:r>
    </w:p>
    <w:tbl>
      <w:tblPr>
        <w:tblStyle w:val="TableGrid"/>
        <w:tblW w:type="dxa" w:w="9360"/>
        <w:tblLayout w:type="fixed"/>
        <w:tblLook w:firstColumn="1" w:firstRow="1" w:lastColumn="0" w:lastRow="0" w:noHBand="0" w:noVBand="1" w:val="04A0"/>
        <w:jc w:val="left"/>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2200"/>
        <w:gridCol w:w="7160"/>
      </w:tblGrid>
      <w:tr>
        <w:trPr>
          <w:tblHeader w:val="true"/>
          <w:cantSplit/>
        </w:trPr>
        <w:tc>
          <w:tcPr>
            <w:tcW w:type="dxa" w:w="2200"/>
            <w:tcMar>
              <w:top w:w="80" w:type="dxa"/>
              <w:start w:w="120" w:type="dxa"/>
              <w:bottom w:w="80" w:type="dxa"/>
              <w:end w:w="120" w:type="dxa"/>
            </w:tcMar>
            <w:vAlign w:val="center"/>
            <w:shd w:fill="E8EEF5"/>
          </w:tcPr>
          <w:p>
            <w:pPr>
              <w:spacing w:before="0" w:after="0" w:line="264" w:lineRule="auto"/>
            </w:pPr>
            <w:r>
              <w:rPr>
                <w:rFonts w:ascii="Calibri" w:hAnsi="Calibri"/>
                <w:b/>
                <w:color w:val="162236"/>
                <w:sz w:val="18"/>
              </w:rPr>
              <w:t>Element</w:t>
            </w:r>
          </w:p>
        </w:tc>
        <w:tc>
          <w:tcPr>
            <w:tcW w:type="dxa" w:w="7160"/>
            <w:tcMar>
              <w:top w:w="80" w:type="dxa"/>
              <w:start w:w="120" w:type="dxa"/>
              <w:bottom w:w="80" w:type="dxa"/>
              <w:end w:w="120" w:type="dxa"/>
            </w:tcMar>
            <w:vAlign w:val="center"/>
            <w:shd w:fill="E8EEF5"/>
          </w:tcPr>
          <w:p>
            <w:pPr>
              <w:spacing w:before="0" w:after="0" w:line="264" w:lineRule="auto"/>
            </w:pPr>
            <w:r>
              <w:rPr>
                <w:rFonts w:ascii="Calibri" w:hAnsi="Calibri"/>
                <w:b/>
                <w:color w:val="162236"/>
                <w:sz w:val="18"/>
              </w:rPr>
              <w:t>Approved direction</w:t>
            </w:r>
          </w:p>
        </w:tc>
      </w:tr>
      <w:tr>
        <w:trPr>
          <w:cantSplit/>
        </w:trPr>
        <w:tc>
          <w:tcPr>
            <w:tcW w:type="dxa" w:w="2200"/>
            <w:vAlign w:val="center"/>
            <w:tcMar>
              <w:top w:w="80" w:type="dxa"/>
              <w:start w:w="120" w:type="dxa"/>
              <w:bottom w:w="80" w:type="dxa"/>
              <w:end w:w="120" w:type="dxa"/>
            </w:tcMar>
          </w:tcPr>
          <w:p>
            <w:pPr>
              <w:spacing w:before="0" w:after="0" w:line="271" w:lineRule="auto"/>
            </w:pPr>
            <w:r>
              <w:rPr>
                <w:rFonts w:ascii="Calibri" w:hAnsi="Calibri"/>
                <w:color w:val="162236"/>
                <w:sz w:val="18"/>
              </w:rPr>
              <w:t>Brand descriptor</w:t>
            </w:r>
          </w:p>
        </w:tc>
        <w:tc>
          <w:tcPr>
            <w:tcW w:type="dxa" w:w="7160"/>
            <w:vAlign w:val="center"/>
            <w:tcMar>
              <w:top w:w="80" w:type="dxa"/>
              <w:start w:w="120" w:type="dxa"/>
              <w:bottom w:w="80" w:type="dxa"/>
              <w:end w:w="120" w:type="dxa"/>
            </w:tcMar>
          </w:tcPr>
          <w:p>
            <w:pPr>
              <w:spacing w:before="0" w:after="0" w:line="271" w:lineRule="auto"/>
            </w:pPr>
            <w:r>
              <w:rPr>
                <w:rFonts w:ascii="Calibri" w:hAnsi="Calibri"/>
                <w:color w:val="162236"/>
                <w:sz w:val="18"/>
              </w:rPr>
              <w:t>The Digital Workflow Partner for Guided Implantology</w:t>
            </w:r>
          </w:p>
        </w:tc>
      </w:tr>
      <w:tr>
        <w:trPr>
          <w:cantSplit/>
        </w:trPr>
        <w:tc>
          <w:tcPr>
            <w:tcW w:type="dxa" w:w="2200"/>
            <w:vAlign w:val="center"/>
            <w:tcMar>
              <w:top w:w="80" w:type="dxa"/>
              <w:start w:w="120" w:type="dxa"/>
              <w:bottom w:w="80" w:type="dxa"/>
              <w:end w:w="120" w:type="dxa"/>
            </w:tcMar>
          </w:tcPr>
          <w:p>
            <w:pPr>
              <w:spacing w:before="0" w:after="0" w:line="271" w:lineRule="auto"/>
            </w:pPr>
            <w:r>
              <w:rPr>
                <w:rFonts w:ascii="Calibri" w:hAnsi="Calibri"/>
                <w:color w:val="162236"/>
                <w:sz w:val="18"/>
              </w:rPr>
              <w:t>Primary headline</w:t>
            </w:r>
          </w:p>
        </w:tc>
        <w:tc>
          <w:tcPr>
            <w:tcW w:type="dxa" w:w="7160"/>
            <w:vAlign w:val="center"/>
            <w:tcMar>
              <w:top w:w="80" w:type="dxa"/>
              <w:start w:w="120" w:type="dxa"/>
              <w:bottom w:w="80" w:type="dxa"/>
              <w:end w:w="120" w:type="dxa"/>
            </w:tcMar>
          </w:tcPr>
          <w:p>
            <w:pPr>
              <w:spacing w:before="0" w:after="0" w:line="271" w:lineRule="auto"/>
            </w:pPr>
            <w:r>
              <w:rPr>
                <w:rFonts w:ascii="Calibri" w:hAnsi="Calibri"/>
                <w:color w:val="162236"/>
                <w:sz w:val="18"/>
              </w:rPr>
              <w:t>Plan the outcome. Guide the execution.</w:t>
            </w:r>
          </w:p>
        </w:tc>
      </w:tr>
      <w:tr>
        <w:trPr>
          <w:cantSplit/>
        </w:trPr>
        <w:tc>
          <w:tcPr>
            <w:tcW w:type="dxa" w:w="2200"/>
            <w:vAlign w:val="center"/>
            <w:tcMar>
              <w:top w:w="80" w:type="dxa"/>
              <w:start w:w="120" w:type="dxa"/>
              <w:bottom w:w="80" w:type="dxa"/>
              <w:end w:w="120" w:type="dxa"/>
            </w:tcMar>
          </w:tcPr>
          <w:p>
            <w:pPr>
              <w:spacing w:before="0" w:after="0" w:line="271" w:lineRule="auto"/>
            </w:pPr>
            <w:r>
              <w:rPr>
                <w:rFonts w:ascii="Calibri" w:hAnsi="Calibri"/>
                <w:color w:val="162236"/>
                <w:sz w:val="18"/>
              </w:rPr>
              <w:t>Support statement</w:t>
            </w:r>
          </w:p>
        </w:tc>
        <w:tc>
          <w:tcPr>
            <w:tcW w:type="dxa" w:w="7160"/>
            <w:vAlign w:val="center"/>
            <w:tcMar>
              <w:top w:w="80" w:type="dxa"/>
              <w:start w:w="120" w:type="dxa"/>
              <w:bottom w:w="80" w:type="dxa"/>
              <w:end w:w="120" w:type="dxa"/>
            </w:tcMar>
          </w:tcPr>
          <w:p>
            <w:pPr>
              <w:spacing w:before="0" w:after="0" w:line="271" w:lineRule="auto"/>
            </w:pPr>
            <w:r>
              <w:rPr>
                <w:rFonts w:ascii="Calibri" w:hAnsi="Calibri"/>
                <w:color w:val="162236"/>
                <w:sz w:val="18"/>
              </w:rPr>
              <w:t>Expert-led digital implant workflows, from case-data validation and restoration-first planning to surgical guides, immediate prosthetic workflows and surgery-ready delivery.</w:t>
            </w:r>
          </w:p>
        </w:tc>
      </w:tr>
      <w:tr>
        <w:trPr>
          <w:cantSplit/>
        </w:trPr>
        <w:tc>
          <w:tcPr>
            <w:tcW w:type="dxa" w:w="2200"/>
            <w:vAlign w:val="center"/>
            <w:tcMar>
              <w:top w:w="80" w:type="dxa"/>
              <w:start w:w="120" w:type="dxa"/>
              <w:bottom w:w="80" w:type="dxa"/>
              <w:end w:w="120" w:type="dxa"/>
            </w:tcMar>
          </w:tcPr>
          <w:p>
            <w:pPr>
              <w:spacing w:before="0" w:after="0" w:line="271" w:lineRule="auto"/>
            </w:pPr>
            <w:r>
              <w:rPr>
                <w:rFonts w:ascii="Calibri" w:hAnsi="Calibri"/>
                <w:color w:val="162236"/>
                <w:sz w:val="18"/>
              </w:rPr>
              <w:t>Role statement</w:t>
            </w:r>
          </w:p>
        </w:tc>
        <w:tc>
          <w:tcPr>
            <w:tcW w:type="dxa" w:w="7160"/>
            <w:vAlign w:val="center"/>
            <w:tcMar>
              <w:top w:w="80" w:type="dxa"/>
              <w:start w:w="120" w:type="dxa"/>
              <w:bottom w:w="80" w:type="dxa"/>
              <w:end w:w="120" w:type="dxa"/>
            </w:tcMar>
          </w:tcPr>
          <w:p>
            <w:pPr>
              <w:spacing w:before="0" w:after="0" w:line="271" w:lineRule="auto"/>
            </w:pPr>
            <w:r>
              <w:rPr>
                <w:rFonts w:ascii="Calibri" w:hAnsi="Calibri"/>
                <w:color w:val="162236"/>
                <w:sz w:val="18"/>
              </w:rPr>
              <w:t>The dentist retains clinical authority. Image3DConversion manages digital workflow preparation, coordination and execution around the approved plan.</w:t>
            </w:r>
          </w:p>
        </w:tc>
      </w:tr>
      <w:tr>
        <w:trPr>
          <w:cantSplit/>
        </w:trPr>
        <w:tc>
          <w:tcPr>
            <w:tcW w:type="dxa" w:w="2200"/>
            <w:vAlign w:val="center"/>
            <w:tcMar>
              <w:top w:w="80" w:type="dxa"/>
              <w:start w:w="120" w:type="dxa"/>
              <w:bottom w:w="80" w:type="dxa"/>
              <w:end w:w="120" w:type="dxa"/>
            </w:tcMar>
          </w:tcPr>
          <w:p>
            <w:pPr>
              <w:spacing w:before="0" w:after="0" w:line="271" w:lineRule="auto"/>
            </w:pPr>
            <w:r>
              <w:rPr>
                <w:rFonts w:ascii="Calibri" w:hAnsi="Calibri"/>
                <w:color w:val="162236"/>
                <w:sz w:val="18"/>
              </w:rPr>
              <w:t>Internal narrative</w:t>
            </w:r>
          </w:p>
        </w:tc>
        <w:tc>
          <w:tcPr>
            <w:tcW w:type="dxa" w:w="7160"/>
            <w:vAlign w:val="center"/>
            <w:tcMar>
              <w:top w:w="80" w:type="dxa"/>
              <w:start w:w="120" w:type="dxa"/>
              <w:bottom w:w="80" w:type="dxa"/>
              <w:end w:w="120" w:type="dxa"/>
            </w:tcMar>
          </w:tcPr>
          <w:p>
            <w:pPr>
              <w:spacing w:before="0" w:after="0" w:line="271" w:lineRule="auto"/>
            </w:pPr>
            <w:r>
              <w:rPr>
                <w:rFonts w:ascii="Calibri" w:hAnsi="Calibri"/>
                <w:color w:val="162236"/>
                <w:sz w:val="18"/>
              </w:rPr>
              <w:t>Image3DConversion does not merely convert images or manufacture guides. It converts clinical intent into a coordinated digital treatment workflow.</w:t>
            </w:r>
          </w:p>
        </w:tc>
      </w:tr>
    </w:tbl>
    <w:p>
      <w:pPr>
        <w:spacing w:after="60"/>
      </w:pPr>
    </w:p>
    <w:p>
      <w:pPr>
        <w:pStyle w:val="Heading2"/>
        <w:spacing w:before="280" w:after="140" w:line="252" w:lineRule="auto"/>
        <w:keepNext w:val="1"/>
        <w:pageBreakBefore w:val="0"/>
      </w:pPr>
      <w:r>
        <w:rPr>
          <w:rFonts w:ascii="Calibri" w:hAnsi="Calibri"/>
          <w:b/>
          <w:color w:val="2E74B5"/>
          <w:sz w:val="26"/>
        </w:rPr>
        <w:t>The six differentiators to prove</w:t>
      </w:r>
    </w:p>
    <w:p>
      <w:pPr>
        <w:keepLines/>
        <w:spacing w:before="0" w:after="100" w:line="300" w:lineRule="auto"/>
        <w:numPr>
          <w:ilvl w:val="0"/>
          <w:numId w:val="10"/>
        </w:numPr>
      </w:pPr>
      <w:r>
        <w:rPr>
          <w:rFonts w:ascii="Calibri" w:hAnsi="Calibri"/>
          <w:b/>
          <w:color w:val="162236"/>
          <w:sz w:val="22"/>
        </w:rPr>
        <w:t xml:space="preserve">Restoration-first thinking. </w:t>
      </w:r>
      <w:r>
        <w:rPr>
          <w:rFonts w:ascii="Calibri" w:hAnsi="Calibri"/>
          <w:color w:val="162236"/>
          <w:sz w:val="22"/>
        </w:rPr>
        <w:t>Implant position is considered in relation to the planned prosthetic outcome, not as an isolated coordinate.</w:t>
      </w:r>
    </w:p>
    <w:p>
      <w:pPr>
        <w:keepLines/>
        <w:spacing w:before="0" w:after="100" w:line="300" w:lineRule="auto"/>
        <w:numPr>
          <w:ilvl w:val="0"/>
          <w:numId w:val="10"/>
        </w:numPr>
      </w:pPr>
      <w:r>
        <w:rPr>
          <w:rFonts w:ascii="Calibri" w:hAnsi="Calibri"/>
          <w:b/>
          <w:color w:val="162236"/>
          <w:sz w:val="22"/>
        </w:rPr>
        <w:t xml:space="preserve">Case-specific engineering. </w:t>
      </w:r>
      <w:r>
        <w:rPr>
          <w:rFonts w:ascii="Calibri" w:hAnsi="Calibri"/>
          <w:color w:val="162236"/>
          <w:sz w:val="22"/>
        </w:rPr>
        <w:t>Support type, drilling protocol, implant system and production route are selected for the case rather than presented as one standard template.</w:t>
      </w:r>
    </w:p>
    <w:p>
      <w:pPr>
        <w:keepLines/>
        <w:spacing w:before="0" w:after="100" w:line="300" w:lineRule="auto"/>
        <w:numPr>
          <w:ilvl w:val="0"/>
          <w:numId w:val="10"/>
        </w:numPr>
      </w:pPr>
      <w:r>
        <w:rPr>
          <w:rFonts w:ascii="Calibri" w:hAnsi="Calibri"/>
          <w:b/>
          <w:color w:val="162236"/>
          <w:sz w:val="22"/>
        </w:rPr>
        <w:t xml:space="preserve">Data before design. </w:t>
      </w:r>
      <w:r>
        <w:rPr>
          <w:rFonts w:ascii="Calibri" w:hAnsi="Calibri"/>
          <w:color w:val="162236"/>
          <w:sz w:val="22"/>
        </w:rPr>
        <w:t>DICOM, IOS, denture scans, bite records and reference files are checked before planning begins.</w:t>
      </w:r>
    </w:p>
    <w:p>
      <w:pPr>
        <w:keepLines/>
        <w:spacing w:before="0" w:after="100" w:line="300" w:lineRule="auto"/>
        <w:numPr>
          <w:ilvl w:val="0"/>
          <w:numId w:val="10"/>
        </w:numPr>
      </w:pPr>
      <w:r>
        <w:rPr>
          <w:rFonts w:ascii="Calibri" w:hAnsi="Calibri"/>
          <w:b/>
          <w:color w:val="162236"/>
          <w:sz w:val="22"/>
        </w:rPr>
        <w:t xml:space="preserve">Visible approvals. </w:t>
      </w:r>
      <w:r>
        <w:rPr>
          <w:rFonts w:ascii="Calibri" w:hAnsi="Calibri"/>
          <w:color w:val="162236"/>
          <w:sz w:val="22"/>
        </w:rPr>
        <w:t>The dentist reviews the plan, requests changes where needed and approves the production stage.</w:t>
      </w:r>
    </w:p>
    <w:p>
      <w:pPr>
        <w:keepLines/>
        <w:spacing w:before="0" w:after="100" w:line="300" w:lineRule="auto"/>
        <w:numPr>
          <w:ilvl w:val="0"/>
          <w:numId w:val="10"/>
        </w:numPr>
      </w:pPr>
      <w:r>
        <w:rPr>
          <w:rFonts w:ascii="Calibri" w:hAnsi="Calibri"/>
          <w:b/>
          <w:color w:val="162236"/>
          <w:sz w:val="22"/>
        </w:rPr>
        <w:t xml:space="preserve">Complex-case depth. </w:t>
      </w:r>
      <w:r>
        <w:rPr>
          <w:rFonts w:ascii="Calibri" w:hAnsi="Calibri"/>
          <w:color w:val="162236"/>
          <w:sz w:val="22"/>
        </w:rPr>
        <w:t>Full-arch, immediate-loading, pterygoid and zygomatic workflows are visible as core capabilities, not hidden in a long service list.</w:t>
      </w:r>
    </w:p>
    <w:p>
      <w:pPr>
        <w:keepLines/>
        <w:spacing w:before="0" w:after="100" w:line="300" w:lineRule="auto"/>
        <w:numPr>
          <w:ilvl w:val="0"/>
          <w:numId w:val="10"/>
        </w:numPr>
      </w:pPr>
      <w:r>
        <w:rPr>
          <w:rFonts w:ascii="Calibri" w:hAnsi="Calibri"/>
          <w:b/>
          <w:color w:val="162236"/>
          <w:sz w:val="22"/>
        </w:rPr>
        <w:t xml:space="preserve">Flexible delivery. </w:t>
      </w:r>
      <w:r>
        <w:rPr>
          <w:rFonts w:ascii="Calibri" w:hAnsi="Calibri"/>
          <w:color w:val="162236"/>
          <w:sz w:val="22"/>
        </w:rPr>
        <w:t>Practices can request design-only files, design-to-delivery support or a white-label capacity model.</w:t>
      </w:r>
    </w:p>
    <w:p>
      <w:pPr>
        <w:pStyle w:val="Heading2"/>
        <w:spacing w:before="280" w:after="140" w:line="252" w:lineRule="auto"/>
        <w:keepNext w:val="1"/>
        <w:pageBreakBefore w:val="0"/>
      </w:pPr>
      <w:r>
        <w:rPr>
          <w:rFonts w:ascii="Calibri" w:hAnsi="Calibri"/>
          <w:b/>
          <w:color w:val="2E74B5"/>
          <w:sz w:val="26"/>
        </w:rPr>
        <w:t>Language that sounds like Image3DConversion</w:t>
      </w:r>
    </w:p>
    <w:tbl>
      <w:tblPr>
        <w:tblStyle w:val="TableGrid"/>
        <w:tblW w:type="dxa" w:w="9360"/>
        <w:tblLayout w:type="fixed"/>
        <w:tblLook w:firstColumn="1" w:firstRow="1" w:lastColumn="0" w:lastRow="0" w:noHBand="0" w:noVBand="1" w:val="04A0"/>
        <w:jc w:val="left"/>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4680"/>
        <w:gridCol w:w="4680"/>
      </w:tblGrid>
      <w:tr>
        <w:trPr>
          <w:tblHeader w:val="true"/>
          <w:cantSplit/>
        </w:trPr>
        <w:tc>
          <w:tcPr>
            <w:tcW w:type="dxa" w:w="4680"/>
            <w:tcMar>
              <w:top w:w="80" w:type="dxa"/>
              <w:start w:w="120" w:type="dxa"/>
              <w:bottom w:w="80" w:type="dxa"/>
              <w:end w:w="120" w:type="dxa"/>
            </w:tcMar>
            <w:vAlign w:val="center"/>
            <w:shd w:fill="E8EEF5"/>
          </w:tcPr>
          <w:p>
            <w:pPr>
              <w:spacing w:before="0" w:after="0" w:line="264" w:lineRule="auto"/>
            </w:pPr>
            <w:r>
              <w:rPr>
                <w:rFonts w:ascii="Calibri" w:hAnsi="Calibri"/>
                <w:b/>
                <w:color w:val="162236"/>
                <w:sz w:val="18"/>
              </w:rPr>
              <w:t>Use</w:t>
            </w:r>
          </w:p>
        </w:tc>
        <w:tc>
          <w:tcPr>
            <w:tcW w:type="dxa" w:w="4680"/>
            <w:tcMar>
              <w:top w:w="80" w:type="dxa"/>
              <w:start w:w="120" w:type="dxa"/>
              <w:bottom w:w="80" w:type="dxa"/>
              <w:end w:w="120" w:type="dxa"/>
            </w:tcMar>
            <w:vAlign w:val="center"/>
            <w:shd w:fill="E8EEF5"/>
          </w:tcPr>
          <w:p>
            <w:pPr>
              <w:spacing w:before="0" w:after="0" w:line="264" w:lineRule="auto"/>
            </w:pPr>
            <w:r>
              <w:rPr>
                <w:rFonts w:ascii="Calibri" w:hAnsi="Calibri"/>
                <w:b/>
                <w:color w:val="162236"/>
                <w:sz w:val="18"/>
              </w:rPr>
              <w:t>Avoid</w:t>
            </w:r>
          </w:p>
        </w:tc>
      </w:tr>
      <w:tr>
        <w:trPr>
          <w:cantSplit/>
        </w:trPr>
        <w:tc>
          <w:tcPr>
            <w:tcW w:type="dxa" w:w="4680"/>
            <w:vAlign w:val="center"/>
            <w:tcMar>
              <w:top w:w="80" w:type="dxa"/>
              <w:start w:w="120" w:type="dxa"/>
              <w:bottom w:w="80" w:type="dxa"/>
              <w:end w:w="120" w:type="dxa"/>
            </w:tcMar>
          </w:tcPr>
          <w:p>
            <w:pPr>
              <w:spacing w:before="0" w:after="0" w:line="271" w:lineRule="auto"/>
            </w:pPr>
            <w:r>
              <w:rPr>
                <w:rFonts w:ascii="Calibri" w:hAnsi="Calibri"/>
                <w:color w:val="162236"/>
                <w:sz w:val="18"/>
              </w:rPr>
              <w:t>“Your plan remains under your approval.”</w:t>
            </w:r>
          </w:p>
        </w:tc>
        <w:tc>
          <w:tcPr>
            <w:tcW w:type="dxa" w:w="4680"/>
            <w:vAlign w:val="center"/>
            <w:tcMar>
              <w:top w:w="80" w:type="dxa"/>
              <w:start w:w="120" w:type="dxa"/>
              <w:bottom w:w="80" w:type="dxa"/>
              <w:end w:w="120" w:type="dxa"/>
            </w:tcMar>
          </w:tcPr>
          <w:p>
            <w:pPr>
              <w:spacing w:before="0" w:after="0" w:line="271" w:lineRule="auto"/>
            </w:pPr>
            <w:r>
              <w:rPr>
                <w:rFonts w:ascii="Calibri" w:hAnsi="Calibri"/>
                <w:color w:val="162236"/>
                <w:sz w:val="18"/>
              </w:rPr>
              <w:t>“Our AI creates the perfect treatment plan.”</w:t>
            </w:r>
          </w:p>
        </w:tc>
      </w:tr>
      <w:tr>
        <w:trPr>
          <w:cantSplit/>
        </w:trPr>
        <w:tc>
          <w:tcPr>
            <w:tcW w:type="dxa" w:w="4680"/>
            <w:vAlign w:val="center"/>
            <w:tcMar>
              <w:top w:w="80" w:type="dxa"/>
              <w:start w:w="120" w:type="dxa"/>
              <w:bottom w:w="80" w:type="dxa"/>
              <w:end w:w="120" w:type="dxa"/>
            </w:tcMar>
          </w:tcPr>
          <w:p>
            <w:pPr>
              <w:spacing w:before="0" w:after="0" w:line="271" w:lineRule="auto"/>
            </w:pPr>
            <w:r>
              <w:rPr>
                <w:rFonts w:ascii="Calibri" w:hAnsi="Calibri"/>
                <w:color w:val="162236"/>
                <w:sz w:val="18"/>
              </w:rPr>
              <w:t>“We check whether the files align before planning begins.”</w:t>
            </w:r>
          </w:p>
        </w:tc>
        <w:tc>
          <w:tcPr>
            <w:tcW w:type="dxa" w:w="4680"/>
            <w:vAlign w:val="center"/>
            <w:tcMar>
              <w:top w:w="80" w:type="dxa"/>
              <w:start w:w="120" w:type="dxa"/>
              <w:bottom w:w="80" w:type="dxa"/>
              <w:end w:w="120" w:type="dxa"/>
            </w:tcMar>
          </w:tcPr>
          <w:p>
            <w:pPr>
              <w:spacing w:before="0" w:after="0" w:line="271" w:lineRule="auto"/>
            </w:pPr>
            <w:r>
              <w:rPr>
                <w:rFonts w:ascii="Calibri" w:hAnsi="Calibri"/>
                <w:color w:val="162236"/>
                <w:sz w:val="18"/>
              </w:rPr>
              <w:t>“Seamless integration with cutting-edge technology.”</w:t>
            </w:r>
          </w:p>
        </w:tc>
      </w:tr>
      <w:tr>
        <w:trPr>
          <w:cantSplit/>
        </w:trPr>
        <w:tc>
          <w:tcPr>
            <w:tcW w:type="dxa" w:w="4680"/>
            <w:vAlign w:val="center"/>
            <w:tcMar>
              <w:top w:w="80" w:type="dxa"/>
              <w:start w:w="120" w:type="dxa"/>
              <w:bottom w:w="80" w:type="dxa"/>
              <w:end w:w="120" w:type="dxa"/>
            </w:tcMar>
          </w:tcPr>
          <w:p>
            <w:pPr>
              <w:spacing w:before="0" w:after="0" w:line="271" w:lineRule="auto"/>
            </w:pPr>
            <w:r>
              <w:rPr>
                <w:rFonts w:ascii="Calibri" w:hAnsi="Calibri"/>
                <w:color w:val="162236"/>
                <w:sz w:val="18"/>
              </w:rPr>
              <w:t>“Choose the workflow your case needs.”</w:t>
            </w:r>
          </w:p>
        </w:tc>
        <w:tc>
          <w:tcPr>
            <w:tcW w:type="dxa" w:w="4680"/>
            <w:vAlign w:val="center"/>
            <w:tcMar>
              <w:top w:w="80" w:type="dxa"/>
              <w:start w:w="120" w:type="dxa"/>
              <w:bottom w:w="80" w:type="dxa"/>
              <w:end w:w="120" w:type="dxa"/>
            </w:tcMar>
          </w:tcPr>
          <w:p>
            <w:pPr>
              <w:spacing w:before="0" w:after="0" w:line="271" w:lineRule="auto"/>
            </w:pPr>
            <w:r>
              <w:rPr>
                <w:rFonts w:ascii="Calibri" w:hAnsi="Calibri"/>
                <w:color w:val="162236"/>
                <w:sz w:val="18"/>
              </w:rPr>
              <w:t>“Unlock next-level dentistry.”</w:t>
            </w:r>
          </w:p>
        </w:tc>
      </w:tr>
      <w:tr>
        <w:trPr>
          <w:cantSplit/>
        </w:trPr>
        <w:tc>
          <w:tcPr>
            <w:tcW w:type="dxa" w:w="4680"/>
            <w:vAlign w:val="center"/>
            <w:tcMar>
              <w:top w:w="80" w:type="dxa"/>
              <w:start w:w="120" w:type="dxa"/>
              <w:bottom w:w="80" w:type="dxa"/>
              <w:end w:w="120" w:type="dxa"/>
            </w:tcMar>
          </w:tcPr>
          <w:p>
            <w:pPr>
              <w:spacing w:before="0" w:after="0" w:line="271" w:lineRule="auto"/>
            </w:pPr>
            <w:r>
              <w:rPr>
                <w:rFonts w:ascii="Calibri" w:hAnsi="Calibri"/>
                <w:color w:val="162236"/>
                <w:sz w:val="18"/>
              </w:rPr>
              <w:t>“What your case team checks.”</w:t>
            </w:r>
          </w:p>
        </w:tc>
        <w:tc>
          <w:tcPr>
            <w:tcW w:type="dxa" w:w="4680"/>
            <w:vAlign w:val="center"/>
            <w:tcMar>
              <w:top w:w="80" w:type="dxa"/>
              <w:start w:w="120" w:type="dxa"/>
              <w:bottom w:w="80" w:type="dxa"/>
              <w:end w:w="120" w:type="dxa"/>
            </w:tcMar>
          </w:tcPr>
          <w:p>
            <w:pPr>
              <w:spacing w:before="0" w:after="0" w:line="271" w:lineRule="auto"/>
            </w:pPr>
            <w:r>
              <w:rPr>
                <w:rFonts w:ascii="Calibri" w:hAnsi="Calibri"/>
                <w:color w:val="162236"/>
                <w:sz w:val="18"/>
              </w:rPr>
              <w:t>“Why choose us?” followed by generic claims.</w:t>
            </w:r>
          </w:p>
        </w:tc>
      </w:tr>
      <w:tr>
        <w:trPr>
          <w:cantSplit/>
        </w:trPr>
        <w:tc>
          <w:tcPr>
            <w:tcW w:type="dxa" w:w="4680"/>
            <w:vAlign w:val="center"/>
            <w:tcMar>
              <w:top w:w="80" w:type="dxa"/>
              <w:start w:w="120" w:type="dxa"/>
              <w:bottom w:w="80" w:type="dxa"/>
              <w:end w:w="120" w:type="dxa"/>
            </w:tcMar>
          </w:tcPr>
          <w:p>
            <w:pPr>
              <w:spacing w:before="0" w:after="0" w:line="271" w:lineRule="auto"/>
            </w:pPr>
            <w:r>
              <w:rPr>
                <w:rFonts w:ascii="Calibri" w:hAnsi="Calibri"/>
                <w:color w:val="162236"/>
                <w:sz w:val="18"/>
              </w:rPr>
              <w:t>“Bring us the cases that need more than a template.”</w:t>
            </w:r>
          </w:p>
        </w:tc>
        <w:tc>
          <w:tcPr>
            <w:tcW w:type="dxa" w:w="4680"/>
            <w:vAlign w:val="center"/>
            <w:tcMar>
              <w:top w:w="80" w:type="dxa"/>
              <w:start w:w="120" w:type="dxa"/>
              <w:bottom w:w="80" w:type="dxa"/>
              <w:end w:w="120" w:type="dxa"/>
            </w:tcMar>
          </w:tcPr>
          <w:p>
            <w:pPr>
              <w:spacing w:before="0" w:after="0" w:line="271" w:lineRule="auto"/>
            </w:pPr>
            <w:r>
              <w:rPr>
                <w:rFonts w:ascii="Calibri" w:hAnsi="Calibri"/>
                <w:color w:val="162236"/>
                <w:sz w:val="18"/>
              </w:rPr>
              <w:t>“Revolutionising dentistry one smile at a time.”</w:t>
            </w:r>
          </w:p>
        </w:tc>
      </w:tr>
      <w:tr>
        <w:trPr>
          <w:cantSplit/>
        </w:trPr>
        <w:tc>
          <w:tcPr>
            <w:tcW w:type="dxa" w:w="4680"/>
            <w:vAlign w:val="center"/>
            <w:tcMar>
              <w:top w:w="80" w:type="dxa"/>
              <w:start w:w="120" w:type="dxa"/>
              <w:bottom w:w="80" w:type="dxa"/>
              <w:end w:w="120" w:type="dxa"/>
            </w:tcMar>
          </w:tcPr>
          <w:p>
            <w:pPr>
              <w:spacing w:before="0" w:after="0" w:line="271" w:lineRule="auto"/>
            </w:pPr>
            <w:r>
              <w:rPr>
                <w:rFonts w:ascii="Calibri" w:hAnsi="Calibri"/>
                <w:color w:val="162236"/>
                <w:sz w:val="18"/>
              </w:rPr>
              <w:t>“Turnaround begins after complete data and scope confirmation.”</w:t>
            </w:r>
          </w:p>
        </w:tc>
        <w:tc>
          <w:tcPr>
            <w:tcW w:type="dxa" w:w="4680"/>
            <w:vAlign w:val="center"/>
            <w:tcMar>
              <w:top w:w="80" w:type="dxa"/>
              <w:start w:w="120" w:type="dxa"/>
              <w:bottom w:w="80" w:type="dxa"/>
              <w:end w:w="120" w:type="dxa"/>
            </w:tcMar>
          </w:tcPr>
          <w:p>
            <w:pPr>
              <w:spacing w:before="0" w:after="0" w:line="271" w:lineRule="auto"/>
            </w:pPr>
            <w:r>
              <w:rPr>
                <w:rFonts w:ascii="Calibri" w:hAnsi="Calibri"/>
                <w:color w:val="162236"/>
                <w:sz w:val="18"/>
              </w:rPr>
              <w:t>Unqualified promises such as “delivered in 24 hours.”</w:t>
            </w:r>
          </w:p>
        </w:tc>
      </w:tr>
    </w:tbl>
    <w:p>
      <w:pPr>
        <w:spacing w:after="60"/>
      </w:pPr>
    </w:p>
    <w:p>
      <w:pPr>
        <w:pStyle w:val="Heading2"/>
        <w:spacing w:before="280" w:after="140" w:line="252" w:lineRule="auto"/>
        <w:keepNext w:val="1"/>
        <w:pageBreakBefore w:val="0"/>
      </w:pPr>
      <w:r>
        <w:rPr>
          <w:rFonts w:ascii="Calibri" w:hAnsi="Calibri"/>
          <w:b/>
          <w:color w:val="2E74B5"/>
          <w:sz w:val="26"/>
        </w:rPr>
        <w:t>Human-writing standard</w:t>
      </w:r>
    </w:p>
    <w:p>
      <w:pPr>
        <w:pStyle w:val="ListBullet"/>
        <w:keepLines/>
        <w:spacing w:before="0" w:after="80" w:line="300" w:lineRule="auto"/>
      </w:pPr>
      <w:r>
        <w:rPr>
          <w:rFonts w:ascii="Calibri" w:hAnsi="Calibri"/>
          <w:color w:val="162236"/>
          <w:sz w:val="22"/>
        </w:rPr>
        <w:t>One clear idea per section; most sections should be readable in under 20 seconds.</w:t>
      </w:r>
    </w:p>
    <w:p>
      <w:pPr>
        <w:pStyle w:val="ListBullet"/>
        <w:keepLines/>
        <w:spacing w:before="0" w:after="80" w:line="300" w:lineRule="auto"/>
      </w:pPr>
      <w:r>
        <w:rPr>
          <w:rFonts w:ascii="Calibri" w:hAnsi="Calibri"/>
          <w:color w:val="162236"/>
          <w:sz w:val="22"/>
        </w:rPr>
        <w:t>Write from real case questions, validation checks and approval moments, not from a list of target keywords.</w:t>
      </w:r>
    </w:p>
    <w:p>
      <w:pPr>
        <w:pStyle w:val="ListBullet"/>
        <w:keepLines/>
        <w:spacing w:before="0" w:after="80" w:line="300" w:lineRule="auto"/>
      </w:pPr>
      <w:r>
        <w:rPr>
          <w:rFonts w:ascii="Calibri" w:hAnsi="Calibri"/>
          <w:color w:val="162236"/>
          <w:sz w:val="22"/>
        </w:rPr>
        <w:t>Use concrete nouns: CBCT, IOS scan, denture scan, implant library, guide support, approval, STL, production.</w:t>
      </w:r>
    </w:p>
    <w:p>
      <w:pPr>
        <w:pStyle w:val="ListBullet"/>
        <w:keepLines/>
        <w:spacing w:before="0" w:after="80" w:line="300" w:lineRule="auto"/>
      </w:pPr>
      <w:r>
        <w:rPr>
          <w:rFonts w:ascii="Calibri" w:hAnsi="Calibri"/>
          <w:color w:val="162236"/>
          <w:sz w:val="22"/>
        </w:rPr>
        <w:t>Use short sentences where the decision is important. Use technical detail only where it changes what the dentist should do.</w:t>
      </w:r>
    </w:p>
    <w:p>
      <w:pPr>
        <w:pStyle w:val="ListBullet"/>
        <w:keepLines/>
        <w:spacing w:before="0" w:after="80" w:line="300" w:lineRule="auto"/>
      </w:pPr>
      <w:r>
        <w:rPr>
          <w:rFonts w:ascii="Calibri" w:hAnsi="Calibri"/>
          <w:color w:val="162236"/>
          <w:sz w:val="22"/>
        </w:rPr>
        <w:t>No visible AI mannerisms: no inflated opening, three-adjective strings, repetitive summaries, rhetorical filler or identical section patterns across every page.</w:t>
      </w:r>
    </w:p>
    <w:p>
      <w:pPr>
        <w:pStyle w:val="ListBullet"/>
        <w:keepLines/>
        <w:spacing w:before="0" w:after="80" w:line="300" w:lineRule="auto"/>
      </w:pPr>
      <w:r>
        <w:rPr>
          <w:rFonts w:ascii="Calibri" w:hAnsi="Calibri"/>
          <w:color w:val="162236"/>
          <w:sz w:val="22"/>
        </w:rPr>
        <w:t>No invented case story, testimonial, statistic, certification, reviewer or compatibility claim.</w:t>
      </w:r>
    </w:p>
    <w:p>
      <w:pPr>
        <w:pStyle w:val="ListBullet"/>
        <w:keepLines/>
        <w:spacing w:before="0" w:after="80" w:line="300" w:lineRule="auto"/>
      </w:pPr>
      <w:r>
        <w:rPr>
          <w:rFonts w:ascii="Calibri" w:hAnsi="Calibri"/>
          <w:color w:val="162236"/>
          <w:sz w:val="22"/>
        </w:rPr>
        <w:t>Every clinical statement must be reviewed by an appropriately qualified clinical reviewer; every workflow claim must be reviewed by the technical operations team.</w:t>
      </w:r>
    </w:p>
    <w:p>
      <w:pPr>
        <w:pStyle w:val="ListBullet"/>
        <w:keepLines/>
        <w:spacing w:before="0" w:after="80" w:line="300" w:lineRule="auto"/>
      </w:pPr>
      <w:r>
        <w:rPr>
          <w:rFonts w:ascii="Calibri" w:hAnsi="Calibri"/>
          <w:color w:val="162236"/>
          <w:sz w:val="22"/>
        </w:rPr>
        <w:t>AI may assist internal research or organisation, but it must never be the visible author or the source of an unverified clinical claim.</w:t>
      </w:r>
    </w:p>
    <w:p>
      <w:pPr>
        <w:pStyle w:val="Heading1"/>
        <w:spacing w:before="360" w:after="200" w:line="252" w:lineRule="auto"/>
        <w:keepNext w:val="1"/>
        <w:pageBreakBefore w:val="0"/>
      </w:pPr>
      <w:r>
        <w:rPr>
          <w:rFonts w:ascii="Calibri" w:hAnsi="Calibri"/>
          <w:b/>
          <w:color w:val="2E74B5"/>
          <w:sz w:val="32"/>
        </w:rPr>
        <w:t>2. Audience paths</w:t>
      </w:r>
    </w:p>
    <w:p>
      <w:pPr>
        <w:spacing w:before="0" w:after="120" w:line="300" w:lineRule="auto"/>
        <w:jc w:val="left"/>
      </w:pPr>
      <w:r>
        <w:rPr>
          <w:rFonts w:ascii="Calibri" w:hAnsi="Calibri"/>
          <w:i w:val="0"/>
          <w:color w:val="162236"/>
          <w:sz w:val="22"/>
        </w:rPr>
        <w:t>The homepage should not ask a dentist to understand the company structure first. It should help them recognise their case and move to the right workflow.</w:t>
      </w:r>
    </w:p>
    <w:tbl>
      <w:tblPr>
        <w:tblStyle w:val="TableGrid"/>
        <w:tblW w:type="dxa" w:w="9360"/>
        <w:tblLayout w:type="fixed"/>
        <w:tblLook w:firstColumn="1" w:firstRow="1" w:lastColumn="0" w:lastRow="0" w:noHBand="0" w:noVBand="1" w:val="04A0"/>
        <w:jc w:val="left"/>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1700"/>
        <w:gridCol w:w="2700"/>
        <w:gridCol w:w="2900"/>
        <w:gridCol w:w="2060"/>
      </w:tblGrid>
      <w:tr>
        <w:trPr>
          <w:tblHeader w:val="true"/>
          <w:cantSplit/>
        </w:trPr>
        <w:tc>
          <w:tcPr>
            <w:tcW w:type="dxa" w:w="1700"/>
            <w:tcMar>
              <w:top w:w="80" w:type="dxa"/>
              <w:start w:w="120" w:type="dxa"/>
              <w:bottom w:w="80" w:type="dxa"/>
              <w:end w:w="120" w:type="dxa"/>
            </w:tcMar>
            <w:vAlign w:val="center"/>
            <w:shd w:fill="E8EEF5"/>
          </w:tcPr>
          <w:p>
            <w:pPr>
              <w:spacing w:before="0" w:after="0" w:line="264" w:lineRule="auto"/>
            </w:pPr>
            <w:r>
              <w:rPr>
                <w:rFonts w:ascii="Calibri" w:hAnsi="Calibri"/>
                <w:b/>
                <w:color w:val="162236"/>
                <w:sz w:val="17"/>
              </w:rPr>
              <w:t>Visitor</w:t>
            </w:r>
          </w:p>
        </w:tc>
        <w:tc>
          <w:tcPr>
            <w:tcW w:type="dxa" w:w="2700"/>
            <w:tcMar>
              <w:top w:w="80" w:type="dxa"/>
              <w:start w:w="120" w:type="dxa"/>
              <w:bottom w:w="80" w:type="dxa"/>
              <w:end w:w="120" w:type="dxa"/>
            </w:tcMar>
            <w:vAlign w:val="center"/>
            <w:shd w:fill="E8EEF5"/>
          </w:tcPr>
          <w:p>
            <w:pPr>
              <w:spacing w:before="0" w:after="0" w:line="264" w:lineRule="auto"/>
            </w:pPr>
            <w:r>
              <w:rPr>
                <w:rFonts w:ascii="Calibri" w:hAnsi="Calibri"/>
                <w:b/>
                <w:color w:val="162236"/>
                <w:sz w:val="17"/>
              </w:rPr>
              <w:t>Immediate question</w:t>
            </w:r>
          </w:p>
        </w:tc>
        <w:tc>
          <w:tcPr>
            <w:tcW w:type="dxa" w:w="2900"/>
            <w:tcMar>
              <w:top w:w="80" w:type="dxa"/>
              <w:start w:w="120" w:type="dxa"/>
              <w:bottom w:w="80" w:type="dxa"/>
              <w:end w:w="120" w:type="dxa"/>
            </w:tcMar>
            <w:vAlign w:val="center"/>
            <w:shd w:fill="E8EEF5"/>
          </w:tcPr>
          <w:p>
            <w:pPr>
              <w:spacing w:before="0" w:after="0" w:line="264" w:lineRule="auto"/>
            </w:pPr>
            <w:r>
              <w:rPr>
                <w:rFonts w:ascii="Calibri" w:hAnsi="Calibri"/>
                <w:b/>
                <w:color w:val="162236"/>
                <w:sz w:val="17"/>
              </w:rPr>
              <w:t>Best entry path</w:t>
            </w:r>
          </w:p>
        </w:tc>
        <w:tc>
          <w:tcPr>
            <w:tcW w:type="dxa" w:w="2060"/>
            <w:tcMar>
              <w:top w:w="80" w:type="dxa"/>
              <w:start w:w="120" w:type="dxa"/>
              <w:bottom w:w="80" w:type="dxa"/>
              <w:end w:w="120" w:type="dxa"/>
            </w:tcMar>
            <w:vAlign w:val="center"/>
            <w:shd w:fill="E8EEF5"/>
          </w:tcPr>
          <w:p>
            <w:pPr>
              <w:spacing w:before="0" w:after="0" w:line="264" w:lineRule="auto"/>
            </w:pPr>
            <w:r>
              <w:rPr>
                <w:rFonts w:ascii="Calibri" w:hAnsi="Calibri"/>
                <w:b/>
                <w:color w:val="162236"/>
                <w:sz w:val="17"/>
              </w:rPr>
              <w:t>Primary action</w:t>
            </w:r>
          </w:p>
        </w:tc>
      </w:tr>
      <w:tr>
        <w:trPr>
          <w:cantSplit/>
        </w:trPr>
        <w:tc>
          <w:tcPr>
            <w:tcW w:type="dxa" w:w="1700"/>
            <w:vAlign w:val="center"/>
            <w:tcMar>
              <w:top w:w="80" w:type="dxa"/>
              <w:start w:w="120" w:type="dxa"/>
              <w:bottom w:w="80" w:type="dxa"/>
              <w:end w:w="120" w:type="dxa"/>
            </w:tcMar>
          </w:tcPr>
          <w:p>
            <w:pPr>
              <w:spacing w:before="0" w:after="0" w:line="271" w:lineRule="auto"/>
            </w:pPr>
            <w:r>
              <w:rPr>
                <w:rFonts w:ascii="Calibri" w:hAnsi="Calibri"/>
                <w:color w:val="162236"/>
                <w:sz w:val="17"/>
              </w:rPr>
              <w:t>Routine implant clinician</w:t>
            </w:r>
          </w:p>
        </w:tc>
        <w:tc>
          <w:tcPr>
            <w:tcW w:type="dxa" w:w="2700"/>
            <w:vAlign w:val="center"/>
            <w:tcMar>
              <w:top w:w="80" w:type="dxa"/>
              <w:start w:w="120" w:type="dxa"/>
              <w:bottom w:w="80" w:type="dxa"/>
              <w:end w:w="120" w:type="dxa"/>
            </w:tcMar>
          </w:tcPr>
          <w:p>
            <w:pPr>
              <w:spacing w:before="0" w:after="0" w:line="271" w:lineRule="auto"/>
            </w:pPr>
            <w:r>
              <w:rPr>
                <w:rFonts w:ascii="Calibri" w:hAnsi="Calibri"/>
                <w:color w:val="162236"/>
                <w:sz w:val="17"/>
              </w:rPr>
              <w:t>Can you plan and provide the guide for this case?</w:t>
            </w:r>
          </w:p>
        </w:tc>
        <w:tc>
          <w:tcPr>
            <w:tcW w:type="dxa" w:w="2900"/>
            <w:vAlign w:val="center"/>
            <w:tcMar>
              <w:top w:w="80" w:type="dxa"/>
              <w:start w:w="120" w:type="dxa"/>
              <w:bottom w:w="80" w:type="dxa"/>
              <w:end w:w="120" w:type="dxa"/>
            </w:tcMar>
          </w:tcPr>
          <w:p>
            <w:pPr>
              <w:spacing w:before="0" w:after="0" w:line="271" w:lineRule="auto"/>
            </w:pPr>
            <w:r>
              <w:rPr>
                <w:rFonts w:ascii="Calibri" w:hAnsi="Calibri"/>
                <w:color w:val="162236"/>
                <w:sz w:val="17"/>
              </w:rPr>
              <w:t>Guided Implant Workflow</w:t>
            </w:r>
          </w:p>
        </w:tc>
        <w:tc>
          <w:tcPr>
            <w:tcW w:type="dxa" w:w="2060"/>
            <w:vAlign w:val="center"/>
            <w:tcMar>
              <w:top w:w="80" w:type="dxa"/>
              <w:start w:w="120" w:type="dxa"/>
              <w:bottom w:w="80" w:type="dxa"/>
              <w:end w:w="120" w:type="dxa"/>
            </w:tcMar>
          </w:tcPr>
          <w:p>
            <w:pPr>
              <w:spacing w:before="0" w:after="0" w:line="271" w:lineRule="auto"/>
            </w:pPr>
            <w:r>
              <w:rPr>
                <w:rFonts w:ascii="Calibri" w:hAnsi="Calibri"/>
                <w:color w:val="162236"/>
                <w:sz w:val="17"/>
              </w:rPr>
              <w:t>Start a Case</w:t>
            </w:r>
          </w:p>
        </w:tc>
      </w:tr>
      <w:tr>
        <w:trPr>
          <w:cantSplit/>
        </w:trPr>
        <w:tc>
          <w:tcPr>
            <w:tcW w:type="dxa" w:w="1700"/>
            <w:vAlign w:val="center"/>
            <w:tcMar>
              <w:top w:w="80" w:type="dxa"/>
              <w:start w:w="120" w:type="dxa"/>
              <w:bottom w:w="80" w:type="dxa"/>
              <w:end w:w="120" w:type="dxa"/>
            </w:tcMar>
          </w:tcPr>
          <w:p>
            <w:pPr>
              <w:spacing w:before="0" w:after="0" w:line="271" w:lineRule="auto"/>
            </w:pPr>
            <w:r>
              <w:rPr>
                <w:rFonts w:ascii="Calibri" w:hAnsi="Calibri"/>
                <w:color w:val="162236"/>
                <w:sz w:val="17"/>
              </w:rPr>
              <w:t>Full-arch clinician</w:t>
            </w:r>
          </w:p>
        </w:tc>
        <w:tc>
          <w:tcPr>
            <w:tcW w:type="dxa" w:w="2700"/>
            <w:vAlign w:val="center"/>
            <w:tcMar>
              <w:top w:w="80" w:type="dxa"/>
              <w:start w:w="120" w:type="dxa"/>
              <w:bottom w:w="80" w:type="dxa"/>
              <w:end w:w="120" w:type="dxa"/>
            </w:tcMar>
          </w:tcPr>
          <w:p>
            <w:pPr>
              <w:spacing w:before="0" w:after="0" w:line="271" w:lineRule="auto"/>
            </w:pPr>
            <w:r>
              <w:rPr>
                <w:rFonts w:ascii="Calibri" w:hAnsi="Calibri"/>
                <w:color w:val="162236"/>
                <w:sz w:val="17"/>
              </w:rPr>
              <w:t>Can the surgical and provisional sequence be coordinated?</w:t>
            </w:r>
          </w:p>
        </w:tc>
        <w:tc>
          <w:tcPr>
            <w:tcW w:type="dxa" w:w="2900"/>
            <w:vAlign w:val="center"/>
            <w:tcMar>
              <w:top w:w="80" w:type="dxa"/>
              <w:start w:w="120" w:type="dxa"/>
              <w:bottom w:w="80" w:type="dxa"/>
              <w:end w:w="120" w:type="dxa"/>
            </w:tcMar>
          </w:tcPr>
          <w:p>
            <w:pPr>
              <w:spacing w:before="0" w:after="0" w:line="271" w:lineRule="auto"/>
            </w:pPr>
            <w:r>
              <w:rPr>
                <w:rFonts w:ascii="Calibri" w:hAnsi="Calibri"/>
                <w:color w:val="162236"/>
                <w:sz w:val="17"/>
              </w:rPr>
              <w:t>Full-Arch Stackable Workflow</w:t>
            </w:r>
          </w:p>
        </w:tc>
        <w:tc>
          <w:tcPr>
            <w:tcW w:type="dxa" w:w="2060"/>
            <w:vAlign w:val="center"/>
            <w:tcMar>
              <w:top w:w="80" w:type="dxa"/>
              <w:start w:w="120" w:type="dxa"/>
              <w:bottom w:w="80" w:type="dxa"/>
              <w:end w:w="120" w:type="dxa"/>
            </w:tcMar>
          </w:tcPr>
          <w:p>
            <w:pPr>
              <w:spacing w:before="0" w:after="0" w:line="271" w:lineRule="auto"/>
            </w:pPr>
            <w:r>
              <w:rPr>
                <w:rFonts w:ascii="Calibri" w:hAnsi="Calibri"/>
                <w:color w:val="162236"/>
                <w:sz w:val="17"/>
              </w:rPr>
              <w:t>Discuss a Complex Case</w:t>
            </w:r>
          </w:p>
        </w:tc>
      </w:tr>
      <w:tr>
        <w:trPr>
          <w:cantSplit/>
        </w:trPr>
        <w:tc>
          <w:tcPr>
            <w:tcW w:type="dxa" w:w="1700"/>
            <w:vAlign w:val="center"/>
            <w:tcMar>
              <w:top w:w="80" w:type="dxa"/>
              <w:start w:w="120" w:type="dxa"/>
              <w:bottom w:w="80" w:type="dxa"/>
              <w:end w:w="120" w:type="dxa"/>
            </w:tcMar>
          </w:tcPr>
          <w:p>
            <w:pPr>
              <w:spacing w:before="0" w:after="0" w:line="271" w:lineRule="auto"/>
            </w:pPr>
            <w:r>
              <w:rPr>
                <w:rFonts w:ascii="Calibri" w:hAnsi="Calibri"/>
                <w:color w:val="162236"/>
                <w:sz w:val="17"/>
              </w:rPr>
              <w:t>Zygoma / pterygoid clinician</w:t>
            </w:r>
          </w:p>
        </w:tc>
        <w:tc>
          <w:tcPr>
            <w:tcW w:type="dxa" w:w="2700"/>
            <w:vAlign w:val="center"/>
            <w:tcMar>
              <w:top w:w="80" w:type="dxa"/>
              <w:start w:w="120" w:type="dxa"/>
              <w:bottom w:w="80" w:type="dxa"/>
              <w:end w:w="120" w:type="dxa"/>
            </w:tcMar>
          </w:tcPr>
          <w:p>
            <w:pPr>
              <w:spacing w:before="0" w:after="0" w:line="271" w:lineRule="auto"/>
            </w:pPr>
            <w:r>
              <w:rPr>
                <w:rFonts w:ascii="Calibri" w:hAnsi="Calibri"/>
                <w:color w:val="162236"/>
                <w:sz w:val="17"/>
              </w:rPr>
              <w:t>Can this anatomy and prosthetic plan be reviewed as one workflow?</w:t>
            </w:r>
          </w:p>
        </w:tc>
        <w:tc>
          <w:tcPr>
            <w:tcW w:type="dxa" w:w="2900"/>
            <w:vAlign w:val="center"/>
            <w:tcMar>
              <w:top w:w="80" w:type="dxa"/>
              <w:start w:w="120" w:type="dxa"/>
              <w:bottom w:w="80" w:type="dxa"/>
              <w:end w:w="120" w:type="dxa"/>
            </w:tcMar>
          </w:tcPr>
          <w:p>
            <w:pPr>
              <w:spacing w:before="0" w:after="0" w:line="271" w:lineRule="auto"/>
            </w:pPr>
            <w:r>
              <w:rPr>
                <w:rFonts w:ascii="Calibri" w:hAnsi="Calibri"/>
                <w:color w:val="162236"/>
                <w:sz w:val="17"/>
              </w:rPr>
              <w:t>Zygoma &amp; Pterygoid Planning</w:t>
            </w:r>
          </w:p>
        </w:tc>
        <w:tc>
          <w:tcPr>
            <w:tcW w:type="dxa" w:w="2060"/>
            <w:vAlign w:val="center"/>
            <w:tcMar>
              <w:top w:w="80" w:type="dxa"/>
              <w:start w:w="120" w:type="dxa"/>
              <w:bottom w:w="80" w:type="dxa"/>
              <w:end w:w="120" w:type="dxa"/>
            </w:tcMar>
          </w:tcPr>
          <w:p>
            <w:pPr>
              <w:spacing w:before="0" w:after="0" w:line="271" w:lineRule="auto"/>
            </w:pPr>
            <w:r>
              <w:rPr>
                <w:rFonts w:ascii="Calibri" w:hAnsi="Calibri"/>
                <w:color w:val="162236"/>
                <w:sz w:val="17"/>
              </w:rPr>
              <w:t>Discuss a Complex Case</w:t>
            </w:r>
          </w:p>
        </w:tc>
      </w:tr>
      <w:tr>
        <w:trPr>
          <w:cantSplit/>
        </w:trPr>
        <w:tc>
          <w:tcPr>
            <w:tcW w:type="dxa" w:w="1700"/>
            <w:vAlign w:val="center"/>
            <w:tcMar>
              <w:top w:w="80" w:type="dxa"/>
              <w:start w:w="120" w:type="dxa"/>
              <w:bottom w:w="80" w:type="dxa"/>
              <w:end w:w="120" w:type="dxa"/>
            </w:tcMar>
          </w:tcPr>
          <w:p>
            <w:pPr>
              <w:spacing w:before="0" w:after="0" w:line="271" w:lineRule="auto"/>
            </w:pPr>
            <w:r>
              <w:rPr>
                <w:rFonts w:ascii="Calibri" w:hAnsi="Calibri"/>
                <w:color w:val="162236"/>
                <w:sz w:val="17"/>
              </w:rPr>
              <w:t>Immediate-loading practice</w:t>
            </w:r>
          </w:p>
        </w:tc>
        <w:tc>
          <w:tcPr>
            <w:tcW w:type="dxa" w:w="2700"/>
            <w:vAlign w:val="center"/>
            <w:tcMar>
              <w:top w:w="80" w:type="dxa"/>
              <w:start w:w="120" w:type="dxa"/>
              <w:bottom w:w="80" w:type="dxa"/>
              <w:end w:w="120" w:type="dxa"/>
            </w:tcMar>
          </w:tcPr>
          <w:p>
            <w:pPr>
              <w:spacing w:before="0" w:after="0" w:line="271" w:lineRule="auto"/>
            </w:pPr>
            <w:r>
              <w:rPr>
                <w:rFonts w:ascii="Calibri" w:hAnsi="Calibri"/>
                <w:color w:val="162236"/>
                <w:sz w:val="17"/>
              </w:rPr>
              <w:t>Can planning, guide and provisional references stay aligned?</w:t>
            </w:r>
          </w:p>
        </w:tc>
        <w:tc>
          <w:tcPr>
            <w:tcW w:type="dxa" w:w="2900"/>
            <w:vAlign w:val="center"/>
            <w:tcMar>
              <w:top w:w="80" w:type="dxa"/>
              <w:start w:w="120" w:type="dxa"/>
              <w:bottom w:w="80" w:type="dxa"/>
              <w:end w:w="120" w:type="dxa"/>
            </w:tcMar>
          </w:tcPr>
          <w:p>
            <w:pPr>
              <w:spacing w:before="0" w:after="0" w:line="271" w:lineRule="auto"/>
            </w:pPr>
            <w:r>
              <w:rPr>
                <w:rFonts w:ascii="Calibri" w:hAnsi="Calibri"/>
                <w:color w:val="162236"/>
                <w:sz w:val="17"/>
              </w:rPr>
              <w:t>Immediate-Loading Prosthetic Workflow</w:t>
            </w:r>
          </w:p>
        </w:tc>
        <w:tc>
          <w:tcPr>
            <w:tcW w:type="dxa" w:w="2060"/>
            <w:vAlign w:val="center"/>
            <w:tcMar>
              <w:top w:w="80" w:type="dxa"/>
              <w:start w:w="120" w:type="dxa"/>
              <w:bottom w:w="80" w:type="dxa"/>
              <w:end w:w="120" w:type="dxa"/>
            </w:tcMar>
          </w:tcPr>
          <w:p>
            <w:pPr>
              <w:spacing w:before="0" w:after="0" w:line="271" w:lineRule="auto"/>
            </w:pPr>
            <w:r>
              <w:rPr>
                <w:rFonts w:ascii="Calibri" w:hAnsi="Calibri"/>
                <w:color w:val="162236"/>
                <w:sz w:val="17"/>
              </w:rPr>
              <w:t>Review Requirements</w:t>
            </w:r>
          </w:p>
        </w:tc>
      </w:tr>
      <w:tr>
        <w:trPr>
          <w:cantSplit/>
        </w:trPr>
        <w:tc>
          <w:tcPr>
            <w:tcW w:type="dxa" w:w="1700"/>
            <w:vAlign w:val="center"/>
            <w:tcMar>
              <w:top w:w="80" w:type="dxa"/>
              <w:start w:w="120" w:type="dxa"/>
              <w:bottom w:w="80" w:type="dxa"/>
              <w:end w:w="120" w:type="dxa"/>
            </w:tcMar>
          </w:tcPr>
          <w:p>
            <w:pPr>
              <w:spacing w:before="0" w:after="0" w:line="271" w:lineRule="auto"/>
            </w:pPr>
            <w:r>
              <w:rPr>
                <w:rFonts w:ascii="Calibri" w:hAnsi="Calibri"/>
                <w:color w:val="162236"/>
                <w:sz w:val="17"/>
              </w:rPr>
              <w:t>Lab / DSO / overseas partner</w:t>
            </w:r>
          </w:p>
        </w:tc>
        <w:tc>
          <w:tcPr>
            <w:tcW w:type="dxa" w:w="2700"/>
            <w:vAlign w:val="center"/>
            <w:tcMar>
              <w:top w:w="80" w:type="dxa"/>
              <w:start w:w="120" w:type="dxa"/>
              <w:bottom w:w="80" w:type="dxa"/>
              <w:end w:w="120" w:type="dxa"/>
            </w:tcMar>
          </w:tcPr>
          <w:p>
            <w:pPr>
              <w:spacing w:before="0" w:after="0" w:line="271" w:lineRule="auto"/>
            </w:pPr>
            <w:r>
              <w:rPr>
                <w:rFonts w:ascii="Calibri" w:hAnsi="Calibri"/>
                <w:color w:val="162236"/>
                <w:sz w:val="17"/>
              </w:rPr>
              <w:t>Can you add reliable planning and design capacity behind our brand?</w:t>
            </w:r>
          </w:p>
        </w:tc>
        <w:tc>
          <w:tcPr>
            <w:tcW w:type="dxa" w:w="2900"/>
            <w:vAlign w:val="center"/>
            <w:tcMar>
              <w:top w:w="80" w:type="dxa"/>
              <w:start w:w="120" w:type="dxa"/>
              <w:bottom w:w="80" w:type="dxa"/>
              <w:end w:w="120" w:type="dxa"/>
            </w:tcMar>
          </w:tcPr>
          <w:p>
            <w:pPr>
              <w:spacing w:before="0" w:after="0" w:line="271" w:lineRule="auto"/>
            </w:pPr>
            <w:r>
              <w:rPr>
                <w:rFonts w:ascii="Calibri" w:hAnsi="Calibri"/>
                <w:color w:val="162236"/>
                <w:sz w:val="17"/>
              </w:rPr>
              <w:t>White-Label Workflow Partnership</w:t>
            </w:r>
          </w:p>
        </w:tc>
        <w:tc>
          <w:tcPr>
            <w:tcW w:type="dxa" w:w="2060"/>
            <w:vAlign w:val="center"/>
            <w:tcMar>
              <w:top w:w="80" w:type="dxa"/>
              <w:start w:w="120" w:type="dxa"/>
              <w:bottom w:w="80" w:type="dxa"/>
              <w:end w:w="120" w:type="dxa"/>
            </w:tcMar>
          </w:tcPr>
          <w:p>
            <w:pPr>
              <w:spacing w:before="0" w:after="0" w:line="271" w:lineRule="auto"/>
            </w:pPr>
            <w:r>
              <w:rPr>
                <w:rFonts w:ascii="Calibri" w:hAnsi="Calibri"/>
                <w:color w:val="162236"/>
                <w:sz w:val="17"/>
              </w:rPr>
              <w:t>Request a Workflow Review</w:t>
            </w:r>
          </w:p>
        </w:tc>
      </w:tr>
      <w:tr>
        <w:trPr>
          <w:cantSplit/>
        </w:trPr>
        <w:tc>
          <w:tcPr>
            <w:tcW w:type="dxa" w:w="1700"/>
            <w:vAlign w:val="center"/>
            <w:tcMar>
              <w:top w:w="80" w:type="dxa"/>
              <w:start w:w="120" w:type="dxa"/>
              <w:bottom w:w="80" w:type="dxa"/>
              <w:end w:w="120" w:type="dxa"/>
            </w:tcMar>
          </w:tcPr>
          <w:p>
            <w:pPr>
              <w:spacing w:before="0" w:after="0" w:line="271" w:lineRule="auto"/>
            </w:pPr>
            <w:r>
              <w:rPr>
                <w:rFonts w:ascii="Calibri" w:hAnsi="Calibri"/>
                <w:color w:val="162236"/>
                <w:sz w:val="17"/>
              </w:rPr>
              <w:t>Returning user</w:t>
            </w:r>
          </w:p>
        </w:tc>
        <w:tc>
          <w:tcPr>
            <w:tcW w:type="dxa" w:w="2700"/>
            <w:vAlign w:val="center"/>
            <w:tcMar>
              <w:top w:w="80" w:type="dxa"/>
              <w:start w:w="120" w:type="dxa"/>
              <w:bottom w:w="80" w:type="dxa"/>
              <w:end w:w="120" w:type="dxa"/>
            </w:tcMar>
          </w:tcPr>
          <w:p>
            <w:pPr>
              <w:spacing w:before="0" w:after="0" w:line="271" w:lineRule="auto"/>
            </w:pPr>
            <w:r>
              <w:rPr>
                <w:rFonts w:ascii="Calibri" w:hAnsi="Calibri"/>
                <w:color w:val="162236"/>
                <w:sz w:val="17"/>
              </w:rPr>
              <w:t>Where is my case and what do I need to do?</w:t>
            </w:r>
          </w:p>
        </w:tc>
        <w:tc>
          <w:tcPr>
            <w:tcW w:type="dxa" w:w="2900"/>
            <w:vAlign w:val="center"/>
            <w:tcMar>
              <w:top w:w="80" w:type="dxa"/>
              <w:start w:w="120" w:type="dxa"/>
              <w:bottom w:w="80" w:type="dxa"/>
              <w:end w:w="120" w:type="dxa"/>
            </w:tcMar>
          </w:tcPr>
          <w:p>
            <w:pPr>
              <w:spacing w:before="0" w:after="0" w:line="271" w:lineRule="auto"/>
            </w:pPr>
            <w:r>
              <w:rPr>
                <w:rFonts w:ascii="Calibri" w:hAnsi="Calibri"/>
                <w:color w:val="162236"/>
                <w:sz w:val="17"/>
              </w:rPr>
              <w:t>Case Portal</w:t>
            </w:r>
          </w:p>
        </w:tc>
        <w:tc>
          <w:tcPr>
            <w:tcW w:type="dxa" w:w="2060"/>
            <w:vAlign w:val="center"/>
            <w:tcMar>
              <w:top w:w="80" w:type="dxa"/>
              <w:start w:w="120" w:type="dxa"/>
              <w:bottom w:w="80" w:type="dxa"/>
              <w:end w:w="120" w:type="dxa"/>
            </w:tcMar>
          </w:tcPr>
          <w:p>
            <w:pPr>
              <w:spacing w:before="0" w:after="0" w:line="271" w:lineRule="auto"/>
            </w:pPr>
            <w:r>
              <w:rPr>
                <w:rFonts w:ascii="Calibri" w:hAnsi="Calibri"/>
                <w:color w:val="162236"/>
                <w:sz w:val="17"/>
              </w:rPr>
              <w:t>Open Case Portal</w:t>
            </w:r>
          </w:p>
        </w:tc>
      </w:tr>
      <w:tr>
        <w:trPr>
          <w:cantSplit/>
        </w:trPr>
        <w:tc>
          <w:tcPr>
            <w:tcW w:type="dxa" w:w="1700"/>
            <w:vAlign w:val="center"/>
            <w:tcMar>
              <w:top w:w="80" w:type="dxa"/>
              <w:start w:w="120" w:type="dxa"/>
              <w:bottom w:w="80" w:type="dxa"/>
              <w:end w:w="120" w:type="dxa"/>
            </w:tcMar>
          </w:tcPr>
          <w:p>
            <w:pPr>
              <w:spacing w:before="0" w:after="0" w:line="271" w:lineRule="auto"/>
            </w:pPr>
            <w:r>
              <w:rPr>
                <w:rFonts w:ascii="Calibri" w:hAnsi="Calibri"/>
                <w:color w:val="162236"/>
                <w:sz w:val="17"/>
              </w:rPr>
              <w:t>Patient / general visitor</w:t>
            </w:r>
          </w:p>
        </w:tc>
        <w:tc>
          <w:tcPr>
            <w:tcW w:type="dxa" w:w="2700"/>
            <w:vAlign w:val="center"/>
            <w:tcMar>
              <w:top w:w="80" w:type="dxa"/>
              <w:start w:w="120" w:type="dxa"/>
              <w:bottom w:w="80" w:type="dxa"/>
              <w:end w:w="120" w:type="dxa"/>
            </w:tcMar>
          </w:tcPr>
          <w:p>
            <w:pPr>
              <w:spacing w:before="0" w:after="0" w:line="271" w:lineRule="auto"/>
            </w:pPr>
            <w:r>
              <w:rPr>
                <w:rFonts w:ascii="Calibri" w:hAnsi="Calibri"/>
                <w:color w:val="162236"/>
                <w:sz w:val="17"/>
              </w:rPr>
              <w:t>Can I book treatment here?</w:t>
            </w:r>
          </w:p>
        </w:tc>
        <w:tc>
          <w:tcPr>
            <w:tcW w:type="dxa" w:w="2900"/>
            <w:vAlign w:val="center"/>
            <w:tcMar>
              <w:top w:w="80" w:type="dxa"/>
              <w:start w:w="120" w:type="dxa"/>
              <w:bottom w:w="80" w:type="dxa"/>
              <w:end w:w="120" w:type="dxa"/>
            </w:tcMar>
          </w:tcPr>
          <w:p>
            <w:pPr>
              <w:spacing w:before="0" w:after="0" w:line="271" w:lineRule="auto"/>
            </w:pPr>
            <w:r>
              <w:rPr>
                <w:rFonts w:ascii="Calibri" w:hAnsi="Calibri"/>
                <w:color w:val="162236"/>
                <w:sz w:val="17"/>
              </w:rPr>
              <w:t>Professional-services notice</w:t>
            </w:r>
          </w:p>
        </w:tc>
        <w:tc>
          <w:tcPr>
            <w:tcW w:type="dxa" w:w="2060"/>
            <w:vAlign w:val="center"/>
            <w:tcMar>
              <w:top w:w="80" w:type="dxa"/>
              <w:start w:w="120" w:type="dxa"/>
              <w:bottom w:w="80" w:type="dxa"/>
              <w:end w:w="120" w:type="dxa"/>
            </w:tcMar>
          </w:tcPr>
          <w:p>
            <w:pPr>
              <w:spacing w:before="0" w:after="0" w:line="271" w:lineRule="auto"/>
            </w:pPr>
            <w:r>
              <w:rPr>
                <w:rFonts w:ascii="Calibri" w:hAnsi="Calibri"/>
                <w:color w:val="162236"/>
                <w:sz w:val="17"/>
              </w:rPr>
              <w:t>Contact a treating dentist</w:t>
            </w:r>
          </w:p>
        </w:tc>
      </w:tr>
    </w:tbl>
    <w:p>
      <w:pPr>
        <w:spacing w:after="60"/>
      </w:pPr>
    </w:p>
    <w:p>
      <w:pPr>
        <w:spacing w:before="100" w:after="180" w:line="300" w:lineRule="auto"/>
        <w:ind w:left="202" w:right="144"/>
        <w:shd w:fill="F2F4F7"/>
        <w:pBdr>
          <w:left w:val="single" w:sz="16" w:space="8" w:color="5F6B7A"/>
        </w:pBdr>
        <w:keepLines w:val="1"/>
      </w:pPr>
      <w:r>
        <w:rPr>
          <w:rFonts w:ascii="Calibri" w:hAnsi="Calibri"/>
          <w:b/>
          <w:color w:val="5F6B7A"/>
          <w:sz w:val="18"/>
        </w:rPr>
        <w:t xml:space="preserve">B2B BOUNDARY  </w:t>
      </w:r>
      <w:r>
        <w:rPr>
          <w:rFonts w:ascii="Calibri" w:hAnsi="Calibri"/>
          <w:b/>
          <w:color w:val="162236"/>
          <w:sz w:val="22"/>
        </w:rPr>
        <w:t>Image3DConversion supports dental professionals. It does not diagnose patients or replace the treating clinician’s judgement.</w:t>
      </w:r>
    </w:p>
    <w:p>
      <w:pPr>
        <w:pStyle w:val="Heading1"/>
        <w:spacing w:before="360" w:after="200" w:line="252" w:lineRule="auto"/>
        <w:keepNext w:val="1"/>
        <w:pageBreakBefore w:val="1"/>
      </w:pPr>
      <w:r>
        <w:rPr>
          <w:rFonts w:ascii="Calibri" w:hAnsi="Calibri"/>
          <w:b/>
          <w:color w:val="2E74B5"/>
          <w:sz w:val="32"/>
        </w:rPr>
        <w:t>3. Final sitemap and navigation</w:t>
      </w:r>
    </w:p>
    <w:p>
      <w:pPr>
        <w:pStyle w:val="Heading2"/>
        <w:spacing w:before="280" w:after="140" w:line="252" w:lineRule="auto"/>
        <w:keepNext w:val="1"/>
        <w:pageBreakBefore w:val="0"/>
      </w:pPr>
      <w:r>
        <w:rPr>
          <w:rFonts w:ascii="Calibri" w:hAnsi="Calibri"/>
          <w:b/>
          <w:color w:val="2E74B5"/>
          <w:sz w:val="26"/>
        </w:rPr>
        <w:t>Primary navigation</w:t>
      </w:r>
    </w:p>
    <w:p>
      <w:pPr>
        <w:spacing w:before="0" w:after="120" w:line="300" w:lineRule="auto"/>
        <w:jc w:val="left"/>
      </w:pPr>
      <w:r>
        <w:rPr>
          <w:rFonts w:ascii="Calibri" w:hAnsi="Calibri"/>
          <w:b/>
          <w:color w:val="162236"/>
          <w:sz w:val="22"/>
        </w:rPr>
        <w:t>Solutions</w:t>
      </w:r>
      <w:r>
        <w:rPr>
          <w:rFonts w:ascii="Calibri" w:hAnsi="Calibri"/>
          <w:i w:val="0"/>
          <w:color w:val="162236"/>
          <w:sz w:val="22"/>
        </w:rPr>
        <w:t xml:space="preserve">  |  How It Works  |  Case Evidence  |  About</w:t>
      </w:r>
    </w:p>
    <w:p>
      <w:pPr>
        <w:spacing w:before="0" w:after="120" w:line="300" w:lineRule="auto"/>
        <w:jc w:val="left"/>
      </w:pPr>
      <w:r>
        <w:rPr>
          <w:rFonts w:ascii="Calibri" w:hAnsi="Calibri"/>
          <w:i w:val="0"/>
          <w:color w:val="162236"/>
          <w:sz w:val="22"/>
        </w:rPr>
        <w:t>Persistent actions: “Start a Case” as the primary button, “Discuss a Complex Case” as the secondary action, and “Portal Login” as the returning-user utility link.</w:t>
      </w:r>
    </w:p>
    <w:p>
      <w:pPr>
        <w:pStyle w:val="Heading2"/>
        <w:spacing w:before="280" w:after="140" w:line="252" w:lineRule="auto"/>
        <w:keepNext w:val="1"/>
        <w:pageBreakBefore w:val="0"/>
      </w:pPr>
      <w:r>
        <w:rPr>
          <w:rFonts w:ascii="Calibri" w:hAnsi="Calibri"/>
          <w:b/>
          <w:color w:val="2E74B5"/>
          <w:sz w:val="26"/>
        </w:rPr>
        <w:t>Solutions menu</w:t>
      </w:r>
    </w:p>
    <w:tbl>
      <w:tblPr>
        <w:tblStyle w:val="TableGrid"/>
        <w:tblW w:type="dxa" w:w="9360"/>
        <w:tblLayout w:type="fixed"/>
        <w:tblLook w:firstColumn="1" w:firstRow="1" w:lastColumn="0" w:lastRow="0" w:noHBand="0" w:noVBand="1" w:val="04A0"/>
        <w:jc w:val="left"/>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2300"/>
        <w:gridCol w:w="7060"/>
      </w:tblGrid>
      <w:tr>
        <w:trPr>
          <w:tblHeader w:val="true"/>
          <w:cantSplit/>
        </w:trPr>
        <w:tc>
          <w:tcPr>
            <w:tcW w:type="dxa" w:w="2300"/>
            <w:tcMar>
              <w:top w:w="80" w:type="dxa"/>
              <w:start w:w="120" w:type="dxa"/>
              <w:bottom w:w="80" w:type="dxa"/>
              <w:end w:w="120" w:type="dxa"/>
            </w:tcMar>
            <w:vAlign w:val="center"/>
            <w:shd w:fill="E8EEF5"/>
          </w:tcPr>
          <w:p>
            <w:pPr>
              <w:spacing w:before="0" w:after="0" w:line="264" w:lineRule="auto"/>
            </w:pPr>
            <w:r>
              <w:rPr>
                <w:rFonts w:ascii="Calibri" w:hAnsi="Calibri"/>
                <w:b/>
                <w:color w:val="162236"/>
                <w:sz w:val="18"/>
              </w:rPr>
              <w:t>Group</w:t>
            </w:r>
          </w:p>
        </w:tc>
        <w:tc>
          <w:tcPr>
            <w:tcW w:type="dxa" w:w="7060"/>
            <w:tcMar>
              <w:top w:w="80" w:type="dxa"/>
              <w:start w:w="120" w:type="dxa"/>
              <w:bottom w:w="80" w:type="dxa"/>
              <w:end w:w="120" w:type="dxa"/>
            </w:tcMar>
            <w:vAlign w:val="center"/>
            <w:shd w:fill="E8EEF5"/>
          </w:tcPr>
          <w:p>
            <w:pPr>
              <w:spacing w:before="0" w:after="0" w:line="264" w:lineRule="auto"/>
            </w:pPr>
            <w:r>
              <w:rPr>
                <w:rFonts w:ascii="Calibri" w:hAnsi="Calibri"/>
                <w:b/>
                <w:color w:val="162236"/>
                <w:sz w:val="18"/>
              </w:rPr>
              <w:t>Pages</w:t>
            </w:r>
          </w:p>
        </w:tc>
      </w:tr>
      <w:tr>
        <w:trPr>
          <w:cantSplit/>
        </w:trPr>
        <w:tc>
          <w:tcPr>
            <w:tcW w:type="dxa" w:w="2300"/>
            <w:vAlign w:val="center"/>
            <w:tcMar>
              <w:top w:w="80" w:type="dxa"/>
              <w:start w:w="120" w:type="dxa"/>
              <w:bottom w:w="80" w:type="dxa"/>
              <w:end w:w="120" w:type="dxa"/>
            </w:tcMar>
          </w:tcPr>
          <w:p>
            <w:pPr>
              <w:spacing w:before="0" w:after="0" w:line="271" w:lineRule="auto"/>
            </w:pPr>
            <w:r>
              <w:rPr>
                <w:rFonts w:ascii="Calibri" w:hAnsi="Calibri"/>
                <w:color w:val="162236"/>
                <w:sz w:val="18"/>
              </w:rPr>
              <w:t>Implant workflows</w:t>
            </w:r>
          </w:p>
        </w:tc>
        <w:tc>
          <w:tcPr>
            <w:tcW w:type="dxa" w:w="7060"/>
            <w:vAlign w:val="center"/>
            <w:tcMar>
              <w:top w:w="80" w:type="dxa"/>
              <w:start w:w="120" w:type="dxa"/>
              <w:bottom w:w="80" w:type="dxa"/>
              <w:end w:w="120" w:type="dxa"/>
            </w:tcMar>
          </w:tcPr>
          <w:p>
            <w:pPr>
              <w:spacing w:before="0" w:after="0" w:line="271" w:lineRule="auto"/>
            </w:pPr>
            <w:r>
              <w:rPr>
                <w:rFonts w:ascii="Calibri" w:hAnsi="Calibri"/>
                <w:color w:val="162236"/>
                <w:sz w:val="18"/>
              </w:rPr>
              <w:t>Guided Implant Workflow · Full-Arch Stackable Workflow · Zygoma &amp; Pterygoid Planning Workflow · Immediate-Loading Prosthetic Workflow</w:t>
            </w:r>
          </w:p>
        </w:tc>
      </w:tr>
      <w:tr>
        <w:trPr>
          <w:cantSplit/>
        </w:trPr>
        <w:tc>
          <w:tcPr>
            <w:tcW w:type="dxa" w:w="2300"/>
            <w:vAlign w:val="center"/>
            <w:tcMar>
              <w:top w:w="80" w:type="dxa"/>
              <w:start w:w="120" w:type="dxa"/>
              <w:bottom w:w="80" w:type="dxa"/>
              <w:end w:w="120" w:type="dxa"/>
            </w:tcMar>
          </w:tcPr>
          <w:p>
            <w:pPr>
              <w:spacing w:before="0" w:after="0" w:line="271" w:lineRule="auto"/>
            </w:pPr>
            <w:r>
              <w:rPr>
                <w:rFonts w:ascii="Calibri" w:hAnsi="Calibri"/>
                <w:color w:val="162236"/>
                <w:sz w:val="18"/>
              </w:rPr>
              <w:t>Ways to work with us</w:t>
            </w:r>
          </w:p>
        </w:tc>
        <w:tc>
          <w:tcPr>
            <w:tcW w:type="dxa" w:w="7060"/>
            <w:vAlign w:val="center"/>
            <w:tcMar>
              <w:top w:w="80" w:type="dxa"/>
              <w:start w:w="120" w:type="dxa"/>
              <w:bottom w:w="80" w:type="dxa"/>
              <w:end w:w="120" w:type="dxa"/>
            </w:tcMar>
          </w:tcPr>
          <w:p>
            <w:pPr>
              <w:spacing w:before="0" w:after="0" w:line="271" w:lineRule="auto"/>
            </w:pPr>
            <w:r>
              <w:rPr>
                <w:rFonts w:ascii="Calibri" w:hAnsi="Calibri"/>
                <w:color w:val="162236"/>
                <w:sz w:val="18"/>
              </w:rPr>
              <w:t>Case Data &amp; Diagnostic Preparation · Design-Only Workflow · Design-to-Delivery Workflow · White-Label Workflow Partnership</w:t>
            </w:r>
          </w:p>
        </w:tc>
      </w:tr>
      <w:tr>
        <w:trPr>
          <w:cantSplit/>
        </w:trPr>
        <w:tc>
          <w:tcPr>
            <w:tcW w:type="dxa" w:w="2300"/>
            <w:vAlign w:val="center"/>
            <w:tcMar>
              <w:top w:w="80" w:type="dxa"/>
              <w:start w:w="120" w:type="dxa"/>
              <w:bottom w:w="80" w:type="dxa"/>
              <w:end w:w="120" w:type="dxa"/>
            </w:tcMar>
          </w:tcPr>
          <w:p>
            <w:pPr>
              <w:spacing w:before="0" w:after="0" w:line="271" w:lineRule="auto"/>
            </w:pPr>
            <w:r>
              <w:rPr>
                <w:rFonts w:ascii="Calibri" w:hAnsi="Calibri"/>
                <w:color w:val="162236"/>
                <w:sz w:val="18"/>
              </w:rPr>
              <w:t>Additional capability</w:t>
            </w:r>
          </w:p>
        </w:tc>
        <w:tc>
          <w:tcPr>
            <w:tcW w:type="dxa" w:w="7060"/>
            <w:vAlign w:val="center"/>
            <w:tcMar>
              <w:top w:w="80" w:type="dxa"/>
              <w:start w:w="120" w:type="dxa"/>
              <w:bottom w:w="80" w:type="dxa"/>
              <w:end w:w="120" w:type="dxa"/>
            </w:tcMar>
          </w:tcPr>
          <w:p>
            <w:pPr>
              <w:spacing w:before="0" w:after="0" w:line="271" w:lineRule="auto"/>
            </w:pPr>
            <w:r>
              <w:rPr>
                <w:rFonts w:ascii="Calibri" w:hAnsi="Calibri"/>
                <w:color w:val="162236"/>
                <w:sz w:val="18"/>
              </w:rPr>
              <w:t>Expanded Digital Dentistry Solutions</w:t>
            </w:r>
          </w:p>
        </w:tc>
      </w:tr>
    </w:tbl>
    <w:p>
      <w:pPr>
        <w:spacing w:after="60"/>
      </w:pPr>
    </w:p>
    <w:p>
      <w:pPr>
        <w:pStyle w:val="Heading2"/>
        <w:spacing w:before="280" w:after="140" w:line="252" w:lineRule="auto"/>
        <w:keepNext w:val="1"/>
        <w:pageBreakBefore w:val="0"/>
      </w:pPr>
      <w:r>
        <w:rPr>
          <w:rFonts w:ascii="Calibri" w:hAnsi="Calibri"/>
          <w:b/>
          <w:color w:val="2E74B5"/>
          <w:sz w:val="26"/>
        </w:rPr>
        <w:t>Recommended URL inventory</w:t>
      </w:r>
    </w:p>
    <w:tbl>
      <w:tblPr>
        <w:tblStyle w:val="TableGrid"/>
        <w:tblW w:type="dxa" w:w="9360"/>
        <w:tblLayout w:type="fixed"/>
        <w:tblLook w:firstColumn="1" w:firstRow="1" w:lastColumn="0" w:lastRow="0" w:noHBand="0" w:noVBand="1" w:val="04A0"/>
        <w:jc w:val="left"/>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2900"/>
        <w:gridCol w:w="2400"/>
        <w:gridCol w:w="1100"/>
        <w:gridCol w:w="2960"/>
      </w:tblGrid>
      <w:tr>
        <w:trPr>
          <w:tblHeader w:val="true"/>
          <w:cantSplit/>
        </w:trPr>
        <w:tc>
          <w:tcPr>
            <w:tcW w:type="dxa" w:w="2900"/>
            <w:tcMar>
              <w:top w:w="80" w:type="dxa"/>
              <w:start w:w="120" w:type="dxa"/>
              <w:bottom w:w="80" w:type="dxa"/>
              <w:end w:w="120" w:type="dxa"/>
            </w:tcMar>
            <w:vAlign w:val="center"/>
            <w:shd w:fill="E8EEF5"/>
          </w:tcPr>
          <w:p>
            <w:pPr>
              <w:spacing w:before="0" w:after="0" w:line="264" w:lineRule="auto"/>
            </w:pPr>
            <w:r>
              <w:rPr>
                <w:rFonts w:ascii="Calibri" w:hAnsi="Calibri"/>
                <w:b/>
                <w:color w:val="162236"/>
                <w:sz w:val="16"/>
              </w:rPr>
              <w:t>Route</w:t>
            </w:r>
          </w:p>
        </w:tc>
        <w:tc>
          <w:tcPr>
            <w:tcW w:type="dxa" w:w="2400"/>
            <w:tcMar>
              <w:top w:w="80" w:type="dxa"/>
              <w:start w:w="120" w:type="dxa"/>
              <w:bottom w:w="80" w:type="dxa"/>
              <w:end w:w="120" w:type="dxa"/>
            </w:tcMar>
            <w:vAlign w:val="center"/>
            <w:shd w:fill="E8EEF5"/>
          </w:tcPr>
          <w:p>
            <w:pPr>
              <w:spacing w:before="0" w:after="0" w:line="264" w:lineRule="auto"/>
            </w:pPr>
            <w:r>
              <w:rPr>
                <w:rFonts w:ascii="Calibri" w:hAnsi="Calibri"/>
                <w:b/>
                <w:color w:val="162236"/>
                <w:sz w:val="16"/>
              </w:rPr>
              <w:t>Page</w:t>
            </w:r>
          </w:p>
        </w:tc>
        <w:tc>
          <w:tcPr>
            <w:tcW w:type="dxa" w:w="1100"/>
            <w:tcMar>
              <w:top w:w="80" w:type="dxa"/>
              <w:start w:w="120" w:type="dxa"/>
              <w:bottom w:w="80" w:type="dxa"/>
              <w:end w:w="120" w:type="dxa"/>
            </w:tcMar>
            <w:vAlign w:val="center"/>
            <w:shd w:fill="E8EEF5"/>
          </w:tcPr>
          <w:p>
            <w:pPr>
              <w:spacing w:before="0" w:after="0" w:line="264" w:lineRule="auto"/>
            </w:pPr>
            <w:r>
              <w:rPr>
                <w:rFonts w:ascii="Calibri" w:hAnsi="Calibri"/>
                <w:b/>
                <w:color w:val="162236"/>
                <w:sz w:val="16"/>
              </w:rPr>
              <w:t>SEO</w:t>
            </w:r>
          </w:p>
        </w:tc>
        <w:tc>
          <w:tcPr>
            <w:tcW w:type="dxa" w:w="2960"/>
            <w:tcMar>
              <w:top w:w="80" w:type="dxa"/>
              <w:start w:w="120" w:type="dxa"/>
              <w:bottom w:w="80" w:type="dxa"/>
              <w:end w:w="120" w:type="dxa"/>
            </w:tcMar>
            <w:vAlign w:val="center"/>
            <w:shd w:fill="E8EEF5"/>
          </w:tcPr>
          <w:p>
            <w:pPr>
              <w:spacing w:before="0" w:after="0" w:line="264" w:lineRule="auto"/>
            </w:pPr>
            <w:r>
              <w:rPr>
                <w:rFonts w:ascii="Calibri" w:hAnsi="Calibri"/>
                <w:b/>
                <w:color w:val="162236"/>
                <w:sz w:val="16"/>
              </w:rPr>
              <w:t>Job</w:t>
            </w:r>
          </w:p>
        </w:tc>
      </w:tr>
      <w:tr>
        <w:trPr>
          <w:cantSplit/>
        </w:trPr>
        <w:tc>
          <w:tcPr>
            <w:tcW w:type="dxa" w:w="2900"/>
            <w:vAlign w:val="center"/>
            <w:tcMar>
              <w:top w:w="80" w:type="dxa"/>
              <w:start w:w="120" w:type="dxa"/>
              <w:bottom w:w="80" w:type="dxa"/>
              <w:end w:w="120" w:type="dxa"/>
            </w:tcMar>
          </w:tcPr>
          <w:p>
            <w:pPr>
              <w:spacing w:before="0" w:after="0" w:line="271" w:lineRule="auto"/>
            </w:pPr>
            <w:r>
              <w:rPr>
                <w:rFonts w:ascii="Calibri" w:hAnsi="Calibri"/>
                <w:color w:val="162236"/>
                <w:sz w:val="16"/>
              </w:rPr>
              <w:t>/</w:t>
            </w:r>
          </w:p>
        </w:tc>
        <w:tc>
          <w:tcPr>
            <w:tcW w:type="dxa" w:w="2400"/>
            <w:vAlign w:val="center"/>
            <w:tcMar>
              <w:top w:w="80" w:type="dxa"/>
              <w:start w:w="120" w:type="dxa"/>
              <w:bottom w:w="80" w:type="dxa"/>
              <w:end w:w="120" w:type="dxa"/>
            </w:tcMar>
          </w:tcPr>
          <w:p>
            <w:pPr>
              <w:spacing w:before="0" w:after="0" w:line="271" w:lineRule="auto"/>
            </w:pPr>
            <w:r>
              <w:rPr>
                <w:rFonts w:ascii="Calibri" w:hAnsi="Calibri"/>
                <w:color w:val="162236"/>
                <w:sz w:val="16"/>
              </w:rPr>
              <w:t>Home</w:t>
            </w:r>
          </w:p>
        </w:tc>
        <w:tc>
          <w:tcPr>
            <w:tcW w:type="dxa" w:w="1100"/>
            <w:vAlign w:val="center"/>
            <w:tcMar>
              <w:top w:w="80" w:type="dxa"/>
              <w:start w:w="120" w:type="dxa"/>
              <w:bottom w:w="80" w:type="dxa"/>
              <w:end w:w="120" w:type="dxa"/>
            </w:tcMar>
          </w:tcPr>
          <w:p>
            <w:pPr>
              <w:spacing w:before="0" w:after="0" w:line="271" w:lineRule="auto"/>
            </w:pPr>
            <w:r>
              <w:rPr>
                <w:rFonts w:ascii="Calibri" w:hAnsi="Calibri"/>
                <w:color w:val="162236"/>
                <w:sz w:val="16"/>
              </w:rPr>
              <w:t>Index</w:t>
            </w:r>
          </w:p>
        </w:tc>
        <w:tc>
          <w:tcPr>
            <w:tcW w:type="dxa" w:w="2960"/>
            <w:vAlign w:val="center"/>
            <w:tcMar>
              <w:top w:w="80" w:type="dxa"/>
              <w:start w:w="120" w:type="dxa"/>
              <w:bottom w:w="80" w:type="dxa"/>
              <w:end w:w="120" w:type="dxa"/>
            </w:tcMar>
          </w:tcPr>
          <w:p>
            <w:pPr>
              <w:spacing w:before="0" w:after="0" w:line="271" w:lineRule="auto"/>
            </w:pPr>
            <w:r>
              <w:rPr>
                <w:rFonts w:ascii="Calibri" w:hAnsi="Calibri"/>
                <w:color w:val="162236"/>
                <w:sz w:val="16"/>
              </w:rPr>
              <w:t>Brand and commercial gateway</w:t>
            </w:r>
          </w:p>
        </w:tc>
      </w:tr>
      <w:tr>
        <w:trPr>
          <w:cantSplit/>
        </w:trPr>
        <w:tc>
          <w:tcPr>
            <w:tcW w:type="dxa" w:w="2900"/>
            <w:vAlign w:val="center"/>
            <w:tcMar>
              <w:top w:w="80" w:type="dxa"/>
              <w:start w:w="120" w:type="dxa"/>
              <w:bottom w:w="80" w:type="dxa"/>
              <w:end w:w="120" w:type="dxa"/>
            </w:tcMar>
          </w:tcPr>
          <w:p>
            <w:pPr>
              <w:spacing w:before="0" w:after="0" w:line="271" w:lineRule="auto"/>
            </w:pPr>
            <w:r>
              <w:rPr>
                <w:rFonts w:ascii="Calibri" w:hAnsi="Calibri"/>
                <w:color w:val="162236"/>
                <w:sz w:val="16"/>
              </w:rPr>
              <w:t>/digital-implant-workflows/</w:t>
            </w:r>
          </w:p>
        </w:tc>
        <w:tc>
          <w:tcPr>
            <w:tcW w:type="dxa" w:w="2400"/>
            <w:vAlign w:val="center"/>
            <w:tcMar>
              <w:top w:w="80" w:type="dxa"/>
              <w:start w:w="120" w:type="dxa"/>
              <w:bottom w:w="80" w:type="dxa"/>
              <w:end w:w="120" w:type="dxa"/>
            </w:tcMar>
          </w:tcPr>
          <w:p>
            <w:pPr>
              <w:spacing w:before="0" w:after="0" w:line="271" w:lineRule="auto"/>
            </w:pPr>
            <w:r>
              <w:rPr>
                <w:rFonts w:ascii="Calibri" w:hAnsi="Calibri"/>
                <w:color w:val="162236"/>
                <w:sz w:val="16"/>
              </w:rPr>
              <w:t>Clinical Workflow Solutions</w:t>
            </w:r>
          </w:p>
        </w:tc>
        <w:tc>
          <w:tcPr>
            <w:tcW w:type="dxa" w:w="1100"/>
            <w:vAlign w:val="center"/>
            <w:tcMar>
              <w:top w:w="80" w:type="dxa"/>
              <w:start w:w="120" w:type="dxa"/>
              <w:bottom w:w="80" w:type="dxa"/>
              <w:end w:w="120" w:type="dxa"/>
            </w:tcMar>
          </w:tcPr>
          <w:p>
            <w:pPr>
              <w:spacing w:before="0" w:after="0" w:line="271" w:lineRule="auto"/>
            </w:pPr>
            <w:r>
              <w:rPr>
                <w:rFonts w:ascii="Calibri" w:hAnsi="Calibri"/>
                <w:color w:val="162236"/>
                <w:sz w:val="16"/>
              </w:rPr>
              <w:t>Index</w:t>
            </w:r>
          </w:p>
        </w:tc>
        <w:tc>
          <w:tcPr>
            <w:tcW w:type="dxa" w:w="2960"/>
            <w:vAlign w:val="center"/>
            <w:tcMar>
              <w:top w:w="80" w:type="dxa"/>
              <w:start w:w="120" w:type="dxa"/>
              <w:bottom w:w="80" w:type="dxa"/>
              <w:end w:w="120" w:type="dxa"/>
            </w:tcMar>
          </w:tcPr>
          <w:p>
            <w:pPr>
              <w:spacing w:before="0" w:after="0" w:line="271" w:lineRule="auto"/>
            </w:pPr>
            <w:r>
              <w:rPr>
                <w:rFonts w:ascii="Calibri" w:hAnsi="Calibri"/>
                <w:color w:val="162236"/>
                <w:sz w:val="16"/>
              </w:rPr>
              <w:t>Solution hub</w:t>
            </w:r>
          </w:p>
        </w:tc>
      </w:tr>
      <w:tr>
        <w:trPr>
          <w:cantSplit/>
        </w:trPr>
        <w:tc>
          <w:tcPr>
            <w:tcW w:type="dxa" w:w="2900"/>
            <w:vAlign w:val="center"/>
            <w:tcMar>
              <w:top w:w="80" w:type="dxa"/>
              <w:start w:w="120" w:type="dxa"/>
              <w:bottom w:w="80" w:type="dxa"/>
              <w:end w:w="120" w:type="dxa"/>
            </w:tcMar>
          </w:tcPr>
          <w:p>
            <w:pPr>
              <w:spacing w:before="0" w:after="0" w:line="271" w:lineRule="auto"/>
            </w:pPr>
            <w:r>
              <w:rPr>
                <w:rFonts w:ascii="Calibri" w:hAnsi="Calibri"/>
                <w:color w:val="162236"/>
                <w:sz w:val="16"/>
              </w:rPr>
              <w:t>/guided-implant-workflow/</w:t>
            </w:r>
          </w:p>
        </w:tc>
        <w:tc>
          <w:tcPr>
            <w:tcW w:type="dxa" w:w="2400"/>
            <w:vAlign w:val="center"/>
            <w:tcMar>
              <w:top w:w="80" w:type="dxa"/>
              <w:start w:w="120" w:type="dxa"/>
              <w:bottom w:w="80" w:type="dxa"/>
              <w:end w:w="120" w:type="dxa"/>
            </w:tcMar>
          </w:tcPr>
          <w:p>
            <w:pPr>
              <w:spacing w:before="0" w:after="0" w:line="271" w:lineRule="auto"/>
            </w:pPr>
            <w:r>
              <w:rPr>
                <w:rFonts w:ascii="Calibri" w:hAnsi="Calibri"/>
                <w:color w:val="162236"/>
                <w:sz w:val="16"/>
              </w:rPr>
              <w:t>Guided Implant Workflow</w:t>
            </w:r>
          </w:p>
        </w:tc>
        <w:tc>
          <w:tcPr>
            <w:tcW w:type="dxa" w:w="1100"/>
            <w:vAlign w:val="center"/>
            <w:tcMar>
              <w:top w:w="80" w:type="dxa"/>
              <w:start w:w="120" w:type="dxa"/>
              <w:bottom w:w="80" w:type="dxa"/>
              <w:end w:w="120" w:type="dxa"/>
            </w:tcMar>
          </w:tcPr>
          <w:p>
            <w:pPr>
              <w:spacing w:before="0" w:after="0" w:line="271" w:lineRule="auto"/>
            </w:pPr>
            <w:r>
              <w:rPr>
                <w:rFonts w:ascii="Calibri" w:hAnsi="Calibri"/>
                <w:color w:val="162236"/>
                <w:sz w:val="16"/>
              </w:rPr>
              <w:t>Index</w:t>
            </w:r>
          </w:p>
        </w:tc>
        <w:tc>
          <w:tcPr>
            <w:tcW w:type="dxa" w:w="2960"/>
            <w:vAlign w:val="center"/>
            <w:tcMar>
              <w:top w:w="80" w:type="dxa"/>
              <w:start w:w="120" w:type="dxa"/>
              <w:bottom w:w="80" w:type="dxa"/>
              <w:end w:w="120" w:type="dxa"/>
            </w:tcMar>
          </w:tcPr>
          <w:p>
            <w:pPr>
              <w:spacing w:before="0" w:after="0" w:line="271" w:lineRule="auto"/>
            </w:pPr>
            <w:r>
              <w:rPr>
                <w:rFonts w:ascii="Calibri" w:hAnsi="Calibri"/>
                <w:color w:val="162236"/>
                <w:sz w:val="16"/>
              </w:rPr>
              <w:t>Routine and multiple implant cases</w:t>
            </w:r>
          </w:p>
        </w:tc>
      </w:tr>
      <w:tr>
        <w:trPr>
          <w:cantSplit/>
        </w:trPr>
        <w:tc>
          <w:tcPr>
            <w:tcW w:type="dxa" w:w="2900"/>
            <w:vAlign w:val="center"/>
            <w:tcMar>
              <w:top w:w="80" w:type="dxa"/>
              <w:start w:w="120" w:type="dxa"/>
              <w:bottom w:w="80" w:type="dxa"/>
              <w:end w:w="120" w:type="dxa"/>
            </w:tcMar>
          </w:tcPr>
          <w:p>
            <w:pPr>
              <w:spacing w:before="0" w:after="0" w:line="271" w:lineRule="auto"/>
            </w:pPr>
            <w:r>
              <w:rPr>
                <w:rFonts w:ascii="Calibri" w:hAnsi="Calibri"/>
                <w:color w:val="162236"/>
                <w:sz w:val="16"/>
              </w:rPr>
              <w:t>/full-arch-stackable-workflow/</w:t>
            </w:r>
          </w:p>
        </w:tc>
        <w:tc>
          <w:tcPr>
            <w:tcW w:type="dxa" w:w="2400"/>
            <w:vAlign w:val="center"/>
            <w:tcMar>
              <w:top w:w="80" w:type="dxa"/>
              <w:start w:w="120" w:type="dxa"/>
              <w:bottom w:w="80" w:type="dxa"/>
              <w:end w:w="120" w:type="dxa"/>
            </w:tcMar>
          </w:tcPr>
          <w:p>
            <w:pPr>
              <w:spacing w:before="0" w:after="0" w:line="271" w:lineRule="auto"/>
            </w:pPr>
            <w:r>
              <w:rPr>
                <w:rFonts w:ascii="Calibri" w:hAnsi="Calibri"/>
                <w:color w:val="162236"/>
                <w:sz w:val="16"/>
              </w:rPr>
              <w:t>Full-Arch Stackable Workflow</w:t>
            </w:r>
          </w:p>
        </w:tc>
        <w:tc>
          <w:tcPr>
            <w:tcW w:type="dxa" w:w="1100"/>
            <w:vAlign w:val="center"/>
            <w:tcMar>
              <w:top w:w="80" w:type="dxa"/>
              <w:start w:w="120" w:type="dxa"/>
              <w:bottom w:w="80" w:type="dxa"/>
              <w:end w:w="120" w:type="dxa"/>
            </w:tcMar>
          </w:tcPr>
          <w:p>
            <w:pPr>
              <w:spacing w:before="0" w:after="0" w:line="271" w:lineRule="auto"/>
            </w:pPr>
            <w:r>
              <w:rPr>
                <w:rFonts w:ascii="Calibri" w:hAnsi="Calibri"/>
                <w:color w:val="162236"/>
                <w:sz w:val="16"/>
              </w:rPr>
              <w:t>Index</w:t>
            </w:r>
          </w:p>
        </w:tc>
        <w:tc>
          <w:tcPr>
            <w:tcW w:type="dxa" w:w="2960"/>
            <w:vAlign w:val="center"/>
            <w:tcMar>
              <w:top w:w="80" w:type="dxa"/>
              <w:start w:w="120" w:type="dxa"/>
              <w:bottom w:w="80" w:type="dxa"/>
              <w:end w:w="120" w:type="dxa"/>
            </w:tcMar>
          </w:tcPr>
          <w:p>
            <w:pPr>
              <w:spacing w:before="0" w:after="0" w:line="271" w:lineRule="auto"/>
            </w:pPr>
            <w:r>
              <w:rPr>
                <w:rFonts w:ascii="Calibri" w:hAnsi="Calibri"/>
                <w:color w:val="162236"/>
                <w:sz w:val="16"/>
              </w:rPr>
              <w:t>Full-arch and sequential guides</w:t>
            </w:r>
          </w:p>
        </w:tc>
      </w:tr>
      <w:tr>
        <w:trPr>
          <w:cantSplit/>
        </w:trPr>
        <w:tc>
          <w:tcPr>
            <w:tcW w:type="dxa" w:w="2900"/>
            <w:vAlign w:val="center"/>
            <w:tcMar>
              <w:top w:w="80" w:type="dxa"/>
              <w:start w:w="120" w:type="dxa"/>
              <w:bottom w:w="80" w:type="dxa"/>
              <w:end w:w="120" w:type="dxa"/>
            </w:tcMar>
          </w:tcPr>
          <w:p>
            <w:pPr>
              <w:spacing w:before="0" w:after="0" w:line="271" w:lineRule="auto"/>
            </w:pPr>
            <w:r>
              <w:rPr>
                <w:rFonts w:ascii="Calibri" w:hAnsi="Calibri"/>
                <w:color w:val="162236"/>
                <w:sz w:val="16"/>
              </w:rPr>
              <w:t>/zygoma-pterygoid-planning/</w:t>
            </w:r>
          </w:p>
        </w:tc>
        <w:tc>
          <w:tcPr>
            <w:tcW w:type="dxa" w:w="2400"/>
            <w:vAlign w:val="center"/>
            <w:tcMar>
              <w:top w:w="80" w:type="dxa"/>
              <w:start w:w="120" w:type="dxa"/>
              <w:bottom w:w="80" w:type="dxa"/>
              <w:end w:w="120" w:type="dxa"/>
            </w:tcMar>
          </w:tcPr>
          <w:p>
            <w:pPr>
              <w:spacing w:before="0" w:after="0" w:line="271" w:lineRule="auto"/>
            </w:pPr>
            <w:r>
              <w:rPr>
                <w:rFonts w:ascii="Calibri" w:hAnsi="Calibri"/>
                <w:color w:val="162236"/>
                <w:sz w:val="16"/>
              </w:rPr>
              <w:t>Zygoma &amp; Pterygoid Planning</w:t>
            </w:r>
          </w:p>
        </w:tc>
        <w:tc>
          <w:tcPr>
            <w:tcW w:type="dxa" w:w="1100"/>
            <w:vAlign w:val="center"/>
            <w:tcMar>
              <w:top w:w="80" w:type="dxa"/>
              <w:start w:w="120" w:type="dxa"/>
              <w:bottom w:w="80" w:type="dxa"/>
              <w:end w:w="120" w:type="dxa"/>
            </w:tcMar>
          </w:tcPr>
          <w:p>
            <w:pPr>
              <w:spacing w:before="0" w:after="0" w:line="271" w:lineRule="auto"/>
            </w:pPr>
            <w:r>
              <w:rPr>
                <w:rFonts w:ascii="Calibri" w:hAnsi="Calibri"/>
                <w:color w:val="162236"/>
                <w:sz w:val="16"/>
              </w:rPr>
              <w:t>Index</w:t>
            </w:r>
          </w:p>
        </w:tc>
        <w:tc>
          <w:tcPr>
            <w:tcW w:type="dxa" w:w="2960"/>
            <w:vAlign w:val="center"/>
            <w:tcMar>
              <w:top w:w="80" w:type="dxa"/>
              <w:start w:w="120" w:type="dxa"/>
              <w:bottom w:w="80" w:type="dxa"/>
              <w:end w:w="120" w:type="dxa"/>
            </w:tcMar>
          </w:tcPr>
          <w:p>
            <w:pPr>
              <w:spacing w:before="0" w:after="0" w:line="271" w:lineRule="auto"/>
            </w:pPr>
            <w:r>
              <w:rPr>
                <w:rFonts w:ascii="Calibri" w:hAnsi="Calibri"/>
                <w:color w:val="162236"/>
                <w:sz w:val="16"/>
              </w:rPr>
              <w:t>Advanced anchorage cases</w:t>
            </w:r>
          </w:p>
        </w:tc>
      </w:tr>
      <w:tr>
        <w:trPr>
          <w:cantSplit/>
        </w:trPr>
        <w:tc>
          <w:tcPr>
            <w:tcW w:type="dxa" w:w="2900"/>
            <w:vAlign w:val="center"/>
            <w:tcMar>
              <w:top w:w="80" w:type="dxa"/>
              <w:start w:w="120" w:type="dxa"/>
              <w:bottom w:w="80" w:type="dxa"/>
              <w:end w:w="120" w:type="dxa"/>
            </w:tcMar>
          </w:tcPr>
          <w:p>
            <w:pPr>
              <w:spacing w:before="0" w:after="0" w:line="271" w:lineRule="auto"/>
            </w:pPr>
            <w:r>
              <w:rPr>
                <w:rFonts w:ascii="Calibri" w:hAnsi="Calibri"/>
                <w:color w:val="162236"/>
                <w:sz w:val="16"/>
              </w:rPr>
              <w:t>/immediate-loading-workflow/</w:t>
            </w:r>
          </w:p>
        </w:tc>
        <w:tc>
          <w:tcPr>
            <w:tcW w:type="dxa" w:w="2400"/>
            <w:vAlign w:val="center"/>
            <w:tcMar>
              <w:top w:w="80" w:type="dxa"/>
              <w:start w:w="120" w:type="dxa"/>
              <w:bottom w:w="80" w:type="dxa"/>
              <w:end w:w="120" w:type="dxa"/>
            </w:tcMar>
          </w:tcPr>
          <w:p>
            <w:pPr>
              <w:spacing w:before="0" w:after="0" w:line="271" w:lineRule="auto"/>
            </w:pPr>
            <w:r>
              <w:rPr>
                <w:rFonts w:ascii="Calibri" w:hAnsi="Calibri"/>
                <w:color w:val="162236"/>
                <w:sz w:val="16"/>
              </w:rPr>
              <w:t>Immediate-Loading Prosthetic Workflow</w:t>
            </w:r>
          </w:p>
        </w:tc>
        <w:tc>
          <w:tcPr>
            <w:tcW w:type="dxa" w:w="1100"/>
            <w:vAlign w:val="center"/>
            <w:tcMar>
              <w:top w:w="80" w:type="dxa"/>
              <w:start w:w="120" w:type="dxa"/>
              <w:bottom w:w="80" w:type="dxa"/>
              <w:end w:w="120" w:type="dxa"/>
            </w:tcMar>
          </w:tcPr>
          <w:p>
            <w:pPr>
              <w:spacing w:before="0" w:after="0" w:line="271" w:lineRule="auto"/>
            </w:pPr>
            <w:r>
              <w:rPr>
                <w:rFonts w:ascii="Calibri" w:hAnsi="Calibri"/>
                <w:color w:val="162236"/>
                <w:sz w:val="16"/>
              </w:rPr>
              <w:t>Index</w:t>
            </w:r>
          </w:p>
        </w:tc>
        <w:tc>
          <w:tcPr>
            <w:tcW w:type="dxa" w:w="2960"/>
            <w:vAlign w:val="center"/>
            <w:tcMar>
              <w:top w:w="80" w:type="dxa"/>
              <w:start w:w="120" w:type="dxa"/>
              <w:bottom w:w="80" w:type="dxa"/>
              <w:end w:w="120" w:type="dxa"/>
            </w:tcMar>
          </w:tcPr>
          <w:p>
            <w:pPr>
              <w:spacing w:before="0" w:after="0" w:line="271" w:lineRule="auto"/>
            </w:pPr>
            <w:r>
              <w:rPr>
                <w:rFonts w:ascii="Calibri" w:hAnsi="Calibri"/>
                <w:color w:val="162236"/>
                <w:sz w:val="16"/>
              </w:rPr>
              <w:t>Immediate provisional coordination</w:t>
            </w:r>
          </w:p>
        </w:tc>
      </w:tr>
      <w:tr>
        <w:trPr>
          <w:cantSplit/>
        </w:trPr>
        <w:tc>
          <w:tcPr>
            <w:tcW w:type="dxa" w:w="2900"/>
            <w:vAlign w:val="center"/>
            <w:tcMar>
              <w:top w:w="80" w:type="dxa"/>
              <w:start w:w="120" w:type="dxa"/>
              <w:bottom w:w="80" w:type="dxa"/>
              <w:end w:w="120" w:type="dxa"/>
            </w:tcMar>
          </w:tcPr>
          <w:p>
            <w:pPr>
              <w:spacing w:before="0" w:after="0" w:line="271" w:lineRule="auto"/>
            </w:pPr>
            <w:r>
              <w:rPr>
                <w:rFonts w:ascii="Calibri" w:hAnsi="Calibri"/>
                <w:color w:val="162236"/>
                <w:sz w:val="16"/>
              </w:rPr>
              <w:t>/case-data-preparation/</w:t>
            </w:r>
          </w:p>
        </w:tc>
        <w:tc>
          <w:tcPr>
            <w:tcW w:type="dxa" w:w="2400"/>
            <w:vAlign w:val="center"/>
            <w:tcMar>
              <w:top w:w="80" w:type="dxa"/>
              <w:start w:w="120" w:type="dxa"/>
              <w:bottom w:w="80" w:type="dxa"/>
              <w:end w:w="120" w:type="dxa"/>
            </w:tcMar>
          </w:tcPr>
          <w:p>
            <w:pPr>
              <w:spacing w:before="0" w:after="0" w:line="271" w:lineRule="auto"/>
            </w:pPr>
            <w:r>
              <w:rPr>
                <w:rFonts w:ascii="Calibri" w:hAnsi="Calibri"/>
                <w:color w:val="162236"/>
                <w:sz w:val="16"/>
              </w:rPr>
              <w:t>Case Data &amp; Diagnostic Preparation</w:t>
            </w:r>
          </w:p>
        </w:tc>
        <w:tc>
          <w:tcPr>
            <w:tcW w:type="dxa" w:w="1100"/>
            <w:vAlign w:val="center"/>
            <w:tcMar>
              <w:top w:w="80" w:type="dxa"/>
              <w:start w:w="120" w:type="dxa"/>
              <w:bottom w:w="80" w:type="dxa"/>
              <w:end w:w="120" w:type="dxa"/>
            </w:tcMar>
          </w:tcPr>
          <w:p>
            <w:pPr>
              <w:spacing w:before="0" w:after="0" w:line="271" w:lineRule="auto"/>
            </w:pPr>
            <w:r>
              <w:rPr>
                <w:rFonts w:ascii="Calibri" w:hAnsi="Calibri"/>
                <w:color w:val="162236"/>
                <w:sz w:val="16"/>
              </w:rPr>
              <w:t>Index</w:t>
            </w:r>
          </w:p>
        </w:tc>
        <w:tc>
          <w:tcPr>
            <w:tcW w:type="dxa" w:w="2960"/>
            <w:vAlign w:val="center"/>
            <w:tcMar>
              <w:top w:w="80" w:type="dxa"/>
              <w:start w:w="120" w:type="dxa"/>
              <w:bottom w:w="80" w:type="dxa"/>
              <w:end w:w="120" w:type="dxa"/>
            </w:tcMar>
          </w:tcPr>
          <w:p>
            <w:pPr>
              <w:spacing w:before="0" w:after="0" w:line="271" w:lineRule="auto"/>
            </w:pPr>
            <w:r>
              <w:rPr>
                <w:rFonts w:ascii="Calibri" w:hAnsi="Calibri"/>
                <w:color w:val="162236"/>
                <w:sz w:val="16"/>
              </w:rPr>
              <w:t>DICOM/STL, segmentation and reports</w:t>
            </w:r>
          </w:p>
        </w:tc>
      </w:tr>
      <w:tr>
        <w:trPr>
          <w:cantSplit/>
        </w:trPr>
        <w:tc>
          <w:tcPr>
            <w:tcW w:type="dxa" w:w="2900"/>
            <w:vAlign w:val="center"/>
            <w:tcMar>
              <w:top w:w="80" w:type="dxa"/>
              <w:start w:w="120" w:type="dxa"/>
              <w:bottom w:w="80" w:type="dxa"/>
              <w:end w:w="120" w:type="dxa"/>
            </w:tcMar>
          </w:tcPr>
          <w:p>
            <w:pPr>
              <w:spacing w:before="0" w:after="0" w:line="271" w:lineRule="auto"/>
            </w:pPr>
            <w:r>
              <w:rPr>
                <w:rFonts w:ascii="Calibri" w:hAnsi="Calibri"/>
                <w:color w:val="162236"/>
                <w:sz w:val="16"/>
              </w:rPr>
              <w:t>/design-only-workflow/</w:t>
            </w:r>
          </w:p>
        </w:tc>
        <w:tc>
          <w:tcPr>
            <w:tcW w:type="dxa" w:w="2400"/>
            <w:vAlign w:val="center"/>
            <w:tcMar>
              <w:top w:w="80" w:type="dxa"/>
              <w:start w:w="120" w:type="dxa"/>
              <w:bottom w:w="80" w:type="dxa"/>
              <w:end w:w="120" w:type="dxa"/>
            </w:tcMar>
          </w:tcPr>
          <w:p>
            <w:pPr>
              <w:spacing w:before="0" w:after="0" w:line="271" w:lineRule="auto"/>
            </w:pPr>
            <w:r>
              <w:rPr>
                <w:rFonts w:ascii="Calibri" w:hAnsi="Calibri"/>
                <w:color w:val="162236"/>
                <w:sz w:val="16"/>
              </w:rPr>
              <w:t>Design-Only Workflow</w:t>
            </w:r>
          </w:p>
        </w:tc>
        <w:tc>
          <w:tcPr>
            <w:tcW w:type="dxa" w:w="1100"/>
            <w:vAlign w:val="center"/>
            <w:tcMar>
              <w:top w:w="80" w:type="dxa"/>
              <w:start w:w="120" w:type="dxa"/>
              <w:bottom w:w="80" w:type="dxa"/>
              <w:end w:w="120" w:type="dxa"/>
            </w:tcMar>
          </w:tcPr>
          <w:p>
            <w:pPr>
              <w:spacing w:before="0" w:after="0" w:line="271" w:lineRule="auto"/>
            </w:pPr>
            <w:r>
              <w:rPr>
                <w:rFonts w:ascii="Calibri" w:hAnsi="Calibri"/>
                <w:color w:val="162236"/>
                <w:sz w:val="16"/>
              </w:rPr>
              <w:t>Index</w:t>
            </w:r>
          </w:p>
        </w:tc>
        <w:tc>
          <w:tcPr>
            <w:tcW w:type="dxa" w:w="2960"/>
            <w:vAlign w:val="center"/>
            <w:tcMar>
              <w:top w:w="80" w:type="dxa"/>
              <w:start w:w="120" w:type="dxa"/>
              <w:bottom w:w="80" w:type="dxa"/>
              <w:end w:w="120" w:type="dxa"/>
            </w:tcMar>
          </w:tcPr>
          <w:p>
            <w:pPr>
              <w:spacing w:before="0" w:after="0" w:line="271" w:lineRule="auto"/>
            </w:pPr>
            <w:r>
              <w:rPr>
                <w:rFonts w:ascii="Calibri" w:hAnsi="Calibri"/>
                <w:color w:val="162236"/>
                <w:sz w:val="16"/>
              </w:rPr>
              <w:t>Ready-to-print files</w:t>
            </w:r>
          </w:p>
        </w:tc>
      </w:tr>
      <w:tr>
        <w:trPr>
          <w:cantSplit/>
        </w:trPr>
        <w:tc>
          <w:tcPr>
            <w:tcW w:type="dxa" w:w="2900"/>
            <w:vAlign w:val="center"/>
            <w:tcMar>
              <w:top w:w="80" w:type="dxa"/>
              <w:start w:w="120" w:type="dxa"/>
              <w:bottom w:w="80" w:type="dxa"/>
              <w:end w:w="120" w:type="dxa"/>
            </w:tcMar>
          </w:tcPr>
          <w:p>
            <w:pPr>
              <w:spacing w:before="0" w:after="0" w:line="271" w:lineRule="auto"/>
            </w:pPr>
            <w:r>
              <w:rPr>
                <w:rFonts w:ascii="Calibri" w:hAnsi="Calibri"/>
                <w:color w:val="162236"/>
                <w:sz w:val="16"/>
              </w:rPr>
              <w:t>/design-to-delivery/</w:t>
            </w:r>
          </w:p>
        </w:tc>
        <w:tc>
          <w:tcPr>
            <w:tcW w:type="dxa" w:w="2400"/>
            <w:vAlign w:val="center"/>
            <w:tcMar>
              <w:top w:w="80" w:type="dxa"/>
              <w:start w:w="120" w:type="dxa"/>
              <w:bottom w:w="80" w:type="dxa"/>
              <w:end w:w="120" w:type="dxa"/>
            </w:tcMar>
          </w:tcPr>
          <w:p>
            <w:pPr>
              <w:spacing w:before="0" w:after="0" w:line="271" w:lineRule="auto"/>
            </w:pPr>
            <w:r>
              <w:rPr>
                <w:rFonts w:ascii="Calibri" w:hAnsi="Calibri"/>
                <w:color w:val="162236"/>
                <w:sz w:val="16"/>
              </w:rPr>
              <w:t>Design-to-Delivery Workflow</w:t>
            </w:r>
          </w:p>
        </w:tc>
        <w:tc>
          <w:tcPr>
            <w:tcW w:type="dxa" w:w="1100"/>
            <w:vAlign w:val="center"/>
            <w:tcMar>
              <w:top w:w="80" w:type="dxa"/>
              <w:start w:w="120" w:type="dxa"/>
              <w:bottom w:w="80" w:type="dxa"/>
              <w:end w:w="120" w:type="dxa"/>
            </w:tcMar>
          </w:tcPr>
          <w:p>
            <w:pPr>
              <w:spacing w:before="0" w:after="0" w:line="271" w:lineRule="auto"/>
            </w:pPr>
            <w:r>
              <w:rPr>
                <w:rFonts w:ascii="Calibri" w:hAnsi="Calibri"/>
                <w:color w:val="162236"/>
                <w:sz w:val="16"/>
              </w:rPr>
              <w:t>Index</w:t>
            </w:r>
          </w:p>
        </w:tc>
        <w:tc>
          <w:tcPr>
            <w:tcW w:type="dxa" w:w="2960"/>
            <w:vAlign w:val="center"/>
            <w:tcMar>
              <w:top w:w="80" w:type="dxa"/>
              <w:start w:w="120" w:type="dxa"/>
              <w:bottom w:w="80" w:type="dxa"/>
              <w:end w:w="120" w:type="dxa"/>
            </w:tcMar>
          </w:tcPr>
          <w:p>
            <w:pPr>
              <w:spacing w:before="0" w:after="0" w:line="271" w:lineRule="auto"/>
            </w:pPr>
            <w:r>
              <w:rPr>
                <w:rFonts w:ascii="Calibri" w:hAnsi="Calibri"/>
                <w:color w:val="162236"/>
                <w:sz w:val="16"/>
              </w:rPr>
              <w:t>Plan, design, production and delivery</w:t>
            </w:r>
          </w:p>
        </w:tc>
      </w:tr>
      <w:tr>
        <w:trPr>
          <w:cantSplit/>
        </w:trPr>
        <w:tc>
          <w:tcPr>
            <w:tcW w:type="dxa" w:w="2900"/>
            <w:vAlign w:val="center"/>
            <w:tcMar>
              <w:top w:w="80" w:type="dxa"/>
              <w:start w:w="120" w:type="dxa"/>
              <w:bottom w:w="80" w:type="dxa"/>
              <w:end w:w="120" w:type="dxa"/>
            </w:tcMar>
          </w:tcPr>
          <w:p>
            <w:pPr>
              <w:spacing w:before="0" w:after="0" w:line="271" w:lineRule="auto"/>
            </w:pPr>
            <w:r>
              <w:rPr>
                <w:rFonts w:ascii="Calibri" w:hAnsi="Calibri"/>
                <w:color w:val="162236"/>
                <w:sz w:val="16"/>
              </w:rPr>
              <w:t>/white-label-workflow-partner/</w:t>
            </w:r>
          </w:p>
        </w:tc>
        <w:tc>
          <w:tcPr>
            <w:tcW w:type="dxa" w:w="2400"/>
            <w:vAlign w:val="center"/>
            <w:tcMar>
              <w:top w:w="80" w:type="dxa"/>
              <w:start w:w="120" w:type="dxa"/>
              <w:bottom w:w="80" w:type="dxa"/>
              <w:end w:w="120" w:type="dxa"/>
            </w:tcMar>
          </w:tcPr>
          <w:p>
            <w:pPr>
              <w:spacing w:before="0" w:after="0" w:line="271" w:lineRule="auto"/>
            </w:pPr>
            <w:r>
              <w:rPr>
                <w:rFonts w:ascii="Calibri" w:hAnsi="Calibri"/>
                <w:color w:val="162236"/>
                <w:sz w:val="16"/>
              </w:rPr>
              <w:t>White-Label Workflow Partnership</w:t>
            </w:r>
          </w:p>
        </w:tc>
        <w:tc>
          <w:tcPr>
            <w:tcW w:type="dxa" w:w="1100"/>
            <w:vAlign w:val="center"/>
            <w:tcMar>
              <w:top w:w="80" w:type="dxa"/>
              <w:start w:w="120" w:type="dxa"/>
              <w:bottom w:w="80" w:type="dxa"/>
              <w:end w:w="120" w:type="dxa"/>
            </w:tcMar>
          </w:tcPr>
          <w:p>
            <w:pPr>
              <w:spacing w:before="0" w:after="0" w:line="271" w:lineRule="auto"/>
            </w:pPr>
            <w:r>
              <w:rPr>
                <w:rFonts w:ascii="Calibri" w:hAnsi="Calibri"/>
                <w:color w:val="162236"/>
                <w:sz w:val="16"/>
              </w:rPr>
              <w:t>Index</w:t>
            </w:r>
          </w:p>
        </w:tc>
        <w:tc>
          <w:tcPr>
            <w:tcW w:type="dxa" w:w="2960"/>
            <w:vAlign w:val="center"/>
            <w:tcMar>
              <w:top w:w="80" w:type="dxa"/>
              <w:start w:w="120" w:type="dxa"/>
              <w:bottom w:w="80" w:type="dxa"/>
              <w:end w:w="120" w:type="dxa"/>
            </w:tcMar>
          </w:tcPr>
          <w:p>
            <w:pPr>
              <w:spacing w:before="0" w:after="0" w:line="271" w:lineRule="auto"/>
            </w:pPr>
            <w:r>
              <w:rPr>
                <w:rFonts w:ascii="Calibri" w:hAnsi="Calibri"/>
                <w:color w:val="162236"/>
                <w:sz w:val="16"/>
              </w:rPr>
              <w:t>Labs, DSOs and international partners</w:t>
            </w:r>
          </w:p>
        </w:tc>
      </w:tr>
      <w:tr>
        <w:trPr>
          <w:cantSplit/>
        </w:trPr>
        <w:tc>
          <w:tcPr>
            <w:tcW w:type="dxa" w:w="2900"/>
            <w:vAlign w:val="center"/>
            <w:tcMar>
              <w:top w:w="80" w:type="dxa"/>
              <w:start w:w="120" w:type="dxa"/>
              <w:bottom w:w="80" w:type="dxa"/>
              <w:end w:w="120" w:type="dxa"/>
            </w:tcMar>
          </w:tcPr>
          <w:p>
            <w:pPr>
              <w:spacing w:before="0" w:after="0" w:line="271" w:lineRule="auto"/>
            </w:pPr>
            <w:r>
              <w:rPr>
                <w:rFonts w:ascii="Calibri" w:hAnsi="Calibri"/>
                <w:color w:val="162236"/>
                <w:sz w:val="16"/>
              </w:rPr>
              <w:t>/digital-dentistry-solutions/</w:t>
            </w:r>
          </w:p>
        </w:tc>
        <w:tc>
          <w:tcPr>
            <w:tcW w:type="dxa" w:w="2400"/>
            <w:vAlign w:val="center"/>
            <w:tcMar>
              <w:top w:w="80" w:type="dxa"/>
              <w:start w:w="120" w:type="dxa"/>
              <w:bottom w:w="80" w:type="dxa"/>
              <w:end w:w="120" w:type="dxa"/>
            </w:tcMar>
          </w:tcPr>
          <w:p>
            <w:pPr>
              <w:spacing w:before="0" w:after="0" w:line="271" w:lineRule="auto"/>
            </w:pPr>
            <w:r>
              <w:rPr>
                <w:rFonts w:ascii="Calibri" w:hAnsi="Calibri"/>
                <w:color w:val="162236"/>
                <w:sz w:val="16"/>
              </w:rPr>
              <w:t>Expanded Digital Dentistry Solutions</w:t>
            </w:r>
          </w:p>
        </w:tc>
        <w:tc>
          <w:tcPr>
            <w:tcW w:type="dxa" w:w="1100"/>
            <w:vAlign w:val="center"/>
            <w:tcMar>
              <w:top w:w="80" w:type="dxa"/>
              <w:start w:w="120" w:type="dxa"/>
              <w:bottom w:w="80" w:type="dxa"/>
              <w:end w:w="120" w:type="dxa"/>
            </w:tcMar>
          </w:tcPr>
          <w:p>
            <w:pPr>
              <w:spacing w:before="0" w:after="0" w:line="271" w:lineRule="auto"/>
            </w:pPr>
            <w:r>
              <w:rPr>
                <w:rFonts w:ascii="Calibri" w:hAnsi="Calibri"/>
                <w:color w:val="162236"/>
                <w:sz w:val="16"/>
              </w:rPr>
              <w:t>Index</w:t>
            </w:r>
          </w:p>
        </w:tc>
        <w:tc>
          <w:tcPr>
            <w:tcW w:type="dxa" w:w="2960"/>
            <w:vAlign w:val="center"/>
            <w:tcMar>
              <w:top w:w="80" w:type="dxa"/>
              <w:start w:w="120" w:type="dxa"/>
              <w:bottom w:w="80" w:type="dxa"/>
              <w:end w:w="120" w:type="dxa"/>
            </w:tcMar>
          </w:tcPr>
          <w:p>
            <w:pPr>
              <w:spacing w:before="0" w:after="0" w:line="271" w:lineRule="auto"/>
            </w:pPr>
            <w:r>
              <w:rPr>
                <w:rFonts w:ascii="Calibri" w:hAnsi="Calibri"/>
                <w:color w:val="162236"/>
                <w:sz w:val="16"/>
              </w:rPr>
              <w:t>Secondary digital services</w:t>
            </w:r>
          </w:p>
        </w:tc>
      </w:tr>
      <w:tr>
        <w:trPr>
          <w:cantSplit/>
        </w:trPr>
        <w:tc>
          <w:tcPr>
            <w:tcW w:type="dxa" w:w="2900"/>
            <w:vAlign w:val="center"/>
            <w:tcMar>
              <w:top w:w="80" w:type="dxa"/>
              <w:start w:w="120" w:type="dxa"/>
              <w:bottom w:w="80" w:type="dxa"/>
              <w:end w:w="120" w:type="dxa"/>
            </w:tcMar>
          </w:tcPr>
          <w:p>
            <w:pPr>
              <w:spacing w:before="0" w:after="0" w:line="271" w:lineRule="auto"/>
            </w:pPr>
            <w:r>
              <w:rPr>
                <w:rFonts w:ascii="Calibri" w:hAnsi="Calibri"/>
                <w:color w:val="162236"/>
                <w:sz w:val="16"/>
              </w:rPr>
              <w:t>/how-it-works/</w:t>
            </w:r>
          </w:p>
        </w:tc>
        <w:tc>
          <w:tcPr>
            <w:tcW w:type="dxa" w:w="2400"/>
            <w:vAlign w:val="center"/>
            <w:tcMar>
              <w:top w:w="80" w:type="dxa"/>
              <w:start w:w="120" w:type="dxa"/>
              <w:bottom w:w="80" w:type="dxa"/>
              <w:end w:w="120" w:type="dxa"/>
            </w:tcMar>
          </w:tcPr>
          <w:p>
            <w:pPr>
              <w:spacing w:before="0" w:after="0" w:line="271" w:lineRule="auto"/>
            </w:pPr>
            <w:r>
              <w:rPr>
                <w:rFonts w:ascii="Calibri" w:hAnsi="Calibri"/>
                <w:color w:val="162236"/>
                <w:sz w:val="16"/>
              </w:rPr>
              <w:t>How It Works</w:t>
            </w:r>
          </w:p>
        </w:tc>
        <w:tc>
          <w:tcPr>
            <w:tcW w:type="dxa" w:w="1100"/>
            <w:vAlign w:val="center"/>
            <w:tcMar>
              <w:top w:w="80" w:type="dxa"/>
              <w:start w:w="120" w:type="dxa"/>
              <w:bottom w:w="80" w:type="dxa"/>
              <w:end w:w="120" w:type="dxa"/>
            </w:tcMar>
          </w:tcPr>
          <w:p>
            <w:pPr>
              <w:spacing w:before="0" w:after="0" w:line="271" w:lineRule="auto"/>
            </w:pPr>
            <w:r>
              <w:rPr>
                <w:rFonts w:ascii="Calibri" w:hAnsi="Calibri"/>
                <w:color w:val="162236"/>
                <w:sz w:val="16"/>
              </w:rPr>
              <w:t>Index</w:t>
            </w:r>
          </w:p>
        </w:tc>
        <w:tc>
          <w:tcPr>
            <w:tcW w:type="dxa" w:w="2960"/>
            <w:vAlign w:val="center"/>
            <w:tcMar>
              <w:top w:w="80" w:type="dxa"/>
              <w:start w:w="120" w:type="dxa"/>
              <w:bottom w:w="80" w:type="dxa"/>
              <w:end w:w="120" w:type="dxa"/>
            </w:tcMar>
          </w:tcPr>
          <w:p>
            <w:pPr>
              <w:spacing w:before="0" w:after="0" w:line="271" w:lineRule="auto"/>
            </w:pPr>
            <w:r>
              <w:rPr>
                <w:rFonts w:ascii="Calibri" w:hAnsi="Calibri"/>
                <w:color w:val="162236"/>
                <w:sz w:val="16"/>
              </w:rPr>
              <w:t>Process and clinical responsibility</w:t>
            </w:r>
          </w:p>
        </w:tc>
      </w:tr>
      <w:tr>
        <w:trPr>
          <w:cantSplit/>
        </w:trPr>
        <w:tc>
          <w:tcPr>
            <w:tcW w:type="dxa" w:w="2900"/>
            <w:vAlign w:val="center"/>
            <w:tcMar>
              <w:top w:w="80" w:type="dxa"/>
              <w:start w:w="120" w:type="dxa"/>
              <w:bottom w:w="80" w:type="dxa"/>
              <w:end w:w="120" w:type="dxa"/>
            </w:tcMar>
          </w:tcPr>
          <w:p>
            <w:pPr>
              <w:spacing w:before="0" w:after="0" w:line="271" w:lineRule="auto"/>
            </w:pPr>
            <w:r>
              <w:rPr>
                <w:rFonts w:ascii="Calibri" w:hAnsi="Calibri"/>
                <w:color w:val="162236"/>
                <w:sz w:val="16"/>
              </w:rPr>
              <w:t>/case-requirements/</w:t>
            </w:r>
          </w:p>
        </w:tc>
        <w:tc>
          <w:tcPr>
            <w:tcW w:type="dxa" w:w="2400"/>
            <w:vAlign w:val="center"/>
            <w:tcMar>
              <w:top w:w="80" w:type="dxa"/>
              <w:start w:w="120" w:type="dxa"/>
              <w:bottom w:w="80" w:type="dxa"/>
              <w:end w:w="120" w:type="dxa"/>
            </w:tcMar>
          </w:tcPr>
          <w:p>
            <w:pPr>
              <w:spacing w:before="0" w:after="0" w:line="271" w:lineRule="auto"/>
            </w:pPr>
            <w:r>
              <w:rPr>
                <w:rFonts w:ascii="Calibri" w:hAnsi="Calibri"/>
                <w:color w:val="162236"/>
                <w:sz w:val="16"/>
              </w:rPr>
              <w:t>Case Requirements</w:t>
            </w:r>
          </w:p>
        </w:tc>
        <w:tc>
          <w:tcPr>
            <w:tcW w:type="dxa" w:w="1100"/>
            <w:vAlign w:val="center"/>
            <w:tcMar>
              <w:top w:w="80" w:type="dxa"/>
              <w:start w:w="120" w:type="dxa"/>
              <w:bottom w:w="80" w:type="dxa"/>
              <w:end w:w="120" w:type="dxa"/>
            </w:tcMar>
          </w:tcPr>
          <w:p>
            <w:pPr>
              <w:spacing w:before="0" w:after="0" w:line="271" w:lineRule="auto"/>
            </w:pPr>
            <w:r>
              <w:rPr>
                <w:rFonts w:ascii="Calibri" w:hAnsi="Calibri"/>
                <w:color w:val="162236"/>
                <w:sz w:val="16"/>
              </w:rPr>
              <w:t>Index</w:t>
            </w:r>
          </w:p>
        </w:tc>
        <w:tc>
          <w:tcPr>
            <w:tcW w:type="dxa" w:w="2960"/>
            <w:vAlign w:val="center"/>
            <w:tcMar>
              <w:top w:w="80" w:type="dxa"/>
              <w:start w:w="120" w:type="dxa"/>
              <w:bottom w:w="80" w:type="dxa"/>
              <w:end w:w="120" w:type="dxa"/>
            </w:tcMar>
          </w:tcPr>
          <w:p>
            <w:pPr>
              <w:spacing w:before="0" w:after="0" w:line="271" w:lineRule="auto"/>
            </w:pPr>
            <w:r>
              <w:rPr>
                <w:rFonts w:ascii="Calibri" w:hAnsi="Calibri"/>
                <w:color w:val="162236"/>
                <w:sz w:val="16"/>
              </w:rPr>
              <w:t>Files, scan protocols and readiness</w:t>
            </w:r>
          </w:p>
        </w:tc>
      </w:tr>
      <w:tr>
        <w:trPr>
          <w:cantSplit/>
        </w:trPr>
        <w:tc>
          <w:tcPr>
            <w:tcW w:type="dxa" w:w="2900"/>
            <w:vAlign w:val="center"/>
            <w:tcMar>
              <w:top w:w="80" w:type="dxa"/>
              <w:start w:w="120" w:type="dxa"/>
              <w:bottom w:w="80" w:type="dxa"/>
              <w:end w:w="120" w:type="dxa"/>
            </w:tcMar>
          </w:tcPr>
          <w:p>
            <w:pPr>
              <w:spacing w:before="0" w:after="0" w:line="271" w:lineRule="auto"/>
            </w:pPr>
            <w:r>
              <w:rPr>
                <w:rFonts w:ascii="Calibri" w:hAnsi="Calibri"/>
                <w:color w:val="162236"/>
                <w:sz w:val="16"/>
              </w:rPr>
              <w:t>/case-evidence/</w:t>
            </w:r>
          </w:p>
        </w:tc>
        <w:tc>
          <w:tcPr>
            <w:tcW w:type="dxa" w:w="2400"/>
            <w:vAlign w:val="center"/>
            <w:tcMar>
              <w:top w:w="80" w:type="dxa"/>
              <w:start w:w="120" w:type="dxa"/>
              <w:bottom w:w="80" w:type="dxa"/>
              <w:end w:w="120" w:type="dxa"/>
            </w:tcMar>
          </w:tcPr>
          <w:p>
            <w:pPr>
              <w:spacing w:before="0" w:after="0" w:line="271" w:lineRule="auto"/>
            </w:pPr>
            <w:r>
              <w:rPr>
                <w:rFonts w:ascii="Calibri" w:hAnsi="Calibri"/>
                <w:color w:val="162236"/>
                <w:sz w:val="16"/>
              </w:rPr>
              <w:t>Case Evidence</w:t>
            </w:r>
          </w:p>
        </w:tc>
        <w:tc>
          <w:tcPr>
            <w:tcW w:type="dxa" w:w="1100"/>
            <w:vAlign w:val="center"/>
            <w:tcMar>
              <w:top w:w="80" w:type="dxa"/>
              <w:start w:w="120" w:type="dxa"/>
              <w:bottom w:w="80" w:type="dxa"/>
              <w:end w:w="120" w:type="dxa"/>
            </w:tcMar>
          </w:tcPr>
          <w:p>
            <w:pPr>
              <w:spacing w:before="0" w:after="0" w:line="271" w:lineRule="auto"/>
            </w:pPr>
            <w:r>
              <w:rPr>
                <w:rFonts w:ascii="Calibri" w:hAnsi="Calibri"/>
                <w:color w:val="162236"/>
                <w:sz w:val="16"/>
              </w:rPr>
              <w:t>Index</w:t>
            </w:r>
          </w:p>
        </w:tc>
        <w:tc>
          <w:tcPr>
            <w:tcW w:type="dxa" w:w="2960"/>
            <w:vAlign w:val="center"/>
            <w:tcMar>
              <w:top w:w="80" w:type="dxa"/>
              <w:start w:w="120" w:type="dxa"/>
              <w:bottom w:w="80" w:type="dxa"/>
              <w:end w:w="120" w:type="dxa"/>
            </w:tcMar>
          </w:tcPr>
          <w:p>
            <w:pPr>
              <w:spacing w:before="0" w:after="0" w:line="271" w:lineRule="auto"/>
            </w:pPr>
            <w:r>
              <w:rPr>
                <w:rFonts w:ascii="Calibri" w:hAnsi="Calibri"/>
                <w:color w:val="162236"/>
                <w:sz w:val="16"/>
              </w:rPr>
              <w:t>Anonymised workflow proof</w:t>
            </w:r>
          </w:p>
        </w:tc>
      </w:tr>
      <w:tr>
        <w:trPr>
          <w:cantSplit/>
        </w:trPr>
        <w:tc>
          <w:tcPr>
            <w:tcW w:type="dxa" w:w="2900"/>
            <w:vAlign w:val="center"/>
            <w:tcMar>
              <w:top w:w="80" w:type="dxa"/>
              <w:start w:w="120" w:type="dxa"/>
              <w:bottom w:w="80" w:type="dxa"/>
              <w:end w:w="120" w:type="dxa"/>
            </w:tcMar>
          </w:tcPr>
          <w:p>
            <w:pPr>
              <w:spacing w:before="0" w:after="0" w:line="271" w:lineRule="auto"/>
            </w:pPr>
            <w:r>
              <w:rPr>
                <w:rFonts w:ascii="Calibri" w:hAnsi="Calibri"/>
                <w:color w:val="162236"/>
                <w:sz w:val="16"/>
              </w:rPr>
              <w:t>/about/</w:t>
            </w:r>
          </w:p>
        </w:tc>
        <w:tc>
          <w:tcPr>
            <w:tcW w:type="dxa" w:w="2400"/>
            <w:vAlign w:val="center"/>
            <w:tcMar>
              <w:top w:w="80" w:type="dxa"/>
              <w:start w:w="120" w:type="dxa"/>
              <w:bottom w:w="80" w:type="dxa"/>
              <w:end w:w="120" w:type="dxa"/>
            </w:tcMar>
          </w:tcPr>
          <w:p>
            <w:pPr>
              <w:spacing w:before="0" w:after="0" w:line="271" w:lineRule="auto"/>
            </w:pPr>
            <w:r>
              <w:rPr>
                <w:rFonts w:ascii="Calibri" w:hAnsi="Calibri"/>
                <w:color w:val="162236"/>
                <w:sz w:val="16"/>
              </w:rPr>
              <w:t>About</w:t>
            </w:r>
          </w:p>
        </w:tc>
        <w:tc>
          <w:tcPr>
            <w:tcW w:type="dxa" w:w="1100"/>
            <w:vAlign w:val="center"/>
            <w:tcMar>
              <w:top w:w="80" w:type="dxa"/>
              <w:start w:w="120" w:type="dxa"/>
              <w:bottom w:w="80" w:type="dxa"/>
              <w:end w:w="120" w:type="dxa"/>
            </w:tcMar>
          </w:tcPr>
          <w:p>
            <w:pPr>
              <w:spacing w:before="0" w:after="0" w:line="271" w:lineRule="auto"/>
            </w:pPr>
            <w:r>
              <w:rPr>
                <w:rFonts w:ascii="Calibri" w:hAnsi="Calibri"/>
                <w:color w:val="162236"/>
                <w:sz w:val="16"/>
              </w:rPr>
              <w:t>Index</w:t>
            </w:r>
          </w:p>
        </w:tc>
        <w:tc>
          <w:tcPr>
            <w:tcW w:type="dxa" w:w="2960"/>
            <w:vAlign w:val="center"/>
            <w:tcMar>
              <w:top w:w="80" w:type="dxa"/>
              <w:start w:w="120" w:type="dxa"/>
              <w:bottom w:w="80" w:type="dxa"/>
              <w:end w:w="120" w:type="dxa"/>
            </w:tcMar>
          </w:tcPr>
          <w:p>
            <w:pPr>
              <w:spacing w:before="0" w:after="0" w:line="271" w:lineRule="auto"/>
            </w:pPr>
            <w:r>
              <w:rPr>
                <w:rFonts w:ascii="Calibri" w:hAnsi="Calibri"/>
                <w:color w:val="162236"/>
                <w:sz w:val="16"/>
              </w:rPr>
              <w:t>Experience, team and operating philosophy</w:t>
            </w:r>
          </w:p>
        </w:tc>
      </w:tr>
      <w:tr>
        <w:trPr>
          <w:cantSplit/>
        </w:trPr>
        <w:tc>
          <w:tcPr>
            <w:tcW w:type="dxa" w:w="2900"/>
            <w:vAlign w:val="center"/>
            <w:tcMar>
              <w:top w:w="80" w:type="dxa"/>
              <w:start w:w="120" w:type="dxa"/>
              <w:bottom w:w="80" w:type="dxa"/>
              <w:end w:w="120" w:type="dxa"/>
            </w:tcMar>
          </w:tcPr>
          <w:p>
            <w:pPr>
              <w:spacing w:before="0" w:after="0" w:line="271" w:lineRule="auto"/>
            </w:pPr>
            <w:r>
              <w:rPr>
                <w:rFonts w:ascii="Calibri" w:hAnsi="Calibri"/>
                <w:color w:val="162236"/>
                <w:sz w:val="16"/>
              </w:rPr>
              <w:t>/discuss-a-case/</w:t>
            </w:r>
          </w:p>
        </w:tc>
        <w:tc>
          <w:tcPr>
            <w:tcW w:type="dxa" w:w="2400"/>
            <w:vAlign w:val="center"/>
            <w:tcMar>
              <w:top w:w="80" w:type="dxa"/>
              <w:start w:w="120" w:type="dxa"/>
              <w:bottom w:w="80" w:type="dxa"/>
              <w:end w:w="120" w:type="dxa"/>
            </w:tcMar>
          </w:tcPr>
          <w:p>
            <w:pPr>
              <w:spacing w:before="0" w:after="0" w:line="271" w:lineRule="auto"/>
            </w:pPr>
            <w:r>
              <w:rPr>
                <w:rFonts w:ascii="Calibri" w:hAnsi="Calibri"/>
                <w:color w:val="162236"/>
                <w:sz w:val="16"/>
              </w:rPr>
              <w:t>Discuss a Complex Case</w:t>
            </w:r>
          </w:p>
        </w:tc>
        <w:tc>
          <w:tcPr>
            <w:tcW w:type="dxa" w:w="1100"/>
            <w:vAlign w:val="center"/>
            <w:tcMar>
              <w:top w:w="80" w:type="dxa"/>
              <w:start w:w="120" w:type="dxa"/>
              <w:bottom w:w="80" w:type="dxa"/>
              <w:end w:w="120" w:type="dxa"/>
            </w:tcMar>
          </w:tcPr>
          <w:p>
            <w:pPr>
              <w:spacing w:before="0" w:after="0" w:line="271" w:lineRule="auto"/>
            </w:pPr>
            <w:r>
              <w:rPr>
                <w:rFonts w:ascii="Calibri" w:hAnsi="Calibri"/>
                <w:color w:val="162236"/>
                <w:sz w:val="16"/>
              </w:rPr>
              <w:t>Index</w:t>
            </w:r>
          </w:p>
        </w:tc>
        <w:tc>
          <w:tcPr>
            <w:tcW w:type="dxa" w:w="2960"/>
            <w:vAlign w:val="center"/>
            <w:tcMar>
              <w:top w:w="80" w:type="dxa"/>
              <w:start w:w="120" w:type="dxa"/>
              <w:bottom w:w="80" w:type="dxa"/>
              <w:end w:w="120" w:type="dxa"/>
            </w:tcMar>
          </w:tcPr>
          <w:p>
            <w:pPr>
              <w:spacing w:before="0" w:after="0" w:line="271" w:lineRule="auto"/>
            </w:pPr>
            <w:r>
              <w:rPr>
                <w:rFonts w:ascii="Calibri" w:hAnsi="Calibri"/>
                <w:color w:val="162236"/>
                <w:sz w:val="16"/>
              </w:rPr>
              <w:t>Non-clinical enquiry only</w:t>
            </w:r>
          </w:p>
        </w:tc>
      </w:tr>
      <w:tr>
        <w:trPr>
          <w:cantSplit/>
        </w:trPr>
        <w:tc>
          <w:tcPr>
            <w:tcW w:type="dxa" w:w="2900"/>
            <w:vAlign w:val="center"/>
            <w:tcMar>
              <w:top w:w="80" w:type="dxa"/>
              <w:start w:w="120" w:type="dxa"/>
              <w:bottom w:w="80" w:type="dxa"/>
              <w:end w:w="120" w:type="dxa"/>
            </w:tcMar>
          </w:tcPr>
          <w:p>
            <w:pPr>
              <w:spacing w:before="0" w:after="0" w:line="271" w:lineRule="auto"/>
            </w:pPr>
            <w:r>
              <w:rPr>
                <w:rFonts w:ascii="Calibri" w:hAnsi="Calibri"/>
                <w:color w:val="162236"/>
                <w:sz w:val="16"/>
              </w:rPr>
              <w:t>/case-portal/</w:t>
            </w:r>
          </w:p>
        </w:tc>
        <w:tc>
          <w:tcPr>
            <w:tcW w:type="dxa" w:w="2400"/>
            <w:vAlign w:val="center"/>
            <w:tcMar>
              <w:top w:w="80" w:type="dxa"/>
              <w:start w:w="120" w:type="dxa"/>
              <w:bottom w:w="80" w:type="dxa"/>
              <w:end w:w="120" w:type="dxa"/>
            </w:tcMar>
          </w:tcPr>
          <w:p>
            <w:pPr>
              <w:spacing w:before="0" w:after="0" w:line="271" w:lineRule="auto"/>
            </w:pPr>
            <w:r>
              <w:rPr>
                <w:rFonts w:ascii="Calibri" w:hAnsi="Calibri"/>
                <w:color w:val="162236"/>
                <w:sz w:val="16"/>
              </w:rPr>
              <w:t>Case Portal Gateway</w:t>
            </w:r>
          </w:p>
        </w:tc>
        <w:tc>
          <w:tcPr>
            <w:tcW w:type="dxa" w:w="1100"/>
            <w:vAlign w:val="center"/>
            <w:tcMar>
              <w:top w:w="80" w:type="dxa"/>
              <w:start w:w="120" w:type="dxa"/>
              <w:bottom w:w="80" w:type="dxa"/>
              <w:end w:w="120" w:type="dxa"/>
            </w:tcMar>
          </w:tcPr>
          <w:p>
            <w:pPr>
              <w:spacing w:before="0" w:after="0" w:line="271" w:lineRule="auto"/>
            </w:pPr>
            <w:r>
              <w:rPr>
                <w:rFonts w:ascii="Calibri" w:hAnsi="Calibri"/>
                <w:color w:val="162236"/>
                <w:sz w:val="16"/>
              </w:rPr>
              <w:t>Index</w:t>
            </w:r>
          </w:p>
        </w:tc>
        <w:tc>
          <w:tcPr>
            <w:tcW w:type="dxa" w:w="2960"/>
            <w:vAlign w:val="center"/>
            <w:tcMar>
              <w:top w:w="80" w:type="dxa"/>
              <w:start w:w="120" w:type="dxa"/>
              <w:bottom w:w="80" w:type="dxa"/>
              <w:end w:w="120" w:type="dxa"/>
            </w:tcMar>
          </w:tcPr>
          <w:p>
            <w:pPr>
              <w:spacing w:before="0" w:after="0" w:line="271" w:lineRule="auto"/>
            </w:pPr>
            <w:r>
              <w:rPr>
                <w:rFonts w:ascii="Calibri" w:hAnsi="Calibri"/>
                <w:color w:val="162236"/>
                <w:sz w:val="16"/>
              </w:rPr>
              <w:t>Login / registration entry</w:t>
            </w:r>
          </w:p>
        </w:tc>
      </w:tr>
      <w:tr>
        <w:trPr>
          <w:cantSplit/>
        </w:trPr>
        <w:tc>
          <w:tcPr>
            <w:tcW w:type="dxa" w:w="2900"/>
            <w:vAlign w:val="center"/>
            <w:tcMar>
              <w:top w:w="80" w:type="dxa"/>
              <w:start w:w="120" w:type="dxa"/>
              <w:bottom w:w="80" w:type="dxa"/>
              <w:end w:w="120" w:type="dxa"/>
            </w:tcMar>
          </w:tcPr>
          <w:p>
            <w:pPr>
              <w:spacing w:before="0" w:after="0" w:line="271" w:lineRule="auto"/>
            </w:pPr>
            <w:r>
              <w:rPr>
                <w:rFonts w:ascii="Calibri" w:hAnsi="Calibri"/>
                <w:color w:val="162236"/>
                <w:sz w:val="16"/>
              </w:rPr>
              <w:t>/workflow-notes/</w:t>
            </w:r>
          </w:p>
        </w:tc>
        <w:tc>
          <w:tcPr>
            <w:tcW w:type="dxa" w:w="2400"/>
            <w:vAlign w:val="center"/>
            <w:tcMar>
              <w:top w:w="80" w:type="dxa"/>
              <w:start w:w="120" w:type="dxa"/>
              <w:bottom w:w="80" w:type="dxa"/>
              <w:end w:w="120" w:type="dxa"/>
            </w:tcMar>
          </w:tcPr>
          <w:p>
            <w:pPr>
              <w:spacing w:before="0" w:after="0" w:line="271" w:lineRule="auto"/>
            </w:pPr>
            <w:r>
              <w:rPr>
                <w:rFonts w:ascii="Calibri" w:hAnsi="Calibri"/>
                <w:color w:val="162236"/>
                <w:sz w:val="16"/>
              </w:rPr>
              <w:t>Workflow Notes</w:t>
            </w:r>
          </w:p>
        </w:tc>
        <w:tc>
          <w:tcPr>
            <w:tcW w:type="dxa" w:w="1100"/>
            <w:vAlign w:val="center"/>
            <w:tcMar>
              <w:top w:w="80" w:type="dxa"/>
              <w:start w:w="120" w:type="dxa"/>
              <w:bottom w:w="80" w:type="dxa"/>
              <w:end w:w="120" w:type="dxa"/>
            </w:tcMar>
          </w:tcPr>
          <w:p>
            <w:pPr>
              <w:spacing w:before="0" w:after="0" w:line="271" w:lineRule="auto"/>
            </w:pPr>
            <w:r>
              <w:rPr>
                <w:rFonts w:ascii="Calibri" w:hAnsi="Calibri"/>
                <w:color w:val="162236"/>
                <w:sz w:val="16"/>
              </w:rPr>
              <w:t>Index</w:t>
            </w:r>
          </w:p>
        </w:tc>
        <w:tc>
          <w:tcPr>
            <w:tcW w:type="dxa" w:w="2960"/>
            <w:vAlign w:val="center"/>
            <w:tcMar>
              <w:top w:w="80" w:type="dxa"/>
              <w:start w:w="120" w:type="dxa"/>
              <w:bottom w:w="80" w:type="dxa"/>
              <w:end w:w="120" w:type="dxa"/>
            </w:tcMar>
          </w:tcPr>
          <w:p>
            <w:pPr>
              <w:spacing w:before="0" w:after="0" w:line="271" w:lineRule="auto"/>
            </w:pPr>
            <w:r>
              <w:rPr>
                <w:rFonts w:ascii="Calibri" w:hAnsi="Calibri"/>
                <w:color w:val="162236"/>
                <w:sz w:val="16"/>
              </w:rPr>
              <w:t>Small, curated resource library</w:t>
            </w:r>
          </w:p>
        </w:tc>
      </w:tr>
      <w:tr>
        <w:trPr>
          <w:cantSplit/>
        </w:trPr>
        <w:tc>
          <w:tcPr>
            <w:tcW w:type="dxa" w:w="2900"/>
            <w:vAlign w:val="center"/>
            <w:tcMar>
              <w:top w:w="80" w:type="dxa"/>
              <w:start w:w="120" w:type="dxa"/>
              <w:bottom w:w="80" w:type="dxa"/>
              <w:end w:w="120" w:type="dxa"/>
            </w:tcMar>
          </w:tcPr>
          <w:p>
            <w:pPr>
              <w:spacing w:before="0" w:after="0" w:line="271" w:lineRule="auto"/>
            </w:pPr>
            <w:r>
              <w:rPr>
                <w:rFonts w:ascii="Calibri" w:hAnsi="Calibri"/>
                <w:color w:val="162236"/>
                <w:sz w:val="16"/>
              </w:rPr>
              <w:t>/privacy/</w:t>
            </w:r>
          </w:p>
        </w:tc>
        <w:tc>
          <w:tcPr>
            <w:tcW w:type="dxa" w:w="2400"/>
            <w:vAlign w:val="center"/>
            <w:tcMar>
              <w:top w:w="80" w:type="dxa"/>
              <w:start w:w="120" w:type="dxa"/>
              <w:bottom w:w="80" w:type="dxa"/>
              <w:end w:w="120" w:type="dxa"/>
            </w:tcMar>
          </w:tcPr>
          <w:p>
            <w:pPr>
              <w:spacing w:before="0" w:after="0" w:line="271" w:lineRule="auto"/>
            </w:pPr>
            <w:r>
              <w:rPr>
                <w:rFonts w:ascii="Calibri" w:hAnsi="Calibri"/>
                <w:color w:val="162236"/>
                <w:sz w:val="16"/>
              </w:rPr>
              <w:t>Privacy</w:t>
            </w:r>
          </w:p>
        </w:tc>
        <w:tc>
          <w:tcPr>
            <w:tcW w:type="dxa" w:w="1100"/>
            <w:vAlign w:val="center"/>
            <w:tcMar>
              <w:top w:w="80" w:type="dxa"/>
              <w:start w:w="120" w:type="dxa"/>
              <w:bottom w:w="80" w:type="dxa"/>
              <w:end w:w="120" w:type="dxa"/>
            </w:tcMar>
          </w:tcPr>
          <w:p>
            <w:pPr>
              <w:spacing w:before="0" w:after="0" w:line="271" w:lineRule="auto"/>
            </w:pPr>
            <w:r>
              <w:rPr>
                <w:rFonts w:ascii="Calibri" w:hAnsi="Calibri"/>
                <w:color w:val="162236"/>
                <w:sz w:val="16"/>
              </w:rPr>
              <w:t>Index</w:t>
            </w:r>
          </w:p>
        </w:tc>
        <w:tc>
          <w:tcPr>
            <w:tcW w:type="dxa" w:w="2960"/>
            <w:vAlign w:val="center"/>
            <w:tcMar>
              <w:top w:w="80" w:type="dxa"/>
              <w:start w:w="120" w:type="dxa"/>
              <w:bottom w:w="80" w:type="dxa"/>
              <w:end w:w="120" w:type="dxa"/>
            </w:tcMar>
          </w:tcPr>
          <w:p>
            <w:pPr>
              <w:spacing w:before="0" w:after="0" w:line="271" w:lineRule="auto"/>
            </w:pPr>
            <w:r>
              <w:rPr>
                <w:rFonts w:ascii="Calibri" w:hAnsi="Calibri"/>
                <w:color w:val="162236"/>
                <w:sz w:val="16"/>
              </w:rPr>
              <w:t>Public privacy notice</w:t>
            </w:r>
          </w:p>
        </w:tc>
      </w:tr>
      <w:tr>
        <w:trPr>
          <w:cantSplit/>
        </w:trPr>
        <w:tc>
          <w:tcPr>
            <w:tcW w:type="dxa" w:w="2900"/>
            <w:vAlign w:val="center"/>
            <w:tcMar>
              <w:top w:w="80" w:type="dxa"/>
              <w:start w:w="120" w:type="dxa"/>
              <w:bottom w:w="80" w:type="dxa"/>
              <w:end w:w="120" w:type="dxa"/>
            </w:tcMar>
          </w:tcPr>
          <w:p>
            <w:pPr>
              <w:spacing w:before="0" w:after="0" w:line="271" w:lineRule="auto"/>
            </w:pPr>
            <w:r>
              <w:rPr>
                <w:rFonts w:ascii="Calibri" w:hAnsi="Calibri"/>
                <w:color w:val="162236"/>
                <w:sz w:val="16"/>
              </w:rPr>
              <w:t>/terms/</w:t>
            </w:r>
          </w:p>
        </w:tc>
        <w:tc>
          <w:tcPr>
            <w:tcW w:type="dxa" w:w="2400"/>
            <w:vAlign w:val="center"/>
            <w:tcMar>
              <w:top w:w="80" w:type="dxa"/>
              <w:start w:w="120" w:type="dxa"/>
              <w:bottom w:w="80" w:type="dxa"/>
              <w:end w:w="120" w:type="dxa"/>
            </w:tcMar>
          </w:tcPr>
          <w:p>
            <w:pPr>
              <w:spacing w:before="0" w:after="0" w:line="271" w:lineRule="auto"/>
            </w:pPr>
            <w:r>
              <w:rPr>
                <w:rFonts w:ascii="Calibri" w:hAnsi="Calibri"/>
                <w:color w:val="162236"/>
                <w:sz w:val="16"/>
              </w:rPr>
              <w:t>Terms</w:t>
            </w:r>
          </w:p>
        </w:tc>
        <w:tc>
          <w:tcPr>
            <w:tcW w:type="dxa" w:w="1100"/>
            <w:vAlign w:val="center"/>
            <w:tcMar>
              <w:top w:w="80" w:type="dxa"/>
              <w:start w:w="120" w:type="dxa"/>
              <w:bottom w:w="80" w:type="dxa"/>
              <w:end w:w="120" w:type="dxa"/>
            </w:tcMar>
          </w:tcPr>
          <w:p>
            <w:pPr>
              <w:spacing w:before="0" w:after="0" w:line="271" w:lineRule="auto"/>
            </w:pPr>
            <w:r>
              <w:rPr>
                <w:rFonts w:ascii="Calibri" w:hAnsi="Calibri"/>
                <w:color w:val="162236"/>
                <w:sz w:val="16"/>
              </w:rPr>
              <w:t>Index</w:t>
            </w:r>
          </w:p>
        </w:tc>
        <w:tc>
          <w:tcPr>
            <w:tcW w:type="dxa" w:w="2960"/>
            <w:vAlign w:val="center"/>
            <w:tcMar>
              <w:top w:w="80" w:type="dxa"/>
              <w:start w:w="120" w:type="dxa"/>
              <w:bottom w:w="80" w:type="dxa"/>
              <w:end w:w="120" w:type="dxa"/>
            </w:tcMar>
          </w:tcPr>
          <w:p>
            <w:pPr>
              <w:spacing w:before="0" w:after="0" w:line="271" w:lineRule="auto"/>
            </w:pPr>
            <w:r>
              <w:rPr>
                <w:rFonts w:ascii="Calibri" w:hAnsi="Calibri"/>
                <w:color w:val="162236"/>
                <w:sz w:val="16"/>
              </w:rPr>
              <w:t>Service terms</w:t>
            </w:r>
          </w:p>
        </w:tc>
      </w:tr>
      <w:tr>
        <w:trPr>
          <w:cantSplit/>
        </w:trPr>
        <w:tc>
          <w:tcPr>
            <w:tcW w:type="dxa" w:w="2900"/>
            <w:vAlign w:val="center"/>
            <w:tcMar>
              <w:top w:w="80" w:type="dxa"/>
              <w:start w:w="120" w:type="dxa"/>
              <w:bottom w:w="80" w:type="dxa"/>
              <w:end w:w="120" w:type="dxa"/>
            </w:tcMar>
          </w:tcPr>
          <w:p>
            <w:pPr>
              <w:spacing w:before="0" w:after="0" w:line="271" w:lineRule="auto"/>
            </w:pPr>
            <w:r>
              <w:rPr>
                <w:rFonts w:ascii="Calibri" w:hAnsi="Calibri"/>
                <w:color w:val="162236"/>
                <w:sz w:val="16"/>
              </w:rPr>
              <w:t>Portal application URLs</w:t>
            </w:r>
          </w:p>
        </w:tc>
        <w:tc>
          <w:tcPr>
            <w:tcW w:type="dxa" w:w="2400"/>
            <w:vAlign w:val="center"/>
            <w:tcMar>
              <w:top w:w="80" w:type="dxa"/>
              <w:start w:w="120" w:type="dxa"/>
              <w:bottom w:w="80" w:type="dxa"/>
              <w:end w:w="120" w:type="dxa"/>
            </w:tcMar>
          </w:tcPr>
          <w:p>
            <w:pPr>
              <w:spacing w:before="0" w:after="0" w:line="271" w:lineRule="auto"/>
            </w:pPr>
            <w:r>
              <w:rPr>
                <w:rFonts w:ascii="Calibri" w:hAnsi="Calibri"/>
                <w:color w:val="162236"/>
                <w:sz w:val="16"/>
              </w:rPr>
              <w:t>Authenticated case workspace</w:t>
            </w:r>
          </w:p>
        </w:tc>
        <w:tc>
          <w:tcPr>
            <w:tcW w:type="dxa" w:w="1100"/>
            <w:vAlign w:val="center"/>
            <w:tcMar>
              <w:top w:w="80" w:type="dxa"/>
              <w:start w:w="120" w:type="dxa"/>
              <w:bottom w:w="80" w:type="dxa"/>
              <w:end w:w="120" w:type="dxa"/>
            </w:tcMar>
          </w:tcPr>
          <w:p>
            <w:pPr>
              <w:spacing w:before="0" w:after="0" w:line="271" w:lineRule="auto"/>
            </w:pPr>
            <w:r>
              <w:rPr>
                <w:rFonts w:ascii="Calibri" w:hAnsi="Calibri"/>
                <w:color w:val="162236"/>
                <w:sz w:val="16"/>
              </w:rPr>
              <w:t>Noindex</w:t>
            </w:r>
          </w:p>
        </w:tc>
        <w:tc>
          <w:tcPr>
            <w:tcW w:type="dxa" w:w="2960"/>
            <w:vAlign w:val="center"/>
            <w:tcMar>
              <w:top w:w="80" w:type="dxa"/>
              <w:start w:w="120" w:type="dxa"/>
              <w:bottom w:w="80" w:type="dxa"/>
              <w:end w:w="120" w:type="dxa"/>
            </w:tcMar>
          </w:tcPr>
          <w:p>
            <w:pPr>
              <w:spacing w:before="0" w:after="0" w:line="271" w:lineRule="auto"/>
            </w:pPr>
            <w:r>
              <w:rPr>
                <w:rFonts w:ascii="Calibri" w:hAnsi="Calibri"/>
                <w:color w:val="162236"/>
                <w:sz w:val="16"/>
              </w:rPr>
              <w:t>Private case and account screens</w:t>
            </w:r>
          </w:p>
        </w:tc>
      </w:tr>
    </w:tbl>
    <w:p>
      <w:pPr>
        <w:spacing w:after="60"/>
      </w:pPr>
    </w:p>
    <w:p>
      <w:pPr>
        <w:pStyle w:val="Heading2"/>
        <w:spacing w:before="280" w:after="140" w:line="252" w:lineRule="auto"/>
        <w:keepNext w:val="1"/>
        <w:pageBreakBefore w:val="0"/>
      </w:pPr>
      <w:r>
        <w:rPr>
          <w:rFonts w:ascii="Calibri" w:hAnsi="Calibri"/>
          <w:b/>
          <w:color w:val="2E74B5"/>
          <w:sz w:val="26"/>
        </w:rPr>
        <w:t>Footer structure</w:t>
      </w:r>
    </w:p>
    <w:p>
      <w:pPr>
        <w:pStyle w:val="ListBullet"/>
        <w:keepLines/>
        <w:spacing w:before="0" w:after="80" w:line="300" w:lineRule="auto"/>
      </w:pPr>
      <w:r>
        <w:rPr>
          <w:rFonts w:ascii="Calibri" w:hAnsi="Calibri"/>
          <w:b/>
          <w:color w:val="162236"/>
          <w:sz w:val="22"/>
        </w:rPr>
        <w:t xml:space="preserve">Clinical workflows. </w:t>
      </w:r>
      <w:r>
        <w:rPr>
          <w:rFonts w:ascii="Calibri" w:hAnsi="Calibri"/>
          <w:color w:val="162236"/>
          <w:sz w:val="22"/>
        </w:rPr>
        <w:t>Guided Implant · Full-Arch Stackable · Zygoma &amp; Pterygoid · Immediate Loading.</w:t>
      </w:r>
    </w:p>
    <w:p>
      <w:pPr>
        <w:pStyle w:val="ListBullet"/>
        <w:keepLines/>
        <w:spacing w:before="0" w:after="80" w:line="300" w:lineRule="auto"/>
      </w:pPr>
      <w:r>
        <w:rPr>
          <w:rFonts w:ascii="Calibri" w:hAnsi="Calibri"/>
          <w:b/>
          <w:color w:val="162236"/>
          <w:sz w:val="22"/>
        </w:rPr>
        <w:t xml:space="preserve">Work with us. </w:t>
      </w:r>
      <w:r>
        <w:rPr>
          <w:rFonts w:ascii="Calibri" w:hAnsi="Calibri"/>
          <w:color w:val="162236"/>
          <w:sz w:val="22"/>
        </w:rPr>
        <w:t>Design Only · Design to Delivery · White Label · Case Portal.</w:t>
      </w:r>
    </w:p>
    <w:p>
      <w:pPr>
        <w:pStyle w:val="ListBullet"/>
        <w:keepLines/>
        <w:spacing w:before="0" w:after="80" w:line="300" w:lineRule="auto"/>
      </w:pPr>
      <w:r>
        <w:rPr>
          <w:rFonts w:ascii="Calibri" w:hAnsi="Calibri"/>
          <w:b/>
          <w:color w:val="162236"/>
          <w:sz w:val="22"/>
        </w:rPr>
        <w:t xml:space="preserve">Case support. </w:t>
      </w:r>
      <w:r>
        <w:rPr>
          <w:rFonts w:ascii="Calibri" w:hAnsi="Calibri"/>
          <w:color w:val="162236"/>
          <w:sz w:val="22"/>
        </w:rPr>
        <w:t>How It Works · Requirements · Discuss a Case · Contact.</w:t>
      </w:r>
    </w:p>
    <w:p>
      <w:pPr>
        <w:pStyle w:val="ListBullet"/>
        <w:keepLines/>
        <w:spacing w:before="0" w:after="80" w:line="300" w:lineRule="auto"/>
      </w:pPr>
      <w:r>
        <w:rPr>
          <w:rFonts w:ascii="Calibri" w:hAnsi="Calibri"/>
          <w:b/>
          <w:color w:val="162236"/>
          <w:sz w:val="22"/>
        </w:rPr>
        <w:t xml:space="preserve">Company. </w:t>
      </w:r>
      <w:r>
        <w:rPr>
          <w:rFonts w:ascii="Calibri" w:hAnsi="Calibri"/>
          <w:color w:val="162236"/>
          <w:sz w:val="22"/>
        </w:rPr>
        <w:t>About · Case Evidence · Careers · Privacy · Terms.</w:t>
      </w:r>
    </w:p>
    <w:p>
      <w:pPr>
        <w:pStyle w:val="ListBullet"/>
        <w:keepLines/>
        <w:spacing w:before="0" w:after="80" w:line="300" w:lineRule="auto"/>
      </w:pPr>
      <w:r>
        <w:rPr>
          <w:rFonts w:ascii="Calibri" w:hAnsi="Calibri"/>
          <w:b/>
          <w:color w:val="162236"/>
          <w:sz w:val="22"/>
        </w:rPr>
        <w:t xml:space="preserve">Education. </w:t>
      </w:r>
      <w:r>
        <w:rPr>
          <w:rFonts w:ascii="Calibri" w:hAnsi="Calibri"/>
          <w:color w:val="162236"/>
          <w:sz w:val="22"/>
        </w:rPr>
        <w:t>SurgiGuideExcellence at PaulSudeep.com as an external destination.</w:t>
      </w:r>
    </w:p>
    <w:p>
      <w:pPr>
        <w:pStyle w:val="Heading1"/>
        <w:spacing w:before="360" w:after="200" w:line="252" w:lineRule="auto"/>
        <w:keepNext w:val="1"/>
        <w:pageBreakBefore w:val="1"/>
      </w:pPr>
      <w:r>
        <w:rPr>
          <w:rFonts w:ascii="Calibri" w:hAnsi="Calibri"/>
          <w:b/>
          <w:color w:val="2E74B5"/>
          <w:sz w:val="32"/>
        </w:rPr>
        <w:t>4. Homepage blueprint</w:t>
      </w:r>
    </w:p>
    <w:p>
      <w:pPr>
        <w:pStyle w:val="Heading2"/>
        <w:spacing w:before="280" w:after="140" w:line="252" w:lineRule="auto"/>
        <w:keepNext w:val="1"/>
        <w:pageBreakBefore w:val="0"/>
      </w:pPr>
      <w:r>
        <w:rPr>
          <w:rFonts w:ascii="Calibri" w:hAnsi="Calibri"/>
          <w:b/>
          <w:color w:val="2E74B5"/>
          <w:sz w:val="26"/>
        </w:rPr>
        <w:t>Above the fold</w:t>
      </w:r>
    </w:p>
    <w:p>
      <w:pPr>
        <w:spacing w:before="0" w:after="80" w:line="300" w:lineRule="auto"/>
        <w:jc w:val="left"/>
      </w:pPr>
      <w:r>
        <w:rPr>
          <w:rFonts w:ascii="Calibri" w:hAnsi="Calibri"/>
          <w:i w:val="0"/>
          <w:color w:val="A67C00"/>
          <w:sz w:val="19"/>
        </w:rPr>
        <w:t>Eyebrow: DIGITAL IMPLANT PLANNING &amp; SURGICAL GUIDE SERVICES</w:t>
      </w:r>
    </w:p>
    <w:p>
      <w:pPr>
        <w:spacing w:before="100" w:after="180" w:line="300" w:lineRule="auto"/>
        <w:ind w:left="202" w:right="144"/>
        <w:shd w:fill="E8EEF5"/>
        <w:pBdr>
          <w:left w:val="single" w:sz="16" w:space="8" w:color="2E74B5"/>
        </w:pBdr>
        <w:keepLines w:val="1"/>
      </w:pPr>
      <w:r>
        <w:rPr>
          <w:rFonts w:ascii="Calibri" w:hAnsi="Calibri"/>
          <w:b/>
          <w:color w:val="2E74B5"/>
          <w:sz w:val="18"/>
        </w:rPr>
        <w:t xml:space="preserve">H1  </w:t>
      </w:r>
      <w:r>
        <w:rPr>
          <w:rFonts w:ascii="Calibri" w:hAnsi="Calibri"/>
          <w:b/>
          <w:color w:val="162236"/>
          <w:sz w:val="22"/>
        </w:rPr>
        <w:t>Plan the outcome. Guide the execution.</w:t>
      </w:r>
    </w:p>
    <w:p>
      <w:pPr>
        <w:spacing w:before="0" w:after="120" w:line="300" w:lineRule="auto"/>
        <w:jc w:val="left"/>
        <w:keepLines w:val="1"/>
      </w:pPr>
      <w:r>
        <w:rPr>
          <w:rFonts w:ascii="Calibri" w:hAnsi="Calibri"/>
          <w:i w:val="0"/>
          <w:color w:val="162236"/>
          <w:sz w:val="22"/>
        </w:rPr>
        <w:t>Expert-led digital implant workflows, from case-data validation and restoration-first planning to surgical guides, full-arch workflows and immediate provisional coordination. Your treatment plan remains under your approval at every critical stage.</w:t>
      </w:r>
    </w:p>
    <w:p>
      <w:pPr>
        <w:spacing w:before="0" w:after="120" w:line="300" w:lineRule="auto"/>
        <w:jc w:val="left"/>
      </w:pPr>
      <w:r>
        <w:rPr>
          <w:rFonts w:ascii="Calibri" w:hAnsi="Calibri"/>
          <w:b/>
          <w:color w:val="162236"/>
          <w:sz w:val="22"/>
        </w:rPr>
        <w:t>Primary CTA:</w:t>
      </w:r>
      <w:r>
        <w:rPr>
          <w:rFonts w:ascii="Calibri" w:hAnsi="Calibri"/>
          <w:i w:val="0"/>
          <w:color w:val="162236"/>
          <w:sz w:val="22"/>
        </w:rPr>
        <w:t xml:space="preserve"> Start a Case  |  Secondary CTA: Discuss a Complex Case</w:t>
      </w:r>
    </w:p>
    <w:p>
      <w:pPr>
        <w:spacing w:before="0" w:after="120" w:line="300" w:lineRule="auto"/>
        <w:jc w:val="left"/>
      </w:pPr>
      <w:r>
        <w:rPr>
          <w:rFonts w:ascii="Calibri" w:hAnsi="Calibri"/>
          <w:i/>
          <w:color w:val="5F6B7A"/>
          <w:sz w:val="22"/>
        </w:rPr>
        <w:t>Utility link: Already working with us? Open the Case Portal.</w:t>
      </w:r>
    </w:p>
    <w:p>
      <w:pPr>
        <w:spacing w:before="0" w:after="120" w:line="300" w:lineRule="auto"/>
        <w:jc w:val="left"/>
      </w:pPr>
      <w:r>
        <w:rPr>
          <w:rFonts w:ascii="Calibri" w:hAnsi="Calibri"/>
          <w:i w:val="0"/>
          <w:color w:val="5F6B7A"/>
          <w:sz w:val="19"/>
        </w:rPr>
        <w:t>Professional-services note: Services are provided to dental professionals and authorised partners.</w:t>
      </w:r>
    </w:p>
    <w:p>
      <w:pPr>
        <w:pStyle w:val="Heading2"/>
        <w:spacing w:before="280" w:after="140" w:line="252" w:lineRule="auto"/>
        <w:keepNext w:val="1"/>
        <w:pageBreakBefore w:val="0"/>
      </w:pPr>
      <w:r>
        <w:rPr>
          <w:rFonts w:ascii="Calibri" w:hAnsi="Calibri"/>
          <w:b/>
          <w:color w:val="2E74B5"/>
          <w:sz w:val="26"/>
        </w:rPr>
        <w:t>Homepage sequence</w:t>
      </w:r>
    </w:p>
    <w:tbl>
      <w:tblPr>
        <w:tblStyle w:val="TableGrid"/>
        <w:tblW w:type="dxa" w:w="9360"/>
        <w:tblLayout w:type="fixed"/>
        <w:tblLook w:firstColumn="1" w:firstRow="1" w:lastColumn="0" w:lastRow="0" w:noHBand="0" w:noVBand="1" w:val="04A0"/>
        <w:jc w:val="left"/>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2450"/>
        <w:gridCol w:w="6910"/>
      </w:tblGrid>
      <w:tr>
        <w:trPr>
          <w:tblHeader w:val="true"/>
          <w:cantSplit/>
        </w:trPr>
        <w:tc>
          <w:tcPr>
            <w:tcW w:type="dxa" w:w="2450"/>
            <w:tcMar>
              <w:top w:w="80" w:type="dxa"/>
              <w:start w:w="120" w:type="dxa"/>
              <w:bottom w:w="80" w:type="dxa"/>
              <w:end w:w="120" w:type="dxa"/>
            </w:tcMar>
            <w:vAlign w:val="center"/>
            <w:shd w:fill="E8EEF5"/>
          </w:tcPr>
          <w:p>
            <w:pPr>
              <w:spacing w:before="0" w:after="0" w:line="264" w:lineRule="auto"/>
            </w:pPr>
            <w:r>
              <w:rPr>
                <w:rFonts w:ascii="Calibri" w:hAnsi="Calibri"/>
                <w:b/>
                <w:color w:val="162236"/>
                <w:sz w:val="17"/>
              </w:rPr>
              <w:t>Section</w:t>
            </w:r>
          </w:p>
        </w:tc>
        <w:tc>
          <w:tcPr>
            <w:tcW w:type="dxa" w:w="6910"/>
            <w:tcMar>
              <w:top w:w="80" w:type="dxa"/>
              <w:start w:w="120" w:type="dxa"/>
              <w:bottom w:w="80" w:type="dxa"/>
              <w:end w:w="120" w:type="dxa"/>
            </w:tcMar>
            <w:vAlign w:val="center"/>
            <w:shd w:fill="E8EEF5"/>
          </w:tcPr>
          <w:p>
            <w:pPr>
              <w:spacing w:before="0" w:after="0" w:line="264" w:lineRule="auto"/>
            </w:pPr>
            <w:r>
              <w:rPr>
                <w:rFonts w:ascii="Calibri" w:hAnsi="Calibri"/>
                <w:b/>
                <w:color w:val="162236"/>
                <w:sz w:val="17"/>
              </w:rPr>
              <w:t>Purpose and content</w:t>
            </w:r>
          </w:p>
        </w:tc>
      </w:tr>
      <w:tr>
        <w:trPr>
          <w:cantSplit/>
        </w:trPr>
        <w:tc>
          <w:tcPr>
            <w:tcW w:type="dxa" w:w="2450"/>
            <w:vAlign w:val="center"/>
            <w:tcMar>
              <w:top w:w="80" w:type="dxa"/>
              <w:start w:w="120" w:type="dxa"/>
              <w:bottom w:w="80" w:type="dxa"/>
              <w:end w:w="120" w:type="dxa"/>
            </w:tcMar>
          </w:tcPr>
          <w:p>
            <w:pPr>
              <w:spacing w:before="0" w:after="0" w:line="271" w:lineRule="auto"/>
            </w:pPr>
            <w:r>
              <w:rPr>
                <w:rFonts w:ascii="Calibri" w:hAnsi="Calibri"/>
                <w:color w:val="162236"/>
                <w:sz w:val="17"/>
              </w:rPr>
              <w:t>1. Hero</w:t>
            </w:r>
          </w:p>
        </w:tc>
        <w:tc>
          <w:tcPr>
            <w:tcW w:type="dxa" w:w="6910"/>
            <w:vAlign w:val="center"/>
            <w:tcMar>
              <w:top w:w="80" w:type="dxa"/>
              <w:start w:w="120" w:type="dxa"/>
              <w:bottom w:w="80" w:type="dxa"/>
              <w:end w:w="120" w:type="dxa"/>
            </w:tcMar>
          </w:tcPr>
          <w:p>
            <w:pPr>
              <w:spacing w:before="0" w:after="0" w:line="271" w:lineRule="auto"/>
            </w:pPr>
            <w:r>
              <w:rPr>
                <w:rFonts w:ascii="Calibri" w:hAnsi="Calibri"/>
                <w:color w:val="162236"/>
                <w:sz w:val="17"/>
              </w:rPr>
              <w:t>State the outcome, the category and the two actions. Use a real planning / guide / prosthetic workflow image, not a stock dentist.</w:t>
            </w:r>
          </w:p>
        </w:tc>
      </w:tr>
      <w:tr>
        <w:trPr>
          <w:cantSplit/>
        </w:trPr>
        <w:tc>
          <w:tcPr>
            <w:tcW w:type="dxa" w:w="2450"/>
            <w:vAlign w:val="center"/>
            <w:tcMar>
              <w:top w:w="80" w:type="dxa"/>
              <w:start w:w="120" w:type="dxa"/>
              <w:bottom w:w="80" w:type="dxa"/>
              <w:end w:w="120" w:type="dxa"/>
            </w:tcMar>
          </w:tcPr>
          <w:p>
            <w:pPr>
              <w:spacing w:before="0" w:after="0" w:line="271" w:lineRule="auto"/>
            </w:pPr>
            <w:r>
              <w:rPr>
                <w:rFonts w:ascii="Calibri" w:hAnsi="Calibri"/>
                <w:color w:val="162236"/>
                <w:sz w:val="17"/>
              </w:rPr>
              <w:t>2. Choose the workflow your case needs</w:t>
            </w:r>
          </w:p>
        </w:tc>
        <w:tc>
          <w:tcPr>
            <w:tcW w:type="dxa" w:w="6910"/>
            <w:vAlign w:val="center"/>
            <w:tcMar>
              <w:top w:w="80" w:type="dxa"/>
              <w:start w:w="120" w:type="dxa"/>
              <w:bottom w:w="80" w:type="dxa"/>
              <w:end w:w="120" w:type="dxa"/>
            </w:tcMar>
          </w:tcPr>
          <w:p>
            <w:pPr>
              <w:spacing w:before="0" w:after="0" w:line="271" w:lineRule="auto"/>
            </w:pPr>
            <w:r>
              <w:rPr>
                <w:rFonts w:ascii="Calibri" w:hAnsi="Calibri"/>
                <w:color w:val="162236"/>
                <w:sz w:val="17"/>
              </w:rPr>
              <w:t>Four case-led cards: Guided Implant · Full-Arch Stackable · Zygoma &amp; Pterygoid · Immediate Loading.</w:t>
            </w:r>
          </w:p>
        </w:tc>
      </w:tr>
      <w:tr>
        <w:trPr>
          <w:cantSplit/>
        </w:trPr>
        <w:tc>
          <w:tcPr>
            <w:tcW w:type="dxa" w:w="2450"/>
            <w:vAlign w:val="center"/>
            <w:tcMar>
              <w:top w:w="80" w:type="dxa"/>
              <w:start w:w="120" w:type="dxa"/>
              <w:bottom w:w="80" w:type="dxa"/>
              <w:end w:w="120" w:type="dxa"/>
            </w:tcMar>
          </w:tcPr>
          <w:p>
            <w:pPr>
              <w:spacing w:before="0" w:after="0" w:line="271" w:lineRule="auto"/>
            </w:pPr>
            <w:r>
              <w:rPr>
                <w:rFonts w:ascii="Calibri" w:hAnsi="Calibri"/>
                <w:color w:val="162236"/>
                <w:sz w:val="17"/>
              </w:rPr>
              <w:t>3. The guide is one part of the workflow</w:t>
            </w:r>
          </w:p>
        </w:tc>
        <w:tc>
          <w:tcPr>
            <w:tcW w:type="dxa" w:w="6910"/>
            <w:vAlign w:val="center"/>
            <w:tcMar>
              <w:top w:w="80" w:type="dxa"/>
              <w:start w:w="120" w:type="dxa"/>
              <w:bottom w:w="80" w:type="dxa"/>
              <w:end w:w="120" w:type="dxa"/>
            </w:tcMar>
          </w:tcPr>
          <w:p>
            <w:pPr>
              <w:spacing w:before="0" w:after="0" w:line="271" w:lineRule="auto"/>
            </w:pPr>
            <w:r>
              <w:rPr>
                <w:rFonts w:ascii="Calibri" w:hAnsi="Calibri"/>
                <w:color w:val="162236"/>
                <w:sz w:val="17"/>
              </w:rPr>
              <w:t>Explain data alignment, prosthetic objective, implant system confirmation, clinician review and production.</w:t>
            </w:r>
          </w:p>
        </w:tc>
      </w:tr>
      <w:tr>
        <w:trPr>
          <w:cantSplit/>
        </w:trPr>
        <w:tc>
          <w:tcPr>
            <w:tcW w:type="dxa" w:w="2450"/>
            <w:vAlign w:val="center"/>
            <w:tcMar>
              <w:top w:w="80" w:type="dxa"/>
              <w:start w:w="120" w:type="dxa"/>
              <w:bottom w:w="80" w:type="dxa"/>
              <w:end w:w="120" w:type="dxa"/>
            </w:tcMar>
          </w:tcPr>
          <w:p>
            <w:pPr>
              <w:spacing w:before="0" w:after="0" w:line="271" w:lineRule="auto"/>
            </w:pPr>
            <w:r>
              <w:rPr>
                <w:rFonts w:ascii="Calibri" w:hAnsi="Calibri"/>
                <w:color w:val="162236"/>
                <w:sz w:val="17"/>
              </w:rPr>
              <w:t>4. Five visible steps</w:t>
            </w:r>
          </w:p>
        </w:tc>
        <w:tc>
          <w:tcPr>
            <w:tcW w:type="dxa" w:w="6910"/>
            <w:vAlign w:val="center"/>
            <w:tcMar>
              <w:top w:w="80" w:type="dxa"/>
              <w:start w:w="120" w:type="dxa"/>
              <w:bottom w:w="80" w:type="dxa"/>
              <w:end w:w="120" w:type="dxa"/>
            </w:tcMar>
          </w:tcPr>
          <w:p>
            <w:pPr>
              <w:spacing w:before="0" w:after="0" w:line="271" w:lineRule="auto"/>
            </w:pPr>
            <w:r>
              <w:rPr>
                <w:rFonts w:ascii="Calibri" w:hAnsi="Calibri"/>
                <w:color w:val="162236"/>
                <w:sz w:val="17"/>
              </w:rPr>
              <w:t>Submit securely · Validate data · Review the plan · Approve production · Track delivery.</w:t>
            </w:r>
          </w:p>
        </w:tc>
      </w:tr>
      <w:tr>
        <w:trPr>
          <w:cantSplit/>
        </w:trPr>
        <w:tc>
          <w:tcPr>
            <w:tcW w:type="dxa" w:w="2450"/>
            <w:vAlign w:val="center"/>
            <w:tcMar>
              <w:top w:w="80" w:type="dxa"/>
              <w:start w:w="120" w:type="dxa"/>
              <w:bottom w:w="80" w:type="dxa"/>
              <w:end w:w="120" w:type="dxa"/>
            </w:tcMar>
          </w:tcPr>
          <w:p>
            <w:pPr>
              <w:spacing w:before="0" w:after="0" w:line="271" w:lineRule="auto"/>
            </w:pPr>
            <w:r>
              <w:rPr>
                <w:rFonts w:ascii="Calibri" w:hAnsi="Calibri"/>
                <w:color w:val="162236"/>
                <w:sz w:val="17"/>
              </w:rPr>
              <w:t>5. Choose how much support you need</w:t>
            </w:r>
          </w:p>
        </w:tc>
        <w:tc>
          <w:tcPr>
            <w:tcW w:type="dxa" w:w="6910"/>
            <w:vAlign w:val="center"/>
            <w:tcMar>
              <w:top w:w="80" w:type="dxa"/>
              <w:start w:w="120" w:type="dxa"/>
              <w:bottom w:w="80" w:type="dxa"/>
              <w:end w:w="120" w:type="dxa"/>
            </w:tcMar>
          </w:tcPr>
          <w:p>
            <w:pPr>
              <w:spacing w:before="0" w:after="0" w:line="271" w:lineRule="auto"/>
            </w:pPr>
            <w:r>
              <w:rPr>
                <w:rFonts w:ascii="Calibri" w:hAnsi="Calibri"/>
                <w:color w:val="162236"/>
                <w:sz w:val="17"/>
              </w:rPr>
              <w:t>Design Only · Design to Delivery · White-Label Partnership.</w:t>
            </w:r>
          </w:p>
        </w:tc>
      </w:tr>
      <w:tr>
        <w:trPr>
          <w:cantSplit/>
        </w:trPr>
        <w:tc>
          <w:tcPr>
            <w:tcW w:type="dxa" w:w="2450"/>
            <w:vAlign w:val="center"/>
            <w:tcMar>
              <w:top w:w="80" w:type="dxa"/>
              <w:start w:w="120" w:type="dxa"/>
              <w:bottom w:w="80" w:type="dxa"/>
              <w:end w:w="120" w:type="dxa"/>
            </w:tcMar>
          </w:tcPr>
          <w:p>
            <w:pPr>
              <w:spacing w:before="0" w:after="0" w:line="271" w:lineRule="auto"/>
            </w:pPr>
            <w:r>
              <w:rPr>
                <w:rFonts w:ascii="Calibri" w:hAnsi="Calibri"/>
                <w:color w:val="162236"/>
                <w:sz w:val="17"/>
              </w:rPr>
              <w:t>6. Complex-case depth</w:t>
            </w:r>
          </w:p>
        </w:tc>
        <w:tc>
          <w:tcPr>
            <w:tcW w:type="dxa" w:w="6910"/>
            <w:vAlign w:val="center"/>
            <w:tcMar>
              <w:top w:w="80" w:type="dxa"/>
              <w:start w:w="120" w:type="dxa"/>
              <w:bottom w:w="80" w:type="dxa"/>
              <w:end w:w="120" w:type="dxa"/>
            </w:tcMar>
          </w:tcPr>
          <w:p>
            <w:pPr>
              <w:spacing w:before="0" w:after="0" w:line="271" w:lineRule="auto"/>
            </w:pPr>
            <w:r>
              <w:rPr>
                <w:rFonts w:ascii="Calibri" w:hAnsi="Calibri"/>
                <w:color w:val="162236"/>
                <w:sz w:val="17"/>
              </w:rPr>
              <w:t>Show one real full-arch or advanced workflow with the sequence visible.</w:t>
            </w:r>
          </w:p>
        </w:tc>
      </w:tr>
      <w:tr>
        <w:trPr>
          <w:cantSplit/>
        </w:trPr>
        <w:tc>
          <w:tcPr>
            <w:tcW w:type="dxa" w:w="2450"/>
            <w:vAlign w:val="center"/>
            <w:tcMar>
              <w:top w:w="80" w:type="dxa"/>
              <w:start w:w="120" w:type="dxa"/>
              <w:bottom w:w="80" w:type="dxa"/>
              <w:end w:w="120" w:type="dxa"/>
            </w:tcMar>
          </w:tcPr>
          <w:p>
            <w:pPr>
              <w:spacing w:before="0" w:after="0" w:line="271" w:lineRule="auto"/>
            </w:pPr>
            <w:r>
              <w:rPr>
                <w:rFonts w:ascii="Calibri" w:hAnsi="Calibri"/>
                <w:color w:val="162236"/>
                <w:sz w:val="17"/>
              </w:rPr>
              <w:t>7. Evidence, not adjectives</w:t>
            </w:r>
          </w:p>
        </w:tc>
        <w:tc>
          <w:tcPr>
            <w:tcW w:type="dxa" w:w="6910"/>
            <w:vAlign w:val="center"/>
            <w:tcMar>
              <w:top w:w="80" w:type="dxa"/>
              <w:start w:w="120" w:type="dxa"/>
              <w:bottom w:w="80" w:type="dxa"/>
              <w:end w:w="120" w:type="dxa"/>
            </w:tcMar>
          </w:tcPr>
          <w:p>
            <w:pPr>
              <w:spacing w:before="0" w:after="0" w:line="271" w:lineRule="auto"/>
            </w:pPr>
            <w:r>
              <w:rPr>
                <w:rFonts w:ascii="Calibri" w:hAnsi="Calibri"/>
                <w:color w:val="162236"/>
                <w:sz w:val="17"/>
              </w:rPr>
              <w:t>Verified figures, anonymised case evidence, named partners and reviewer credentials.</w:t>
            </w:r>
          </w:p>
        </w:tc>
      </w:tr>
      <w:tr>
        <w:trPr>
          <w:cantSplit/>
        </w:trPr>
        <w:tc>
          <w:tcPr>
            <w:tcW w:type="dxa" w:w="2450"/>
            <w:vAlign w:val="center"/>
            <w:tcMar>
              <w:top w:w="80" w:type="dxa"/>
              <w:start w:w="120" w:type="dxa"/>
              <w:bottom w:w="80" w:type="dxa"/>
              <w:end w:w="120" w:type="dxa"/>
            </w:tcMar>
          </w:tcPr>
          <w:p>
            <w:pPr>
              <w:spacing w:before="0" w:after="0" w:line="271" w:lineRule="auto"/>
            </w:pPr>
            <w:r>
              <w:rPr>
                <w:rFonts w:ascii="Calibri" w:hAnsi="Calibri"/>
                <w:color w:val="162236"/>
                <w:sz w:val="17"/>
              </w:rPr>
              <w:t>8. Case requirements</w:t>
            </w:r>
          </w:p>
        </w:tc>
        <w:tc>
          <w:tcPr>
            <w:tcW w:type="dxa" w:w="6910"/>
            <w:vAlign w:val="center"/>
            <w:tcMar>
              <w:top w:w="80" w:type="dxa"/>
              <w:start w:w="120" w:type="dxa"/>
              <w:bottom w:w="80" w:type="dxa"/>
              <w:end w:w="120" w:type="dxa"/>
            </w:tcMar>
          </w:tcPr>
          <w:p>
            <w:pPr>
              <w:spacing w:before="0" w:after="0" w:line="271" w:lineRule="auto"/>
            </w:pPr>
            <w:r>
              <w:rPr>
                <w:rFonts w:ascii="Calibri" w:hAnsi="Calibri"/>
                <w:color w:val="162236"/>
                <w:sz w:val="17"/>
              </w:rPr>
              <w:t>Show the minimum files and link to the full requirements page.</w:t>
            </w:r>
          </w:p>
        </w:tc>
      </w:tr>
      <w:tr>
        <w:trPr>
          <w:cantSplit/>
        </w:trPr>
        <w:tc>
          <w:tcPr>
            <w:tcW w:type="dxa" w:w="2450"/>
            <w:vAlign w:val="center"/>
            <w:tcMar>
              <w:top w:w="80" w:type="dxa"/>
              <w:start w:w="120" w:type="dxa"/>
              <w:bottom w:w="80" w:type="dxa"/>
              <w:end w:w="120" w:type="dxa"/>
            </w:tcMar>
          </w:tcPr>
          <w:p>
            <w:pPr>
              <w:spacing w:before="0" w:after="0" w:line="271" w:lineRule="auto"/>
            </w:pPr>
            <w:r>
              <w:rPr>
                <w:rFonts w:ascii="Calibri" w:hAnsi="Calibri"/>
                <w:color w:val="162236"/>
                <w:sz w:val="17"/>
              </w:rPr>
              <w:t>9. Final action</w:t>
            </w:r>
          </w:p>
        </w:tc>
        <w:tc>
          <w:tcPr>
            <w:tcW w:type="dxa" w:w="6910"/>
            <w:vAlign w:val="center"/>
            <w:tcMar>
              <w:top w:w="80" w:type="dxa"/>
              <w:start w:w="120" w:type="dxa"/>
              <w:bottom w:w="80" w:type="dxa"/>
              <w:end w:w="120" w:type="dxa"/>
            </w:tcMar>
          </w:tcPr>
          <w:p>
            <w:pPr>
              <w:spacing w:before="0" w:after="0" w:line="271" w:lineRule="auto"/>
            </w:pPr>
            <w:r>
              <w:rPr>
                <w:rFonts w:ascii="Calibri" w:hAnsi="Calibri"/>
                <w:color w:val="162236"/>
                <w:sz w:val="17"/>
              </w:rPr>
              <w:t>Start a Case or Discuss a Complex Case. Returning users open the portal.</w:t>
            </w:r>
          </w:p>
        </w:tc>
      </w:tr>
    </w:tbl>
    <w:p>
      <w:pPr>
        <w:spacing w:after="60"/>
      </w:pPr>
    </w:p>
    <w:p>
      <w:pPr>
        <w:pStyle w:val="Heading2"/>
        <w:spacing w:before="280" w:after="140" w:line="252" w:lineRule="auto"/>
        <w:keepNext w:val="1"/>
        <w:pageBreakBefore w:val="0"/>
      </w:pPr>
      <w:r>
        <w:rPr>
          <w:rFonts w:ascii="Calibri" w:hAnsi="Calibri"/>
          <w:b/>
          <w:color w:val="2E74B5"/>
          <w:sz w:val="26"/>
        </w:rPr>
        <w:t>Suggested section copy</w:t>
      </w:r>
    </w:p>
    <w:p>
      <w:pPr>
        <w:pStyle w:val="Heading3"/>
        <w:spacing w:before="200" w:after="100" w:line="252" w:lineRule="auto"/>
        <w:keepNext w:val="1"/>
        <w:pageBreakBefore w:val="0"/>
      </w:pPr>
      <w:r>
        <w:rPr>
          <w:rFonts w:ascii="Calibri" w:hAnsi="Calibri"/>
          <w:b/>
          <w:color w:val="1F4D78"/>
          <w:sz w:val="24"/>
        </w:rPr>
        <w:t>Choose the workflow your case needs</w:t>
      </w:r>
    </w:p>
    <w:p>
      <w:pPr>
        <w:pStyle w:val="ListBullet"/>
        <w:keepLines/>
        <w:spacing w:before="0" w:after="80" w:line="300" w:lineRule="auto"/>
      </w:pPr>
      <w:r>
        <w:rPr>
          <w:rFonts w:ascii="Calibri" w:hAnsi="Calibri"/>
          <w:b/>
          <w:color w:val="162236"/>
          <w:sz w:val="22"/>
        </w:rPr>
        <w:t xml:space="preserve">Guided Implant Workflow. </w:t>
      </w:r>
      <w:r>
        <w:rPr>
          <w:rFonts w:ascii="Calibri" w:hAnsi="Calibri"/>
          <w:color w:val="162236"/>
          <w:sz w:val="22"/>
        </w:rPr>
        <w:t>Restoration-led planning and surgical guide support for single and multiple implant cases.</w:t>
      </w:r>
    </w:p>
    <w:p>
      <w:pPr>
        <w:pStyle w:val="ListBullet"/>
        <w:keepLines/>
        <w:spacing w:before="0" w:after="80" w:line="300" w:lineRule="auto"/>
      </w:pPr>
      <w:r>
        <w:rPr>
          <w:rFonts w:ascii="Calibri" w:hAnsi="Calibri"/>
          <w:b/>
          <w:color w:val="162236"/>
          <w:sz w:val="22"/>
        </w:rPr>
        <w:t xml:space="preserve">Full-Arch Stackable Workflow. </w:t>
      </w:r>
      <w:r>
        <w:rPr>
          <w:rFonts w:ascii="Calibri" w:hAnsi="Calibri"/>
          <w:color w:val="162236"/>
          <w:sz w:val="22"/>
        </w:rPr>
        <w:t>A coordinated sequence for bone reduction, implant placement, MUA positioning and provisional delivery.</w:t>
      </w:r>
    </w:p>
    <w:p>
      <w:pPr>
        <w:pStyle w:val="ListBullet"/>
        <w:keepLines/>
        <w:spacing w:before="0" w:after="80" w:line="300" w:lineRule="auto"/>
      </w:pPr>
      <w:r>
        <w:rPr>
          <w:rFonts w:ascii="Calibri" w:hAnsi="Calibri"/>
          <w:b/>
          <w:color w:val="162236"/>
          <w:sz w:val="22"/>
        </w:rPr>
        <w:t xml:space="preserve">Zygoma &amp; Pterygoid Planning. </w:t>
      </w:r>
      <w:r>
        <w:rPr>
          <w:rFonts w:ascii="Calibri" w:hAnsi="Calibri"/>
          <w:color w:val="162236"/>
          <w:sz w:val="22"/>
        </w:rPr>
        <w:t>Advanced planning support where anatomy, implant trajectory and prosthetic intent must be reviewed together.</w:t>
      </w:r>
    </w:p>
    <w:p>
      <w:pPr>
        <w:pStyle w:val="ListBullet"/>
        <w:keepLines/>
        <w:spacing w:before="0" w:after="80" w:line="300" w:lineRule="auto"/>
      </w:pPr>
      <w:r>
        <w:rPr>
          <w:rFonts w:ascii="Calibri" w:hAnsi="Calibri"/>
          <w:b/>
          <w:color w:val="162236"/>
          <w:sz w:val="22"/>
        </w:rPr>
        <w:t xml:space="preserve">Immediate-Loading Workflow. </w:t>
      </w:r>
      <w:r>
        <w:rPr>
          <w:rFonts w:ascii="Calibri" w:hAnsi="Calibri"/>
          <w:color w:val="162236"/>
          <w:sz w:val="22"/>
        </w:rPr>
        <w:t>Align the approved plan, guide and provisional reference before the surgical appointment.</w:t>
      </w:r>
    </w:p>
    <w:p>
      <w:pPr>
        <w:pStyle w:val="Heading3"/>
        <w:spacing w:before="200" w:after="100" w:line="252" w:lineRule="auto"/>
        <w:keepNext w:val="1"/>
        <w:pageBreakBefore w:val="0"/>
      </w:pPr>
      <w:r>
        <w:rPr>
          <w:rFonts w:ascii="Calibri" w:hAnsi="Calibri"/>
          <w:b/>
          <w:color w:val="1F4D78"/>
          <w:sz w:val="24"/>
        </w:rPr>
        <w:t>The guide is one part of the workflow</w:t>
      </w:r>
    </w:p>
    <w:p>
      <w:pPr>
        <w:spacing w:before="0" w:after="120" w:line="300" w:lineRule="auto"/>
        <w:jc w:val="left"/>
      </w:pPr>
      <w:r>
        <w:rPr>
          <w:rFonts w:ascii="Calibri" w:hAnsi="Calibri"/>
          <w:i w:val="0"/>
          <w:color w:val="162236"/>
          <w:sz w:val="22"/>
        </w:rPr>
        <w:t>A usable guide begins before guide design. The patient data must align. The planned restoration must be visible. The implant system and drilling protocol must be correctly specified. The clinician must review the plan. We coordinate those steps before production begins.</w:t>
      </w:r>
    </w:p>
    <w:p>
      <w:pPr>
        <w:pStyle w:val="Heading3"/>
        <w:spacing w:before="200" w:after="100" w:line="252" w:lineRule="auto"/>
        <w:keepNext w:val="1"/>
        <w:pageBreakBefore w:val="0"/>
      </w:pPr>
      <w:r>
        <w:rPr>
          <w:rFonts w:ascii="Calibri" w:hAnsi="Calibri"/>
          <w:b/>
          <w:color w:val="1F4D78"/>
          <w:sz w:val="24"/>
        </w:rPr>
        <w:t>Five visible steps</w:t>
      </w:r>
    </w:p>
    <w:p>
      <w:pPr>
        <w:keepLines/>
        <w:spacing w:before="0" w:after="100" w:line="300" w:lineRule="auto"/>
        <w:numPr>
          <w:ilvl w:val="0"/>
          <w:numId w:val="11"/>
        </w:numPr>
      </w:pPr>
      <w:r>
        <w:rPr>
          <w:rFonts w:ascii="Calibri" w:hAnsi="Calibri"/>
          <w:b/>
          <w:color w:val="162236"/>
          <w:sz w:val="22"/>
        </w:rPr>
        <w:t xml:space="preserve">Submit securely. </w:t>
      </w:r>
      <w:r>
        <w:rPr>
          <w:rFonts w:ascii="Calibri" w:hAnsi="Calibri"/>
          <w:color w:val="162236"/>
          <w:sz w:val="22"/>
        </w:rPr>
        <w:t>Create a practice account and upload case files inside the Case Portal.</w:t>
      </w:r>
    </w:p>
    <w:p>
      <w:pPr>
        <w:keepLines/>
        <w:spacing w:before="0" w:after="100" w:line="300" w:lineRule="auto"/>
        <w:numPr>
          <w:ilvl w:val="0"/>
          <w:numId w:val="11"/>
        </w:numPr>
      </w:pPr>
      <w:r>
        <w:rPr>
          <w:rFonts w:ascii="Calibri" w:hAnsi="Calibri"/>
          <w:b/>
          <w:color w:val="162236"/>
          <w:sz w:val="22"/>
        </w:rPr>
        <w:t xml:space="preserve">Validate the data. </w:t>
      </w:r>
      <w:r>
        <w:rPr>
          <w:rFonts w:ascii="Calibri" w:hAnsi="Calibri"/>
          <w:color w:val="162236"/>
          <w:sz w:val="22"/>
        </w:rPr>
        <w:t>We check file completeness, scan alignment and the information needed for the selected workflow.</w:t>
      </w:r>
    </w:p>
    <w:p>
      <w:pPr>
        <w:keepLines/>
        <w:spacing w:before="0" w:after="100" w:line="300" w:lineRule="auto"/>
        <w:numPr>
          <w:ilvl w:val="0"/>
          <w:numId w:val="11"/>
        </w:numPr>
      </w:pPr>
      <w:r>
        <w:rPr>
          <w:rFonts w:ascii="Calibri" w:hAnsi="Calibri"/>
          <w:b/>
          <w:color w:val="162236"/>
          <w:sz w:val="22"/>
        </w:rPr>
        <w:t xml:space="preserve">Review the plan. </w:t>
      </w:r>
      <w:r>
        <w:rPr>
          <w:rFonts w:ascii="Calibri" w:hAnsi="Calibri"/>
          <w:color w:val="162236"/>
          <w:sz w:val="22"/>
        </w:rPr>
        <w:t>The proposed plan and relevant references are shared for clinician review.</w:t>
      </w:r>
    </w:p>
    <w:p>
      <w:pPr>
        <w:keepLines/>
        <w:spacing w:before="0" w:after="100" w:line="300" w:lineRule="auto"/>
        <w:numPr>
          <w:ilvl w:val="0"/>
          <w:numId w:val="11"/>
        </w:numPr>
      </w:pPr>
      <w:r>
        <w:rPr>
          <w:rFonts w:ascii="Calibri" w:hAnsi="Calibri"/>
          <w:b/>
          <w:color w:val="162236"/>
          <w:sz w:val="22"/>
        </w:rPr>
        <w:t xml:space="preserve">Approve production. </w:t>
      </w:r>
      <w:r>
        <w:rPr>
          <w:rFonts w:ascii="Calibri" w:hAnsi="Calibri"/>
          <w:color w:val="162236"/>
          <w:sz w:val="22"/>
        </w:rPr>
        <w:t>Production begins only after the required approval and scope confirmation.</w:t>
      </w:r>
    </w:p>
    <w:p>
      <w:pPr>
        <w:keepLines/>
        <w:spacing w:before="0" w:after="100" w:line="300" w:lineRule="auto"/>
        <w:numPr>
          <w:ilvl w:val="0"/>
          <w:numId w:val="11"/>
        </w:numPr>
      </w:pPr>
      <w:r>
        <w:rPr>
          <w:rFonts w:ascii="Calibri" w:hAnsi="Calibri"/>
          <w:b/>
          <w:color w:val="162236"/>
          <w:sz w:val="22"/>
        </w:rPr>
        <w:t xml:space="preserve">Track delivery. </w:t>
      </w:r>
      <w:r>
        <w:rPr>
          <w:rFonts w:ascii="Calibri" w:hAnsi="Calibri"/>
          <w:color w:val="162236"/>
          <w:sz w:val="22"/>
        </w:rPr>
        <w:t>Follow the case status and receive files, dispatch details or completion information in one place.</w:t>
      </w:r>
    </w:p>
    <w:p>
      <w:pPr>
        <w:pStyle w:val="Heading3"/>
        <w:spacing w:before="200" w:after="100" w:line="252" w:lineRule="auto"/>
        <w:keepNext w:val="1"/>
        <w:pageBreakBefore w:val="0"/>
      </w:pPr>
      <w:r>
        <w:rPr>
          <w:rFonts w:ascii="Calibri" w:hAnsi="Calibri"/>
          <w:b/>
          <w:color w:val="1F4D78"/>
          <w:sz w:val="24"/>
        </w:rPr>
        <w:t>Complex-case bridge</w:t>
      </w:r>
    </w:p>
    <w:p>
      <w:pPr>
        <w:spacing w:before="100" w:after="180" w:line="300" w:lineRule="auto"/>
        <w:ind w:left="202" w:right="144"/>
        <w:shd w:fill="F2F4F7"/>
        <w:pBdr>
          <w:left w:val="single" w:sz="16" w:space="8" w:color="1F4D78"/>
        </w:pBdr>
        <w:keepLines w:val="1"/>
      </w:pPr>
      <w:r>
        <w:rPr>
          <w:rFonts w:ascii="Calibri" w:hAnsi="Calibri"/>
          <w:b/>
          <w:color w:val="1F4D78"/>
          <w:sz w:val="18"/>
        </w:rPr>
        <w:t xml:space="preserve">SECTION HEADLINE  </w:t>
      </w:r>
      <w:r>
        <w:rPr>
          <w:rFonts w:ascii="Calibri" w:hAnsi="Calibri"/>
          <w:b/>
          <w:color w:val="162236"/>
          <w:sz w:val="22"/>
        </w:rPr>
        <w:t>Bring us the cases that need more than a template.</w:t>
      </w:r>
    </w:p>
    <w:p>
      <w:pPr>
        <w:spacing w:before="0" w:after="120" w:line="300" w:lineRule="auto"/>
        <w:jc w:val="left"/>
      </w:pPr>
      <w:r>
        <w:rPr>
          <w:rFonts w:ascii="Calibri" w:hAnsi="Calibri"/>
          <w:i w:val="0"/>
          <w:color w:val="162236"/>
          <w:sz w:val="22"/>
        </w:rPr>
        <w:t>Full-arch, immediate-loading, pterygoid and zygomatic cases involve more than implant coordinates. They require a shared understanding of the restorative goal, support strategy, surgical sequence and approval points. Discuss the workflow before uploading the complete case if the scope is still being defined.</w:t>
      </w:r>
    </w:p>
    <w:p>
      <w:pPr>
        <w:pStyle w:val="Heading1"/>
        <w:spacing w:before="360" w:after="200" w:line="252" w:lineRule="auto"/>
        <w:keepNext w:val="1"/>
        <w:pageBreakBefore w:val="1"/>
      </w:pPr>
      <w:r>
        <w:rPr>
          <w:rFonts w:ascii="Calibri" w:hAnsi="Calibri"/>
          <w:b/>
          <w:color w:val="2E74B5"/>
          <w:sz w:val="32"/>
        </w:rPr>
        <w:t>5. Page-level SEO map</w:t>
      </w:r>
    </w:p>
    <w:p>
      <w:pPr>
        <w:spacing w:before="0" w:after="120" w:line="300" w:lineRule="auto"/>
        <w:jc w:val="left"/>
      </w:pPr>
      <w:r>
        <w:rPr>
          <w:rFonts w:ascii="Calibri" w:hAnsi="Calibri"/>
          <w:i w:val="0"/>
          <w:color w:val="162236"/>
          <w:sz w:val="22"/>
        </w:rPr>
        <w:t>Each important search intent has one primary page. Keywords inform the page, but the page is written for the dentist’s decision. This prevents keyword stuffing and reduces internal competition between similar pages.</w:t>
      </w:r>
    </w:p>
    <w:tbl>
      <w:tblPr>
        <w:tblStyle w:val="TableGrid"/>
        <w:tblW w:type="dxa" w:w="9360"/>
        <w:tblLayout w:type="fixed"/>
        <w:tblLook w:firstColumn="1" w:firstRow="1" w:lastColumn="0" w:lastRow="0" w:noHBand="0" w:noVBand="1" w:val="04A0"/>
        <w:jc w:val="left"/>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1900"/>
        <w:gridCol w:w="3300"/>
        <w:gridCol w:w="4160"/>
      </w:tblGrid>
      <w:tr>
        <w:trPr>
          <w:tblHeader w:val="true"/>
          <w:cantSplit/>
        </w:trPr>
        <w:tc>
          <w:tcPr>
            <w:tcW w:type="dxa" w:w="1900"/>
            <w:tcMar>
              <w:top w:w="80" w:type="dxa"/>
              <w:start w:w="120" w:type="dxa"/>
              <w:bottom w:w="80" w:type="dxa"/>
              <w:end w:w="120" w:type="dxa"/>
            </w:tcMar>
            <w:vAlign w:val="center"/>
            <w:shd w:fill="E8EEF5"/>
          </w:tcPr>
          <w:p>
            <w:pPr>
              <w:spacing w:before="0" w:after="0" w:line="264" w:lineRule="auto"/>
            </w:pPr>
            <w:r>
              <w:rPr>
                <w:rFonts w:ascii="Calibri" w:hAnsi="Calibri"/>
                <w:b/>
                <w:color w:val="162236"/>
                <w:sz w:val="16"/>
              </w:rPr>
              <w:t>Page</w:t>
            </w:r>
          </w:p>
        </w:tc>
        <w:tc>
          <w:tcPr>
            <w:tcW w:type="dxa" w:w="3300"/>
            <w:tcMar>
              <w:top w:w="80" w:type="dxa"/>
              <w:start w:w="120" w:type="dxa"/>
              <w:bottom w:w="80" w:type="dxa"/>
              <w:end w:w="120" w:type="dxa"/>
            </w:tcMar>
            <w:vAlign w:val="center"/>
            <w:shd w:fill="E8EEF5"/>
          </w:tcPr>
          <w:p>
            <w:pPr>
              <w:spacing w:before="0" w:after="0" w:line="264" w:lineRule="auto"/>
            </w:pPr>
            <w:r>
              <w:rPr>
                <w:rFonts w:ascii="Calibri" w:hAnsi="Calibri"/>
                <w:b/>
                <w:color w:val="162236"/>
                <w:sz w:val="16"/>
              </w:rPr>
              <w:t>Primary search intent</w:t>
            </w:r>
          </w:p>
        </w:tc>
        <w:tc>
          <w:tcPr>
            <w:tcW w:type="dxa" w:w="4160"/>
            <w:tcMar>
              <w:top w:w="80" w:type="dxa"/>
              <w:start w:w="120" w:type="dxa"/>
              <w:bottom w:w="80" w:type="dxa"/>
              <w:end w:w="120" w:type="dxa"/>
            </w:tcMar>
            <w:vAlign w:val="center"/>
            <w:shd w:fill="E8EEF5"/>
          </w:tcPr>
          <w:p>
            <w:pPr>
              <w:spacing w:before="0" w:after="0" w:line="264" w:lineRule="auto"/>
            </w:pPr>
            <w:r>
              <w:rPr>
                <w:rFonts w:ascii="Calibri" w:hAnsi="Calibri"/>
                <w:b/>
                <w:color w:val="162236"/>
                <w:sz w:val="16"/>
              </w:rPr>
              <w:t>Recommended SEO title</w:t>
            </w:r>
          </w:p>
        </w:tc>
      </w:tr>
      <w:tr>
        <w:trPr>
          <w:cantSplit/>
        </w:trPr>
        <w:tc>
          <w:tcPr>
            <w:tcW w:type="dxa" w:w="1900"/>
            <w:vAlign w:val="center"/>
            <w:tcMar>
              <w:top w:w="80" w:type="dxa"/>
              <w:start w:w="120" w:type="dxa"/>
              <w:bottom w:w="80" w:type="dxa"/>
              <w:end w:w="120" w:type="dxa"/>
            </w:tcMar>
          </w:tcPr>
          <w:p>
            <w:pPr>
              <w:spacing w:before="0" w:after="0" w:line="271" w:lineRule="auto"/>
            </w:pPr>
            <w:r>
              <w:rPr>
                <w:rFonts w:ascii="Calibri" w:hAnsi="Calibri"/>
                <w:color w:val="162236"/>
                <w:sz w:val="16"/>
              </w:rPr>
              <w:t>Home</w:t>
            </w:r>
          </w:p>
        </w:tc>
        <w:tc>
          <w:tcPr>
            <w:tcW w:type="dxa" w:w="3300"/>
            <w:vAlign w:val="center"/>
            <w:tcMar>
              <w:top w:w="80" w:type="dxa"/>
              <w:start w:w="120" w:type="dxa"/>
              <w:bottom w:w="80" w:type="dxa"/>
              <w:end w:w="120" w:type="dxa"/>
            </w:tcMar>
          </w:tcPr>
          <w:p>
            <w:pPr>
              <w:spacing w:before="0" w:after="0" w:line="271" w:lineRule="auto"/>
            </w:pPr>
            <w:r>
              <w:rPr>
                <w:rFonts w:ascii="Calibri" w:hAnsi="Calibri"/>
                <w:color w:val="162236"/>
                <w:sz w:val="16"/>
              </w:rPr>
              <w:t>digital implant planning services; surgical guide services</w:t>
            </w:r>
          </w:p>
        </w:tc>
        <w:tc>
          <w:tcPr>
            <w:tcW w:type="dxa" w:w="4160"/>
            <w:vAlign w:val="center"/>
            <w:tcMar>
              <w:top w:w="80" w:type="dxa"/>
              <w:start w:w="120" w:type="dxa"/>
              <w:bottom w:w="80" w:type="dxa"/>
              <w:end w:w="120" w:type="dxa"/>
            </w:tcMar>
          </w:tcPr>
          <w:p>
            <w:pPr>
              <w:spacing w:before="0" w:after="0" w:line="271" w:lineRule="auto"/>
            </w:pPr>
            <w:r>
              <w:rPr>
                <w:rFonts w:ascii="Calibri" w:hAnsi="Calibri"/>
                <w:color w:val="162236"/>
                <w:sz w:val="16"/>
              </w:rPr>
              <w:t>Digital Implant Planning &amp; Surgical Guides | Image3DConversion</w:t>
            </w:r>
          </w:p>
        </w:tc>
      </w:tr>
      <w:tr>
        <w:trPr>
          <w:cantSplit/>
        </w:trPr>
        <w:tc>
          <w:tcPr>
            <w:tcW w:type="dxa" w:w="1900"/>
            <w:vAlign w:val="center"/>
            <w:tcMar>
              <w:top w:w="80" w:type="dxa"/>
              <w:start w:w="120" w:type="dxa"/>
              <w:bottom w:w="80" w:type="dxa"/>
              <w:end w:w="120" w:type="dxa"/>
            </w:tcMar>
          </w:tcPr>
          <w:p>
            <w:pPr>
              <w:spacing w:before="0" w:after="0" w:line="271" w:lineRule="auto"/>
            </w:pPr>
            <w:r>
              <w:rPr>
                <w:rFonts w:ascii="Calibri" w:hAnsi="Calibri"/>
                <w:color w:val="162236"/>
                <w:sz w:val="16"/>
              </w:rPr>
              <w:t>Solutions hub</w:t>
            </w:r>
          </w:p>
        </w:tc>
        <w:tc>
          <w:tcPr>
            <w:tcW w:type="dxa" w:w="3300"/>
            <w:vAlign w:val="center"/>
            <w:tcMar>
              <w:top w:w="80" w:type="dxa"/>
              <w:start w:w="120" w:type="dxa"/>
              <w:bottom w:w="80" w:type="dxa"/>
              <w:end w:w="120" w:type="dxa"/>
            </w:tcMar>
          </w:tcPr>
          <w:p>
            <w:pPr>
              <w:spacing w:before="0" w:after="0" w:line="271" w:lineRule="auto"/>
            </w:pPr>
            <w:r>
              <w:rPr>
                <w:rFonts w:ascii="Calibri" w:hAnsi="Calibri"/>
                <w:color w:val="162236"/>
                <w:sz w:val="16"/>
              </w:rPr>
              <w:t>digital implant workflow solutions</w:t>
            </w:r>
          </w:p>
        </w:tc>
        <w:tc>
          <w:tcPr>
            <w:tcW w:type="dxa" w:w="4160"/>
            <w:vAlign w:val="center"/>
            <w:tcMar>
              <w:top w:w="80" w:type="dxa"/>
              <w:start w:w="120" w:type="dxa"/>
              <w:bottom w:w="80" w:type="dxa"/>
              <w:end w:w="120" w:type="dxa"/>
            </w:tcMar>
          </w:tcPr>
          <w:p>
            <w:pPr>
              <w:spacing w:before="0" w:after="0" w:line="271" w:lineRule="auto"/>
            </w:pPr>
            <w:r>
              <w:rPr>
                <w:rFonts w:ascii="Calibri" w:hAnsi="Calibri"/>
                <w:color w:val="162236"/>
                <w:sz w:val="16"/>
              </w:rPr>
              <w:t>Digital Implant Workflow Solutions | Image3DConversion</w:t>
            </w:r>
          </w:p>
        </w:tc>
      </w:tr>
      <w:tr>
        <w:trPr>
          <w:cantSplit/>
        </w:trPr>
        <w:tc>
          <w:tcPr>
            <w:tcW w:type="dxa" w:w="1900"/>
            <w:vAlign w:val="center"/>
            <w:tcMar>
              <w:top w:w="80" w:type="dxa"/>
              <w:start w:w="120" w:type="dxa"/>
              <w:bottom w:w="80" w:type="dxa"/>
              <w:end w:w="120" w:type="dxa"/>
            </w:tcMar>
          </w:tcPr>
          <w:p>
            <w:pPr>
              <w:spacing w:before="0" w:after="0" w:line="271" w:lineRule="auto"/>
            </w:pPr>
            <w:r>
              <w:rPr>
                <w:rFonts w:ascii="Calibri" w:hAnsi="Calibri"/>
                <w:color w:val="162236"/>
                <w:sz w:val="16"/>
              </w:rPr>
              <w:t>Guided</w:t>
            </w:r>
          </w:p>
        </w:tc>
        <w:tc>
          <w:tcPr>
            <w:tcW w:type="dxa" w:w="3300"/>
            <w:vAlign w:val="center"/>
            <w:tcMar>
              <w:top w:w="80" w:type="dxa"/>
              <w:start w:w="120" w:type="dxa"/>
              <w:bottom w:w="80" w:type="dxa"/>
              <w:end w:w="120" w:type="dxa"/>
            </w:tcMar>
          </w:tcPr>
          <w:p>
            <w:pPr>
              <w:spacing w:before="0" w:after="0" w:line="271" w:lineRule="auto"/>
            </w:pPr>
            <w:r>
              <w:rPr>
                <w:rFonts w:ascii="Calibri" w:hAnsi="Calibri"/>
                <w:color w:val="162236"/>
                <w:sz w:val="16"/>
              </w:rPr>
              <w:t>dental implant surgical guide design; guided implant planning</w:t>
            </w:r>
          </w:p>
        </w:tc>
        <w:tc>
          <w:tcPr>
            <w:tcW w:type="dxa" w:w="4160"/>
            <w:vAlign w:val="center"/>
            <w:tcMar>
              <w:top w:w="80" w:type="dxa"/>
              <w:start w:w="120" w:type="dxa"/>
              <w:bottom w:w="80" w:type="dxa"/>
              <w:end w:w="120" w:type="dxa"/>
            </w:tcMar>
          </w:tcPr>
          <w:p>
            <w:pPr>
              <w:spacing w:before="0" w:after="0" w:line="271" w:lineRule="auto"/>
            </w:pPr>
            <w:r>
              <w:rPr>
                <w:rFonts w:ascii="Calibri" w:hAnsi="Calibri"/>
                <w:color w:val="162236"/>
                <w:sz w:val="16"/>
              </w:rPr>
              <w:t>Dental Implant Planning &amp; Surgical Guide Design | I3DC</w:t>
            </w:r>
          </w:p>
        </w:tc>
      </w:tr>
      <w:tr>
        <w:trPr>
          <w:cantSplit/>
        </w:trPr>
        <w:tc>
          <w:tcPr>
            <w:tcW w:type="dxa" w:w="1900"/>
            <w:vAlign w:val="center"/>
            <w:tcMar>
              <w:top w:w="80" w:type="dxa"/>
              <w:start w:w="120" w:type="dxa"/>
              <w:bottom w:w="80" w:type="dxa"/>
              <w:end w:w="120" w:type="dxa"/>
            </w:tcMar>
          </w:tcPr>
          <w:p>
            <w:pPr>
              <w:spacing w:before="0" w:after="0" w:line="271" w:lineRule="auto"/>
            </w:pPr>
            <w:r>
              <w:rPr>
                <w:rFonts w:ascii="Calibri" w:hAnsi="Calibri"/>
                <w:color w:val="162236"/>
                <w:sz w:val="16"/>
              </w:rPr>
              <w:t>Full arch</w:t>
            </w:r>
          </w:p>
        </w:tc>
        <w:tc>
          <w:tcPr>
            <w:tcW w:type="dxa" w:w="3300"/>
            <w:vAlign w:val="center"/>
            <w:tcMar>
              <w:top w:w="80" w:type="dxa"/>
              <w:start w:w="120" w:type="dxa"/>
              <w:bottom w:w="80" w:type="dxa"/>
              <w:end w:w="120" w:type="dxa"/>
            </w:tcMar>
          </w:tcPr>
          <w:p>
            <w:pPr>
              <w:spacing w:before="0" w:after="0" w:line="271" w:lineRule="auto"/>
            </w:pPr>
            <w:r>
              <w:rPr>
                <w:rFonts w:ascii="Calibri" w:hAnsi="Calibri"/>
                <w:color w:val="162236"/>
                <w:sz w:val="16"/>
              </w:rPr>
              <w:t>stackable surgical guide; full-arch implant planning</w:t>
            </w:r>
          </w:p>
        </w:tc>
        <w:tc>
          <w:tcPr>
            <w:tcW w:type="dxa" w:w="4160"/>
            <w:vAlign w:val="center"/>
            <w:tcMar>
              <w:top w:w="80" w:type="dxa"/>
              <w:start w:w="120" w:type="dxa"/>
              <w:bottom w:w="80" w:type="dxa"/>
              <w:end w:w="120" w:type="dxa"/>
            </w:tcMar>
          </w:tcPr>
          <w:p>
            <w:pPr>
              <w:spacing w:before="0" w:after="0" w:line="271" w:lineRule="auto"/>
            </w:pPr>
            <w:r>
              <w:rPr>
                <w:rFonts w:ascii="Calibri" w:hAnsi="Calibri"/>
                <w:color w:val="162236"/>
                <w:sz w:val="16"/>
              </w:rPr>
              <w:t>Full-Arch Stackable Surgical Guide Workflow | I3DC</w:t>
            </w:r>
          </w:p>
        </w:tc>
      </w:tr>
      <w:tr>
        <w:trPr>
          <w:cantSplit/>
        </w:trPr>
        <w:tc>
          <w:tcPr>
            <w:tcW w:type="dxa" w:w="1900"/>
            <w:vAlign w:val="center"/>
            <w:tcMar>
              <w:top w:w="80" w:type="dxa"/>
              <w:start w:w="120" w:type="dxa"/>
              <w:bottom w:w="80" w:type="dxa"/>
              <w:end w:w="120" w:type="dxa"/>
            </w:tcMar>
          </w:tcPr>
          <w:p>
            <w:pPr>
              <w:spacing w:before="0" w:after="0" w:line="271" w:lineRule="auto"/>
            </w:pPr>
            <w:r>
              <w:rPr>
                <w:rFonts w:ascii="Calibri" w:hAnsi="Calibri"/>
                <w:color w:val="162236"/>
                <w:sz w:val="16"/>
              </w:rPr>
              <w:t>Zygoma / pterygoid</w:t>
            </w:r>
          </w:p>
        </w:tc>
        <w:tc>
          <w:tcPr>
            <w:tcW w:type="dxa" w:w="3300"/>
            <w:vAlign w:val="center"/>
            <w:tcMar>
              <w:top w:w="80" w:type="dxa"/>
              <w:start w:w="120" w:type="dxa"/>
              <w:bottom w:w="80" w:type="dxa"/>
              <w:end w:w="120" w:type="dxa"/>
            </w:tcMar>
          </w:tcPr>
          <w:p>
            <w:pPr>
              <w:spacing w:before="0" w:after="0" w:line="271" w:lineRule="auto"/>
            </w:pPr>
            <w:r>
              <w:rPr>
                <w:rFonts w:ascii="Calibri" w:hAnsi="Calibri"/>
                <w:color w:val="162236"/>
                <w:sz w:val="16"/>
              </w:rPr>
              <w:t>zygomatic implant planning; pterygoid implant planning</w:t>
            </w:r>
          </w:p>
        </w:tc>
        <w:tc>
          <w:tcPr>
            <w:tcW w:type="dxa" w:w="4160"/>
            <w:vAlign w:val="center"/>
            <w:tcMar>
              <w:top w:w="80" w:type="dxa"/>
              <w:start w:w="120" w:type="dxa"/>
              <w:bottom w:w="80" w:type="dxa"/>
              <w:end w:w="120" w:type="dxa"/>
            </w:tcMar>
          </w:tcPr>
          <w:p>
            <w:pPr>
              <w:spacing w:before="0" w:after="0" w:line="271" w:lineRule="auto"/>
            </w:pPr>
            <w:r>
              <w:rPr>
                <w:rFonts w:ascii="Calibri" w:hAnsi="Calibri"/>
                <w:color w:val="162236"/>
                <w:sz w:val="16"/>
              </w:rPr>
              <w:t>Zygomatic &amp; Pterygoid Implant Planning | I3DC</w:t>
            </w:r>
          </w:p>
        </w:tc>
      </w:tr>
      <w:tr>
        <w:trPr>
          <w:cantSplit/>
        </w:trPr>
        <w:tc>
          <w:tcPr>
            <w:tcW w:type="dxa" w:w="1900"/>
            <w:vAlign w:val="center"/>
            <w:tcMar>
              <w:top w:w="80" w:type="dxa"/>
              <w:start w:w="120" w:type="dxa"/>
              <w:bottom w:w="80" w:type="dxa"/>
              <w:end w:w="120" w:type="dxa"/>
            </w:tcMar>
          </w:tcPr>
          <w:p>
            <w:pPr>
              <w:spacing w:before="0" w:after="0" w:line="271" w:lineRule="auto"/>
            </w:pPr>
            <w:r>
              <w:rPr>
                <w:rFonts w:ascii="Calibri" w:hAnsi="Calibri"/>
                <w:color w:val="162236"/>
                <w:sz w:val="16"/>
              </w:rPr>
              <w:t>Immediate loading</w:t>
            </w:r>
          </w:p>
        </w:tc>
        <w:tc>
          <w:tcPr>
            <w:tcW w:type="dxa" w:w="3300"/>
            <w:vAlign w:val="center"/>
            <w:tcMar>
              <w:top w:w="80" w:type="dxa"/>
              <w:start w:w="120" w:type="dxa"/>
              <w:bottom w:w="80" w:type="dxa"/>
              <w:end w:w="120" w:type="dxa"/>
            </w:tcMar>
          </w:tcPr>
          <w:p>
            <w:pPr>
              <w:spacing w:before="0" w:after="0" w:line="271" w:lineRule="auto"/>
            </w:pPr>
            <w:r>
              <w:rPr>
                <w:rFonts w:ascii="Calibri" w:hAnsi="Calibri"/>
                <w:color w:val="162236"/>
                <w:sz w:val="16"/>
              </w:rPr>
              <w:t>immediate-loading implant workflow; provisional prosthesis planning</w:t>
            </w:r>
          </w:p>
        </w:tc>
        <w:tc>
          <w:tcPr>
            <w:tcW w:type="dxa" w:w="4160"/>
            <w:vAlign w:val="center"/>
            <w:tcMar>
              <w:top w:w="80" w:type="dxa"/>
              <w:start w:w="120" w:type="dxa"/>
              <w:bottom w:w="80" w:type="dxa"/>
              <w:end w:w="120" w:type="dxa"/>
            </w:tcMar>
          </w:tcPr>
          <w:p>
            <w:pPr>
              <w:spacing w:before="0" w:after="0" w:line="271" w:lineRule="auto"/>
            </w:pPr>
            <w:r>
              <w:rPr>
                <w:rFonts w:ascii="Calibri" w:hAnsi="Calibri"/>
                <w:color w:val="162236"/>
                <w:sz w:val="16"/>
              </w:rPr>
              <w:t>Immediate-Loading Implant &amp; Prosthetic Workflow | I3DC</w:t>
            </w:r>
          </w:p>
        </w:tc>
      </w:tr>
      <w:tr>
        <w:trPr>
          <w:cantSplit/>
        </w:trPr>
        <w:tc>
          <w:tcPr>
            <w:tcW w:type="dxa" w:w="1900"/>
            <w:vAlign w:val="center"/>
            <w:tcMar>
              <w:top w:w="80" w:type="dxa"/>
              <w:start w:w="120" w:type="dxa"/>
              <w:bottom w:w="80" w:type="dxa"/>
              <w:end w:w="120" w:type="dxa"/>
            </w:tcMar>
          </w:tcPr>
          <w:p>
            <w:pPr>
              <w:spacing w:before="0" w:after="0" w:line="271" w:lineRule="auto"/>
            </w:pPr>
            <w:r>
              <w:rPr>
                <w:rFonts w:ascii="Calibri" w:hAnsi="Calibri"/>
                <w:color w:val="162236"/>
                <w:sz w:val="16"/>
              </w:rPr>
              <w:t>Data preparation</w:t>
            </w:r>
          </w:p>
        </w:tc>
        <w:tc>
          <w:tcPr>
            <w:tcW w:type="dxa" w:w="3300"/>
            <w:vAlign w:val="center"/>
            <w:tcMar>
              <w:top w:w="80" w:type="dxa"/>
              <w:start w:w="120" w:type="dxa"/>
              <w:bottom w:w="80" w:type="dxa"/>
              <w:end w:w="120" w:type="dxa"/>
            </w:tcMar>
          </w:tcPr>
          <w:p>
            <w:pPr>
              <w:spacing w:before="0" w:after="0" w:line="271" w:lineRule="auto"/>
            </w:pPr>
            <w:r>
              <w:rPr>
                <w:rFonts w:ascii="Calibri" w:hAnsi="Calibri"/>
                <w:color w:val="162236"/>
                <w:sz w:val="16"/>
              </w:rPr>
              <w:t>DICOM to STL dental; dental CBCT segmentation</w:t>
            </w:r>
          </w:p>
        </w:tc>
        <w:tc>
          <w:tcPr>
            <w:tcW w:type="dxa" w:w="4160"/>
            <w:vAlign w:val="center"/>
            <w:tcMar>
              <w:top w:w="80" w:type="dxa"/>
              <w:start w:w="120" w:type="dxa"/>
              <w:bottom w:w="80" w:type="dxa"/>
              <w:end w:w="120" w:type="dxa"/>
            </w:tcMar>
          </w:tcPr>
          <w:p>
            <w:pPr>
              <w:spacing w:before="0" w:after="0" w:line="271" w:lineRule="auto"/>
            </w:pPr>
            <w:r>
              <w:rPr>
                <w:rFonts w:ascii="Calibri" w:hAnsi="Calibri"/>
                <w:color w:val="162236"/>
                <w:sz w:val="16"/>
              </w:rPr>
              <w:t>DICOM to STL, CBCT Segmentation &amp; Case Preparation | I3DC</w:t>
            </w:r>
          </w:p>
        </w:tc>
      </w:tr>
      <w:tr>
        <w:trPr>
          <w:cantSplit/>
        </w:trPr>
        <w:tc>
          <w:tcPr>
            <w:tcW w:type="dxa" w:w="1900"/>
            <w:vAlign w:val="center"/>
            <w:tcMar>
              <w:top w:w="80" w:type="dxa"/>
              <w:start w:w="120" w:type="dxa"/>
              <w:bottom w:w="80" w:type="dxa"/>
              <w:end w:w="120" w:type="dxa"/>
            </w:tcMar>
          </w:tcPr>
          <w:p>
            <w:pPr>
              <w:spacing w:before="0" w:after="0" w:line="271" w:lineRule="auto"/>
            </w:pPr>
            <w:r>
              <w:rPr>
                <w:rFonts w:ascii="Calibri" w:hAnsi="Calibri"/>
                <w:color w:val="162236"/>
                <w:sz w:val="16"/>
              </w:rPr>
              <w:t>Design only</w:t>
            </w:r>
          </w:p>
        </w:tc>
        <w:tc>
          <w:tcPr>
            <w:tcW w:type="dxa" w:w="3300"/>
            <w:vAlign w:val="center"/>
            <w:tcMar>
              <w:top w:w="80" w:type="dxa"/>
              <w:start w:w="120" w:type="dxa"/>
              <w:bottom w:w="80" w:type="dxa"/>
              <w:end w:w="120" w:type="dxa"/>
            </w:tcMar>
          </w:tcPr>
          <w:p>
            <w:pPr>
              <w:spacing w:before="0" w:after="0" w:line="271" w:lineRule="auto"/>
            </w:pPr>
            <w:r>
              <w:rPr>
                <w:rFonts w:ascii="Calibri" w:hAnsi="Calibri"/>
                <w:color w:val="162236"/>
                <w:sz w:val="16"/>
              </w:rPr>
              <w:t>surgical guide STL design service; dental CAD design</w:t>
            </w:r>
          </w:p>
        </w:tc>
        <w:tc>
          <w:tcPr>
            <w:tcW w:type="dxa" w:w="4160"/>
            <w:vAlign w:val="center"/>
            <w:tcMar>
              <w:top w:w="80" w:type="dxa"/>
              <w:start w:w="120" w:type="dxa"/>
              <w:bottom w:w="80" w:type="dxa"/>
              <w:end w:w="120" w:type="dxa"/>
            </w:tcMar>
          </w:tcPr>
          <w:p>
            <w:pPr>
              <w:spacing w:before="0" w:after="0" w:line="271" w:lineRule="auto"/>
            </w:pPr>
            <w:r>
              <w:rPr>
                <w:rFonts w:ascii="Calibri" w:hAnsi="Calibri"/>
                <w:color w:val="162236"/>
                <w:sz w:val="16"/>
              </w:rPr>
              <w:t>Dental Surgical Guide Design &amp; Ready-to-Print STL | I3DC</w:t>
            </w:r>
          </w:p>
        </w:tc>
      </w:tr>
      <w:tr>
        <w:trPr>
          <w:cantSplit/>
        </w:trPr>
        <w:tc>
          <w:tcPr>
            <w:tcW w:type="dxa" w:w="1900"/>
            <w:vAlign w:val="center"/>
            <w:tcMar>
              <w:top w:w="80" w:type="dxa"/>
              <w:start w:w="120" w:type="dxa"/>
              <w:bottom w:w="80" w:type="dxa"/>
              <w:end w:w="120" w:type="dxa"/>
            </w:tcMar>
          </w:tcPr>
          <w:p>
            <w:pPr>
              <w:spacing w:before="0" w:after="0" w:line="271" w:lineRule="auto"/>
            </w:pPr>
            <w:r>
              <w:rPr>
                <w:rFonts w:ascii="Calibri" w:hAnsi="Calibri"/>
                <w:color w:val="162236"/>
                <w:sz w:val="16"/>
              </w:rPr>
              <w:t>White label</w:t>
            </w:r>
          </w:p>
        </w:tc>
        <w:tc>
          <w:tcPr>
            <w:tcW w:type="dxa" w:w="3300"/>
            <w:vAlign w:val="center"/>
            <w:tcMar>
              <w:top w:w="80" w:type="dxa"/>
              <w:start w:w="120" w:type="dxa"/>
              <w:bottom w:w="80" w:type="dxa"/>
              <w:end w:w="120" w:type="dxa"/>
            </w:tcMar>
          </w:tcPr>
          <w:p>
            <w:pPr>
              <w:spacing w:before="0" w:after="0" w:line="271" w:lineRule="auto"/>
            </w:pPr>
            <w:r>
              <w:rPr>
                <w:rFonts w:ascii="Calibri" w:hAnsi="Calibri"/>
                <w:color w:val="162236"/>
                <w:sz w:val="16"/>
              </w:rPr>
              <w:t>white-label dental CAD design; outsourced implant planning</w:t>
            </w:r>
          </w:p>
        </w:tc>
        <w:tc>
          <w:tcPr>
            <w:tcW w:type="dxa" w:w="4160"/>
            <w:vAlign w:val="center"/>
            <w:tcMar>
              <w:top w:w="80" w:type="dxa"/>
              <w:start w:w="120" w:type="dxa"/>
              <w:bottom w:w="80" w:type="dxa"/>
              <w:end w:w="120" w:type="dxa"/>
            </w:tcMar>
          </w:tcPr>
          <w:p>
            <w:pPr>
              <w:spacing w:before="0" w:after="0" w:line="271" w:lineRule="auto"/>
            </w:pPr>
            <w:r>
              <w:rPr>
                <w:rFonts w:ascii="Calibri" w:hAnsi="Calibri"/>
                <w:color w:val="162236"/>
                <w:sz w:val="16"/>
              </w:rPr>
              <w:t>White-Label Dental Implant Planning Services | I3DC</w:t>
            </w:r>
          </w:p>
        </w:tc>
      </w:tr>
      <w:tr>
        <w:trPr>
          <w:cantSplit/>
        </w:trPr>
        <w:tc>
          <w:tcPr>
            <w:tcW w:type="dxa" w:w="1900"/>
            <w:vAlign w:val="center"/>
            <w:tcMar>
              <w:top w:w="80" w:type="dxa"/>
              <w:start w:w="120" w:type="dxa"/>
              <w:bottom w:w="80" w:type="dxa"/>
              <w:end w:w="120" w:type="dxa"/>
            </w:tcMar>
          </w:tcPr>
          <w:p>
            <w:pPr>
              <w:spacing w:before="0" w:after="0" w:line="271" w:lineRule="auto"/>
            </w:pPr>
            <w:r>
              <w:rPr>
                <w:rFonts w:ascii="Calibri" w:hAnsi="Calibri"/>
                <w:color w:val="162236"/>
                <w:sz w:val="16"/>
              </w:rPr>
              <w:t>Requirements</w:t>
            </w:r>
          </w:p>
        </w:tc>
        <w:tc>
          <w:tcPr>
            <w:tcW w:type="dxa" w:w="3300"/>
            <w:vAlign w:val="center"/>
            <w:tcMar>
              <w:top w:w="80" w:type="dxa"/>
              <w:start w:w="120" w:type="dxa"/>
              <w:bottom w:w="80" w:type="dxa"/>
              <w:end w:w="120" w:type="dxa"/>
            </w:tcMar>
          </w:tcPr>
          <w:p>
            <w:pPr>
              <w:spacing w:before="0" w:after="0" w:line="271" w:lineRule="auto"/>
            </w:pPr>
            <w:r>
              <w:rPr>
                <w:rFonts w:ascii="Calibri" w:hAnsi="Calibri"/>
                <w:color w:val="162236"/>
                <w:sz w:val="16"/>
              </w:rPr>
              <w:t>files needed for surgical guide; guided surgery scan protocol</w:t>
            </w:r>
          </w:p>
        </w:tc>
        <w:tc>
          <w:tcPr>
            <w:tcW w:type="dxa" w:w="4160"/>
            <w:vAlign w:val="center"/>
            <w:tcMar>
              <w:top w:w="80" w:type="dxa"/>
              <w:start w:w="120" w:type="dxa"/>
              <w:bottom w:w="80" w:type="dxa"/>
              <w:end w:w="120" w:type="dxa"/>
            </w:tcMar>
          </w:tcPr>
          <w:p>
            <w:pPr>
              <w:spacing w:before="0" w:after="0" w:line="271" w:lineRule="auto"/>
            </w:pPr>
            <w:r>
              <w:rPr>
                <w:rFonts w:ascii="Calibri" w:hAnsi="Calibri"/>
                <w:color w:val="162236"/>
                <w:sz w:val="16"/>
              </w:rPr>
              <w:t>Dental Implant Case Submission Requirements | I3DC</w:t>
            </w:r>
          </w:p>
        </w:tc>
      </w:tr>
    </w:tbl>
    <w:p>
      <w:pPr>
        <w:spacing w:after="60"/>
      </w:pPr>
    </w:p>
    <w:p>
      <w:pPr>
        <w:pStyle w:val="Heading2"/>
        <w:spacing w:before="280" w:after="140" w:line="252" w:lineRule="auto"/>
        <w:keepNext w:val="1"/>
        <w:pageBreakBefore w:val="0"/>
      </w:pPr>
      <w:r>
        <w:rPr>
          <w:rFonts w:ascii="Calibri" w:hAnsi="Calibri"/>
          <w:b/>
          <w:color w:val="2E74B5"/>
          <w:sz w:val="26"/>
        </w:rPr>
        <w:t>SEO title and description rules</w:t>
      </w:r>
    </w:p>
    <w:p>
      <w:pPr>
        <w:pStyle w:val="ListBullet"/>
        <w:keepLines/>
        <w:spacing w:before="0" w:after="80" w:line="300" w:lineRule="auto"/>
      </w:pPr>
      <w:r>
        <w:rPr>
          <w:rFonts w:ascii="Calibri" w:hAnsi="Calibri"/>
          <w:color w:val="162236"/>
          <w:sz w:val="22"/>
        </w:rPr>
        <w:t>Give every indexable page one unique, descriptive title. Do not use “Home,” “Services,” or repeated keyword variants.</w:t>
      </w:r>
    </w:p>
    <w:p>
      <w:pPr>
        <w:pStyle w:val="ListBullet"/>
        <w:keepLines/>
        <w:spacing w:before="0" w:after="80" w:line="300" w:lineRule="auto"/>
      </w:pPr>
      <w:r>
        <w:rPr>
          <w:rFonts w:ascii="Calibri" w:hAnsi="Calibri"/>
          <w:color w:val="162236"/>
          <w:sz w:val="22"/>
        </w:rPr>
        <w:t>Place the main search phrase naturally near the beginning of the title; add the brand once.</w:t>
      </w:r>
    </w:p>
    <w:p>
      <w:pPr>
        <w:pStyle w:val="ListBullet"/>
        <w:keepLines/>
        <w:spacing w:before="0" w:after="80" w:line="300" w:lineRule="auto"/>
      </w:pPr>
      <w:r>
        <w:rPr>
          <w:rFonts w:ascii="Calibri" w:hAnsi="Calibri"/>
          <w:color w:val="162236"/>
          <w:sz w:val="22"/>
        </w:rPr>
        <w:t>Write each meta description as a useful summary and click invitation, not a comma-separated keyword list.</w:t>
      </w:r>
    </w:p>
    <w:p>
      <w:pPr>
        <w:pStyle w:val="ListBullet"/>
        <w:keepLines/>
        <w:spacing w:before="0" w:after="80" w:line="300" w:lineRule="auto"/>
      </w:pPr>
      <w:r>
        <w:rPr>
          <w:rFonts w:ascii="Calibri" w:hAnsi="Calibri"/>
          <w:color w:val="162236"/>
          <w:sz w:val="22"/>
        </w:rPr>
        <w:t>Use one clear H1. A visual tagline may lead the page only when the eyebrow and opening copy make the subject immediately clear.</w:t>
      </w:r>
    </w:p>
    <w:p>
      <w:pPr>
        <w:pStyle w:val="ListBullet"/>
        <w:keepLines/>
        <w:spacing w:before="0" w:after="80" w:line="300" w:lineRule="auto"/>
      </w:pPr>
      <w:r>
        <w:rPr>
          <w:rFonts w:ascii="Calibri" w:hAnsi="Calibri"/>
          <w:color w:val="162236"/>
          <w:sz w:val="22"/>
        </w:rPr>
        <w:t>Use descriptive internal-link text such as “review full-arch case requirements,” not “learn more.”</w:t>
      </w:r>
    </w:p>
    <w:p>
      <w:pPr>
        <w:pStyle w:val="ListBullet"/>
        <w:keepLines/>
        <w:spacing w:before="0" w:after="80" w:line="300" w:lineRule="auto"/>
      </w:pPr>
      <w:r>
        <w:rPr>
          <w:rFonts w:ascii="Calibri" w:hAnsi="Calibri"/>
          <w:color w:val="162236"/>
          <w:sz w:val="22"/>
        </w:rPr>
        <w:t>Do not force an exact word count. A page ends when the dentist can make the next decision.</w:t>
      </w:r>
    </w:p>
    <w:p>
      <w:pPr>
        <w:pStyle w:val="Heading1"/>
        <w:spacing w:before="360" w:after="200" w:line="252" w:lineRule="auto"/>
        <w:keepNext w:val="1"/>
        <w:pageBreakBefore w:val="1"/>
      </w:pPr>
      <w:r>
        <w:rPr>
          <w:rFonts w:ascii="Calibri" w:hAnsi="Calibri"/>
          <w:b/>
          <w:color w:val="2E74B5"/>
          <w:sz w:val="32"/>
        </w:rPr>
        <w:t>6. Core page briefs</w:t>
      </w:r>
    </w:p>
    <w:p>
      <w:pPr>
        <w:pStyle w:val="Heading2"/>
        <w:spacing w:before="280" w:after="140" w:line="252" w:lineRule="auto"/>
        <w:keepNext w:val="1"/>
        <w:pageBreakBefore w:val="0"/>
      </w:pPr>
      <w:r>
        <w:rPr>
          <w:rFonts w:ascii="Calibri" w:hAnsi="Calibri"/>
          <w:b/>
          <w:color w:val="2E74B5"/>
          <w:sz w:val="26"/>
        </w:rPr>
        <w:t>Home</w:t>
      </w:r>
    </w:p>
    <w:tbl>
      <w:tblPr>
        <w:tblStyle w:val="TableGrid"/>
        <w:tblW w:type="dxa" w:w="9360"/>
        <w:tblLayout w:type="fixed"/>
        <w:tblLook w:firstColumn="1" w:firstRow="1" w:lastColumn="0" w:lastRow="0" w:noHBand="0" w:noVBand="1" w:val="04A0"/>
        <w:jc w:val="left"/>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2100"/>
        <w:gridCol w:w="7260"/>
      </w:tblGrid>
      <w:tr>
        <w:trPr>
          <w:tblHeader w:val="true"/>
          <w:cantSplit/>
        </w:trPr>
        <w:tc>
          <w:tcPr>
            <w:tcW w:type="dxa" w:w="2100"/>
            <w:tcMar>
              <w:top w:w="80" w:type="dxa"/>
              <w:start w:w="120" w:type="dxa"/>
              <w:bottom w:w="80" w:type="dxa"/>
              <w:end w:w="120" w:type="dxa"/>
            </w:tcMar>
            <w:vAlign w:val="center"/>
            <w:shd w:fill="F2F4F7"/>
          </w:tcPr>
          <w:p>
            <w:pPr>
              <w:spacing w:before="0" w:after="0" w:line="264" w:lineRule="auto"/>
            </w:pPr>
            <w:r>
              <w:rPr>
                <w:rFonts w:ascii="Calibri" w:hAnsi="Calibri"/>
                <w:b/>
                <w:color w:val="162236"/>
                <w:sz w:val="18"/>
              </w:rPr>
              <w:t>Field</w:t>
            </w:r>
          </w:p>
        </w:tc>
        <w:tc>
          <w:tcPr>
            <w:tcW w:type="dxa" w:w="7260"/>
            <w:tcMar>
              <w:top w:w="80" w:type="dxa"/>
              <w:start w:w="120" w:type="dxa"/>
              <w:bottom w:w="80" w:type="dxa"/>
              <w:end w:w="120" w:type="dxa"/>
            </w:tcMar>
            <w:vAlign w:val="center"/>
            <w:shd w:fill="F2F4F7"/>
          </w:tcPr>
          <w:p>
            <w:pPr>
              <w:spacing w:before="0" w:after="0" w:line="264" w:lineRule="auto"/>
            </w:pPr>
            <w:r>
              <w:rPr>
                <w:rFonts w:ascii="Calibri" w:hAnsi="Calibri"/>
                <w:b/>
                <w:color w:val="162236"/>
                <w:sz w:val="18"/>
              </w:rPr>
              <w:t>Recommendation</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Route</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Search focus</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digital implant planning services; surgical guide services</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SEO title</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Digital Implant Planning &amp; Surgical Guides | Image3DConversion</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Meta description</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Plan and coordinate routine to complex guided implant cases with digital planning, surgical guides, full-arch workflows and secure case review.</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Visible H1</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Plan the outcome. Guide the execution.</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Primary CTA</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Start a Case</w:t>
            </w:r>
          </w:p>
        </w:tc>
      </w:tr>
    </w:tbl>
    <w:p>
      <w:pPr>
        <w:spacing w:after="60"/>
      </w:pPr>
    </w:p>
    <w:p>
      <w:pPr>
        <w:pStyle w:val="ListBullet"/>
        <w:keepLines/>
        <w:spacing w:before="0" w:after="80" w:line="300" w:lineRule="auto"/>
      </w:pPr>
      <w:r>
        <w:rPr>
          <w:rFonts w:ascii="Calibri" w:hAnsi="Calibri"/>
          <w:color w:val="162236"/>
          <w:sz w:val="22"/>
        </w:rPr>
        <w:t>Hero and two CTAs.</w:t>
      </w:r>
    </w:p>
    <w:p>
      <w:pPr>
        <w:pStyle w:val="ListBullet"/>
        <w:keepLines/>
        <w:spacing w:before="0" w:after="80" w:line="300" w:lineRule="auto"/>
      </w:pPr>
      <w:r>
        <w:rPr>
          <w:rFonts w:ascii="Calibri" w:hAnsi="Calibri"/>
          <w:color w:val="162236"/>
          <w:sz w:val="22"/>
        </w:rPr>
        <w:t>Four case-led workflow cards.</w:t>
      </w:r>
    </w:p>
    <w:p>
      <w:pPr>
        <w:pStyle w:val="ListBullet"/>
        <w:keepLines/>
        <w:spacing w:before="0" w:after="80" w:line="300" w:lineRule="auto"/>
      </w:pPr>
      <w:r>
        <w:rPr>
          <w:rFonts w:ascii="Calibri" w:hAnsi="Calibri"/>
          <w:color w:val="162236"/>
          <w:sz w:val="22"/>
        </w:rPr>
        <w:t>Five-step process.</w:t>
      </w:r>
    </w:p>
    <w:p>
      <w:pPr>
        <w:pStyle w:val="ListBullet"/>
        <w:keepLines/>
        <w:spacing w:before="0" w:after="80" w:line="300" w:lineRule="auto"/>
      </w:pPr>
      <w:r>
        <w:rPr>
          <w:rFonts w:ascii="Calibri" w:hAnsi="Calibri"/>
          <w:color w:val="162236"/>
          <w:sz w:val="22"/>
        </w:rPr>
        <w:t>Three engagement modes.</w:t>
      </w:r>
    </w:p>
    <w:p>
      <w:pPr>
        <w:pStyle w:val="ListBullet"/>
        <w:keepLines/>
        <w:spacing w:before="0" w:after="80" w:line="300" w:lineRule="auto"/>
      </w:pPr>
      <w:r>
        <w:rPr>
          <w:rFonts w:ascii="Calibri" w:hAnsi="Calibri"/>
          <w:color w:val="162236"/>
          <w:sz w:val="22"/>
        </w:rPr>
        <w:t>One complex-case proof story.</w:t>
      </w:r>
    </w:p>
    <w:p>
      <w:pPr>
        <w:pStyle w:val="ListBullet"/>
        <w:keepLines/>
        <w:spacing w:before="0" w:after="80" w:line="300" w:lineRule="auto"/>
      </w:pPr>
      <w:r>
        <w:rPr>
          <w:rFonts w:ascii="Calibri" w:hAnsi="Calibri"/>
          <w:color w:val="162236"/>
          <w:sz w:val="22"/>
        </w:rPr>
        <w:t>Verified evidence strip.</w:t>
      </w:r>
    </w:p>
    <w:p>
      <w:pPr>
        <w:pStyle w:val="ListBullet"/>
        <w:keepLines/>
        <w:spacing w:before="0" w:after="80" w:line="300" w:lineRule="auto"/>
      </w:pPr>
      <w:r>
        <w:rPr>
          <w:rFonts w:ascii="Calibri" w:hAnsi="Calibri"/>
          <w:color w:val="162236"/>
          <w:sz w:val="22"/>
        </w:rPr>
        <w:t>Case requirements preview.</w:t>
      </w:r>
    </w:p>
    <w:p>
      <w:pPr>
        <w:pStyle w:val="Heading2"/>
        <w:spacing w:before="280" w:after="140" w:line="252" w:lineRule="auto"/>
        <w:keepNext w:val="1"/>
        <w:pageBreakBefore w:val="0"/>
      </w:pPr>
      <w:r>
        <w:rPr>
          <w:rFonts w:ascii="Calibri" w:hAnsi="Calibri"/>
          <w:b/>
          <w:color w:val="2E74B5"/>
          <w:sz w:val="26"/>
        </w:rPr>
        <w:t>Clinical Workflow Solutions</w:t>
      </w:r>
    </w:p>
    <w:tbl>
      <w:tblPr>
        <w:tblStyle w:val="TableGrid"/>
        <w:tblW w:type="dxa" w:w="9360"/>
        <w:tblLayout w:type="fixed"/>
        <w:tblLook w:firstColumn="1" w:firstRow="1" w:lastColumn="0" w:lastRow="0" w:noHBand="0" w:noVBand="1" w:val="04A0"/>
        <w:jc w:val="left"/>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2100"/>
        <w:gridCol w:w="7260"/>
      </w:tblGrid>
      <w:tr>
        <w:trPr>
          <w:tblHeader w:val="true"/>
          <w:cantSplit/>
        </w:trPr>
        <w:tc>
          <w:tcPr>
            <w:tcW w:type="dxa" w:w="2100"/>
            <w:tcMar>
              <w:top w:w="80" w:type="dxa"/>
              <w:start w:w="120" w:type="dxa"/>
              <w:bottom w:w="80" w:type="dxa"/>
              <w:end w:w="120" w:type="dxa"/>
            </w:tcMar>
            <w:vAlign w:val="center"/>
            <w:shd w:fill="F2F4F7"/>
          </w:tcPr>
          <w:p>
            <w:pPr>
              <w:spacing w:before="0" w:after="0" w:line="264" w:lineRule="auto"/>
            </w:pPr>
            <w:r>
              <w:rPr>
                <w:rFonts w:ascii="Calibri" w:hAnsi="Calibri"/>
                <w:b/>
                <w:color w:val="162236"/>
                <w:sz w:val="18"/>
              </w:rPr>
              <w:t>Field</w:t>
            </w:r>
          </w:p>
        </w:tc>
        <w:tc>
          <w:tcPr>
            <w:tcW w:type="dxa" w:w="7260"/>
            <w:tcMar>
              <w:top w:w="80" w:type="dxa"/>
              <w:start w:w="120" w:type="dxa"/>
              <w:bottom w:w="80" w:type="dxa"/>
              <w:end w:w="120" w:type="dxa"/>
            </w:tcMar>
            <w:vAlign w:val="center"/>
            <w:shd w:fill="F2F4F7"/>
          </w:tcPr>
          <w:p>
            <w:pPr>
              <w:spacing w:before="0" w:after="0" w:line="264" w:lineRule="auto"/>
            </w:pPr>
            <w:r>
              <w:rPr>
                <w:rFonts w:ascii="Calibri" w:hAnsi="Calibri"/>
                <w:b/>
                <w:color w:val="162236"/>
                <w:sz w:val="18"/>
              </w:rPr>
              <w:t>Recommendation</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Route</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/digital-implant-workflows/</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Search focus</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digital implant workflow solutions</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SEO title</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Digital Implant Workflow Solutions | Image3DConversion</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Meta description</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Choose the right digital implant workflow for guided placement, full-arch treatment, immediate loading, advanced anchorage or design support.</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Visible H1</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Choose the workflow your case needs.</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Primary CTA</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Compare Workflows</w:t>
            </w:r>
          </w:p>
        </w:tc>
      </w:tr>
    </w:tbl>
    <w:p>
      <w:pPr>
        <w:spacing w:after="60"/>
      </w:pPr>
    </w:p>
    <w:p>
      <w:pPr>
        <w:pStyle w:val="ListBullet"/>
        <w:keepLines/>
        <w:spacing w:before="0" w:after="80" w:line="300" w:lineRule="auto"/>
      </w:pPr>
      <w:r>
        <w:rPr>
          <w:rFonts w:ascii="Calibri" w:hAnsi="Calibri"/>
          <w:color w:val="162236"/>
          <w:sz w:val="22"/>
        </w:rPr>
        <w:t>Start with clinical objective, not department names.</w:t>
      </w:r>
    </w:p>
    <w:p>
      <w:pPr>
        <w:pStyle w:val="ListBullet"/>
        <w:keepLines/>
        <w:spacing w:before="0" w:after="80" w:line="300" w:lineRule="auto"/>
      </w:pPr>
      <w:r>
        <w:rPr>
          <w:rFonts w:ascii="Calibri" w:hAnsi="Calibri"/>
          <w:color w:val="162236"/>
          <w:sz w:val="22"/>
        </w:rPr>
        <w:t>Group four implant workflows separately from four ways of working.</w:t>
      </w:r>
    </w:p>
    <w:p>
      <w:pPr>
        <w:pStyle w:val="ListBullet"/>
        <w:keepLines/>
        <w:spacing w:before="0" w:after="80" w:line="300" w:lineRule="auto"/>
      </w:pPr>
      <w:r>
        <w:rPr>
          <w:rFonts w:ascii="Calibri" w:hAnsi="Calibri"/>
          <w:color w:val="162236"/>
          <w:sz w:val="22"/>
        </w:rPr>
        <w:t>Add a simple selector: case type, production need and geography.</w:t>
      </w:r>
    </w:p>
    <w:p>
      <w:pPr>
        <w:pStyle w:val="ListBullet"/>
        <w:keepLines/>
        <w:spacing w:before="0" w:after="80" w:line="300" w:lineRule="auto"/>
      </w:pPr>
      <w:r>
        <w:rPr>
          <w:rFonts w:ascii="Calibri" w:hAnsi="Calibri"/>
          <w:color w:val="162236"/>
          <w:sz w:val="22"/>
        </w:rPr>
        <w:t>End with a requirements link and secure case CTA.</w:t>
      </w:r>
    </w:p>
    <w:p>
      <w:pPr>
        <w:pStyle w:val="Heading2"/>
        <w:spacing w:before="280" w:after="140" w:line="252" w:lineRule="auto"/>
        <w:keepNext w:val="1"/>
        <w:pageBreakBefore w:val="0"/>
      </w:pPr>
      <w:r>
        <w:rPr>
          <w:rFonts w:ascii="Calibri" w:hAnsi="Calibri"/>
          <w:b/>
          <w:color w:val="2E74B5"/>
          <w:sz w:val="26"/>
        </w:rPr>
        <w:t>Guided Implant Workflow</w:t>
      </w:r>
    </w:p>
    <w:tbl>
      <w:tblPr>
        <w:tblStyle w:val="TableGrid"/>
        <w:tblW w:type="dxa" w:w="9360"/>
        <w:tblLayout w:type="fixed"/>
        <w:tblLook w:firstColumn="1" w:firstRow="1" w:lastColumn="0" w:lastRow="0" w:noHBand="0" w:noVBand="1" w:val="04A0"/>
        <w:jc w:val="left"/>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2100"/>
        <w:gridCol w:w="7260"/>
      </w:tblGrid>
      <w:tr>
        <w:trPr>
          <w:tblHeader w:val="true"/>
          <w:cantSplit/>
        </w:trPr>
        <w:tc>
          <w:tcPr>
            <w:tcW w:type="dxa" w:w="2100"/>
            <w:tcMar>
              <w:top w:w="80" w:type="dxa"/>
              <w:start w:w="120" w:type="dxa"/>
              <w:bottom w:w="80" w:type="dxa"/>
              <w:end w:w="120" w:type="dxa"/>
            </w:tcMar>
            <w:vAlign w:val="center"/>
            <w:shd w:fill="F2F4F7"/>
          </w:tcPr>
          <w:p>
            <w:pPr>
              <w:spacing w:before="0" w:after="0" w:line="264" w:lineRule="auto"/>
            </w:pPr>
            <w:r>
              <w:rPr>
                <w:rFonts w:ascii="Calibri" w:hAnsi="Calibri"/>
                <w:b/>
                <w:color w:val="162236"/>
                <w:sz w:val="18"/>
              </w:rPr>
              <w:t>Field</w:t>
            </w:r>
          </w:p>
        </w:tc>
        <w:tc>
          <w:tcPr>
            <w:tcW w:type="dxa" w:w="7260"/>
            <w:tcMar>
              <w:top w:w="80" w:type="dxa"/>
              <w:start w:w="120" w:type="dxa"/>
              <w:bottom w:w="80" w:type="dxa"/>
              <w:end w:w="120" w:type="dxa"/>
            </w:tcMar>
            <w:vAlign w:val="center"/>
            <w:shd w:fill="F2F4F7"/>
          </w:tcPr>
          <w:p>
            <w:pPr>
              <w:spacing w:before="0" w:after="0" w:line="264" w:lineRule="auto"/>
            </w:pPr>
            <w:r>
              <w:rPr>
                <w:rFonts w:ascii="Calibri" w:hAnsi="Calibri"/>
                <w:b/>
                <w:color w:val="162236"/>
                <w:sz w:val="18"/>
              </w:rPr>
              <w:t>Recommendation</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Route</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/guided-implant-workflow/</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Search focus</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dental implant surgical guide design; guided implant planning</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SEO title</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Dental Implant Planning &amp; Surgical Guide Design | I3DC</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Meta description</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Restoration-led implant planning and surgical guide support for single and multiple implant cases, with clinician review before production.</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Visible H1</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Guided implant planning built around the planned restoration.</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Primary CTA</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Start a Guided Implant Case</w:t>
            </w:r>
          </w:p>
        </w:tc>
      </w:tr>
    </w:tbl>
    <w:p>
      <w:pPr>
        <w:spacing w:after="60"/>
      </w:pPr>
    </w:p>
    <w:p>
      <w:pPr>
        <w:pStyle w:val="ListBullet"/>
        <w:keepLines/>
        <w:spacing w:before="0" w:after="80" w:line="300" w:lineRule="auto"/>
      </w:pPr>
      <w:r>
        <w:rPr>
          <w:rFonts w:ascii="Calibri" w:hAnsi="Calibri"/>
          <w:color w:val="162236"/>
          <w:sz w:val="22"/>
        </w:rPr>
        <w:t>Cases this workflow fits: single, multiple, tooth-supported, tissue-supported and bone-supported cases where applicable.</w:t>
      </w:r>
    </w:p>
    <w:p>
      <w:pPr>
        <w:pStyle w:val="ListBullet"/>
        <w:keepLines/>
        <w:spacing w:before="0" w:after="80" w:line="300" w:lineRule="auto"/>
      </w:pPr>
      <w:r>
        <w:rPr>
          <w:rFonts w:ascii="Calibri" w:hAnsi="Calibri"/>
          <w:color w:val="162236"/>
          <w:sz w:val="22"/>
        </w:rPr>
        <w:t>Data required: DICOM, IOS or model scan, bite/reference data, implant system and prosthetic objective.</w:t>
      </w:r>
    </w:p>
    <w:p>
      <w:pPr>
        <w:pStyle w:val="ListBullet"/>
        <w:keepLines/>
        <w:spacing w:before="0" w:after="80" w:line="300" w:lineRule="auto"/>
      </w:pPr>
      <w:r>
        <w:rPr>
          <w:rFonts w:ascii="Calibri" w:hAnsi="Calibri"/>
          <w:color w:val="162236"/>
          <w:sz w:val="22"/>
        </w:rPr>
        <w:t>What the team checks: file alignment, anatomy visibility, prosthetic reference, guide support and drilling protocol information.</w:t>
      </w:r>
    </w:p>
    <w:p>
      <w:pPr>
        <w:pStyle w:val="ListBullet"/>
        <w:keepLines/>
        <w:spacing w:before="0" w:after="80" w:line="300" w:lineRule="auto"/>
      </w:pPr>
      <w:r>
        <w:rPr>
          <w:rFonts w:ascii="Calibri" w:hAnsi="Calibri"/>
          <w:color w:val="162236"/>
          <w:sz w:val="22"/>
        </w:rPr>
        <w:t>What the dentist reviews: proposed implant position, guide concept and case-specific notes.</w:t>
      </w:r>
    </w:p>
    <w:p>
      <w:pPr>
        <w:pStyle w:val="ListBullet"/>
        <w:keepLines/>
        <w:spacing w:before="0" w:after="80" w:line="300" w:lineRule="auto"/>
      </w:pPr>
      <w:r>
        <w:rPr>
          <w:rFonts w:ascii="Calibri" w:hAnsi="Calibri"/>
          <w:color w:val="162236"/>
          <w:sz w:val="22"/>
        </w:rPr>
        <w:t>What is delivered: define planning files, guide files, printed guide or associated components by selected scope.</w:t>
      </w:r>
    </w:p>
    <w:p>
      <w:pPr>
        <w:pStyle w:val="ListBullet"/>
        <w:keepLines/>
        <w:spacing w:before="0" w:after="80" w:line="300" w:lineRule="auto"/>
      </w:pPr>
      <w:r>
        <w:rPr>
          <w:rFonts w:ascii="Calibri" w:hAnsi="Calibri"/>
          <w:color w:val="162236"/>
          <w:sz w:val="22"/>
        </w:rPr>
        <w:t>Visible FAQ: compatibility, pilot versus fully guided, revisions, approval and turnaround start point.</w:t>
      </w:r>
    </w:p>
    <w:p>
      <w:pPr>
        <w:pStyle w:val="Heading2"/>
        <w:spacing w:before="280" w:after="140" w:line="252" w:lineRule="auto"/>
        <w:keepNext w:val="1"/>
        <w:pageBreakBefore w:val="0"/>
      </w:pPr>
      <w:r>
        <w:rPr>
          <w:rFonts w:ascii="Calibri" w:hAnsi="Calibri"/>
          <w:b/>
          <w:color w:val="2E74B5"/>
          <w:sz w:val="26"/>
        </w:rPr>
        <w:t>Full-Arch Stackable Workflow</w:t>
      </w:r>
    </w:p>
    <w:tbl>
      <w:tblPr>
        <w:tblStyle w:val="TableGrid"/>
        <w:tblW w:type="dxa" w:w="9360"/>
        <w:tblLayout w:type="fixed"/>
        <w:tblLook w:firstColumn="1" w:firstRow="1" w:lastColumn="0" w:lastRow="0" w:noHBand="0" w:noVBand="1" w:val="04A0"/>
        <w:jc w:val="left"/>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2100"/>
        <w:gridCol w:w="7260"/>
      </w:tblGrid>
      <w:tr>
        <w:trPr>
          <w:tblHeader w:val="true"/>
          <w:cantSplit/>
        </w:trPr>
        <w:tc>
          <w:tcPr>
            <w:tcW w:type="dxa" w:w="2100"/>
            <w:tcMar>
              <w:top w:w="80" w:type="dxa"/>
              <w:start w:w="120" w:type="dxa"/>
              <w:bottom w:w="80" w:type="dxa"/>
              <w:end w:w="120" w:type="dxa"/>
            </w:tcMar>
            <w:vAlign w:val="center"/>
            <w:shd w:fill="F2F4F7"/>
          </w:tcPr>
          <w:p>
            <w:pPr>
              <w:spacing w:before="0" w:after="0" w:line="264" w:lineRule="auto"/>
            </w:pPr>
            <w:r>
              <w:rPr>
                <w:rFonts w:ascii="Calibri" w:hAnsi="Calibri"/>
                <w:b/>
                <w:color w:val="162236"/>
                <w:sz w:val="18"/>
              </w:rPr>
              <w:t>Field</w:t>
            </w:r>
          </w:p>
        </w:tc>
        <w:tc>
          <w:tcPr>
            <w:tcW w:type="dxa" w:w="7260"/>
            <w:tcMar>
              <w:top w:w="80" w:type="dxa"/>
              <w:start w:w="120" w:type="dxa"/>
              <w:bottom w:w="80" w:type="dxa"/>
              <w:end w:w="120" w:type="dxa"/>
            </w:tcMar>
            <w:vAlign w:val="center"/>
            <w:shd w:fill="F2F4F7"/>
          </w:tcPr>
          <w:p>
            <w:pPr>
              <w:spacing w:before="0" w:after="0" w:line="264" w:lineRule="auto"/>
            </w:pPr>
            <w:r>
              <w:rPr>
                <w:rFonts w:ascii="Calibri" w:hAnsi="Calibri"/>
                <w:b/>
                <w:color w:val="162236"/>
                <w:sz w:val="18"/>
              </w:rPr>
              <w:t>Recommendation</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Route</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/full-arch-stackable-workflow/</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Search focus</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stackable surgical guide; full-arch implant planning; bone reduction guide</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SEO title</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Full-Arch Stackable Surgical Guide Workflow | I3DC</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Meta description</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Coordinate bone reduction, implant placement, MUA positioning and provisional delivery through a planned full-arch stackable guide sequence.</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Visible H1</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One planned sequence for full-arch surgery and provisional delivery.</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Primary CTA</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Discuss a Full-Arch Case</w:t>
            </w:r>
          </w:p>
        </w:tc>
      </w:tr>
    </w:tbl>
    <w:p>
      <w:pPr>
        <w:spacing w:after="60"/>
      </w:pPr>
    </w:p>
    <w:p>
      <w:pPr>
        <w:pStyle w:val="ListBullet"/>
        <w:keepLines/>
        <w:spacing w:before="0" w:after="80" w:line="300" w:lineRule="auto"/>
      </w:pPr>
      <w:r>
        <w:rPr>
          <w:rFonts w:ascii="Calibri" w:hAnsi="Calibri"/>
          <w:color w:val="162236"/>
          <w:sz w:val="22"/>
        </w:rPr>
        <w:t>Open with the sequence, shown visually: foundation or pin guide → bone reduction → osteotomy / implant guide → MUA positioning → prosthetic pickup or delivery reference.</w:t>
      </w:r>
    </w:p>
    <w:p>
      <w:pPr>
        <w:pStyle w:val="ListBullet"/>
        <w:keepLines/>
        <w:spacing w:before="0" w:after="80" w:line="300" w:lineRule="auto"/>
      </w:pPr>
      <w:r>
        <w:rPr>
          <w:rFonts w:ascii="Calibri" w:hAnsi="Calibri"/>
          <w:color w:val="162236"/>
          <w:sz w:val="22"/>
        </w:rPr>
        <w:t>Explain why the prosthetic objective must be established before the guide stack is finalised.</w:t>
      </w:r>
    </w:p>
    <w:p>
      <w:pPr>
        <w:pStyle w:val="ListBullet"/>
        <w:keepLines/>
        <w:spacing w:before="0" w:after="80" w:line="300" w:lineRule="auto"/>
      </w:pPr>
      <w:r>
        <w:rPr>
          <w:rFonts w:ascii="Calibri" w:hAnsi="Calibri"/>
          <w:color w:val="162236"/>
          <w:sz w:val="22"/>
        </w:rPr>
        <w:t>Show the records required for dentate, terminal dentition and edentulous presentations.</w:t>
      </w:r>
    </w:p>
    <w:p>
      <w:pPr>
        <w:pStyle w:val="ListBullet"/>
        <w:keepLines/>
        <w:spacing w:before="0" w:after="80" w:line="300" w:lineRule="auto"/>
      </w:pPr>
      <w:r>
        <w:rPr>
          <w:rFonts w:ascii="Calibri" w:hAnsi="Calibri"/>
          <w:color w:val="162236"/>
          <w:sz w:val="22"/>
        </w:rPr>
        <w:t>Define approval gates for bone reduction, implant positions, MUA plan and provisional design.</w:t>
      </w:r>
    </w:p>
    <w:p>
      <w:pPr>
        <w:pStyle w:val="ListBullet"/>
        <w:keepLines/>
        <w:spacing w:before="0" w:after="80" w:line="300" w:lineRule="auto"/>
      </w:pPr>
      <w:r>
        <w:rPr>
          <w:rFonts w:ascii="Calibri" w:hAnsi="Calibri"/>
          <w:color w:val="162236"/>
          <w:sz w:val="22"/>
        </w:rPr>
        <w:t>Show one anonymised case as a sequence, not as a gallery of unrelated images.</w:t>
      </w:r>
    </w:p>
    <w:p>
      <w:pPr>
        <w:pStyle w:val="ListBullet"/>
        <w:keepLines/>
        <w:spacing w:before="0" w:after="80" w:line="300" w:lineRule="auto"/>
      </w:pPr>
      <w:r>
        <w:rPr>
          <w:rFonts w:ascii="Calibri" w:hAnsi="Calibri"/>
          <w:color w:val="162236"/>
          <w:sz w:val="22"/>
        </w:rPr>
        <w:t>Avoid promising same-day teeth unless the treatment team, components and provisional workflow support it.</w:t>
      </w:r>
    </w:p>
    <w:p>
      <w:pPr>
        <w:pStyle w:val="Heading2"/>
        <w:spacing w:before="280" w:after="140" w:line="252" w:lineRule="auto"/>
        <w:keepNext w:val="1"/>
        <w:pageBreakBefore w:val="0"/>
      </w:pPr>
      <w:r>
        <w:rPr>
          <w:rFonts w:ascii="Calibri" w:hAnsi="Calibri"/>
          <w:b/>
          <w:color w:val="2E74B5"/>
          <w:sz w:val="26"/>
        </w:rPr>
        <w:t>Zygoma &amp; Pterygoid Planning Workflow</w:t>
      </w:r>
    </w:p>
    <w:tbl>
      <w:tblPr>
        <w:tblStyle w:val="TableGrid"/>
        <w:tblW w:type="dxa" w:w="9360"/>
        <w:tblLayout w:type="fixed"/>
        <w:tblLook w:firstColumn="1" w:firstRow="1" w:lastColumn="0" w:lastRow="0" w:noHBand="0" w:noVBand="1" w:val="04A0"/>
        <w:jc w:val="left"/>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2100"/>
        <w:gridCol w:w="7260"/>
      </w:tblGrid>
      <w:tr>
        <w:trPr>
          <w:tblHeader w:val="true"/>
          <w:cantSplit/>
        </w:trPr>
        <w:tc>
          <w:tcPr>
            <w:tcW w:type="dxa" w:w="2100"/>
            <w:tcMar>
              <w:top w:w="80" w:type="dxa"/>
              <w:start w:w="120" w:type="dxa"/>
              <w:bottom w:w="80" w:type="dxa"/>
              <w:end w:w="120" w:type="dxa"/>
            </w:tcMar>
            <w:vAlign w:val="center"/>
            <w:shd w:fill="F2F4F7"/>
          </w:tcPr>
          <w:p>
            <w:pPr>
              <w:spacing w:before="0" w:after="0" w:line="264" w:lineRule="auto"/>
            </w:pPr>
            <w:r>
              <w:rPr>
                <w:rFonts w:ascii="Calibri" w:hAnsi="Calibri"/>
                <w:b/>
                <w:color w:val="162236"/>
                <w:sz w:val="18"/>
              </w:rPr>
              <w:t>Field</w:t>
            </w:r>
          </w:p>
        </w:tc>
        <w:tc>
          <w:tcPr>
            <w:tcW w:type="dxa" w:w="7260"/>
            <w:tcMar>
              <w:top w:w="80" w:type="dxa"/>
              <w:start w:w="120" w:type="dxa"/>
              <w:bottom w:w="80" w:type="dxa"/>
              <w:end w:w="120" w:type="dxa"/>
            </w:tcMar>
            <w:vAlign w:val="center"/>
            <w:shd w:fill="F2F4F7"/>
          </w:tcPr>
          <w:p>
            <w:pPr>
              <w:spacing w:before="0" w:after="0" w:line="264" w:lineRule="auto"/>
            </w:pPr>
            <w:r>
              <w:rPr>
                <w:rFonts w:ascii="Calibri" w:hAnsi="Calibri"/>
                <w:b/>
                <w:color w:val="162236"/>
                <w:sz w:val="18"/>
              </w:rPr>
              <w:t>Recommendation</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Route</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/zygoma-pterygoid-planning/</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Search focus</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zygomatic implant planning; pterygoid implant planning</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SEO title</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Zygomatic &amp; Pterygoid Implant Planning | I3DC</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Meta description</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Advanced digital planning support for zygomatic and pterygoid implant cases, coordinated around anatomy, restorative intent and clinician approval.</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Visible H1</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Advanced implant planning where anatomy and restoration must agree.</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Primary CTA</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Discuss an Advanced Case</w:t>
            </w:r>
          </w:p>
        </w:tc>
      </w:tr>
    </w:tbl>
    <w:p>
      <w:pPr>
        <w:spacing w:after="60"/>
      </w:pPr>
    </w:p>
    <w:p>
      <w:pPr>
        <w:pStyle w:val="ListBullet"/>
        <w:keepLines/>
        <w:spacing w:before="0" w:after="80" w:line="300" w:lineRule="auto"/>
      </w:pPr>
      <w:r>
        <w:rPr>
          <w:rFonts w:ascii="Calibri" w:hAnsi="Calibri"/>
          <w:color w:val="162236"/>
          <w:sz w:val="22"/>
        </w:rPr>
        <w:t>State clearly that this is planning and workflow support for qualified treating clinicians.</w:t>
      </w:r>
    </w:p>
    <w:p>
      <w:pPr>
        <w:pStyle w:val="ListBullet"/>
        <w:keepLines/>
        <w:spacing w:before="0" w:after="80" w:line="300" w:lineRule="auto"/>
      </w:pPr>
      <w:r>
        <w:rPr>
          <w:rFonts w:ascii="Calibri" w:hAnsi="Calibri"/>
          <w:color w:val="162236"/>
          <w:sz w:val="22"/>
        </w:rPr>
        <w:t>Show anatomy review, implant trajectory, prosthetic reference, guide concept and approval as distinct stages.</w:t>
      </w:r>
    </w:p>
    <w:p>
      <w:pPr>
        <w:pStyle w:val="ListBullet"/>
        <w:keepLines/>
        <w:spacing w:before="0" w:after="80" w:line="300" w:lineRule="auto"/>
      </w:pPr>
      <w:r>
        <w:rPr>
          <w:rFonts w:ascii="Calibri" w:hAnsi="Calibri"/>
          <w:color w:val="162236"/>
          <w:sz w:val="22"/>
        </w:rPr>
        <w:t>Identify the additional imaging, scan and prosthetic records that may be required.</w:t>
      </w:r>
    </w:p>
    <w:p>
      <w:pPr>
        <w:pStyle w:val="ListBullet"/>
        <w:keepLines/>
        <w:spacing w:before="0" w:after="80" w:line="300" w:lineRule="auto"/>
      </w:pPr>
      <w:r>
        <w:rPr>
          <w:rFonts w:ascii="Calibri" w:hAnsi="Calibri"/>
          <w:color w:val="162236"/>
          <w:sz w:val="22"/>
        </w:rPr>
        <w:t>Use restrained language; never imply the guide removes the clinical risk of advanced surgery.</w:t>
      </w:r>
    </w:p>
    <w:p>
      <w:pPr>
        <w:pStyle w:val="ListBullet"/>
        <w:keepLines/>
        <w:spacing w:before="0" w:after="80" w:line="300" w:lineRule="auto"/>
      </w:pPr>
      <w:r>
        <w:rPr>
          <w:rFonts w:ascii="Calibri" w:hAnsi="Calibri"/>
          <w:color w:val="162236"/>
          <w:sz w:val="22"/>
        </w:rPr>
        <w:t>Include named technical and clinical review roles once verified.</w:t>
      </w:r>
    </w:p>
    <w:p>
      <w:pPr>
        <w:pStyle w:val="Heading2"/>
        <w:spacing w:before="280" w:after="140" w:line="252" w:lineRule="auto"/>
        <w:keepNext w:val="1"/>
        <w:pageBreakBefore w:val="0"/>
      </w:pPr>
      <w:r>
        <w:rPr>
          <w:rFonts w:ascii="Calibri" w:hAnsi="Calibri"/>
          <w:b/>
          <w:color w:val="2E74B5"/>
          <w:sz w:val="26"/>
        </w:rPr>
        <w:t>Immediate-Loading Prosthetic Workflow</w:t>
      </w:r>
    </w:p>
    <w:tbl>
      <w:tblPr>
        <w:tblStyle w:val="TableGrid"/>
        <w:tblW w:type="dxa" w:w="9360"/>
        <w:tblLayout w:type="fixed"/>
        <w:tblLook w:firstColumn="1" w:firstRow="1" w:lastColumn="0" w:lastRow="0" w:noHBand="0" w:noVBand="1" w:val="04A0"/>
        <w:jc w:val="left"/>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2100"/>
        <w:gridCol w:w="7260"/>
      </w:tblGrid>
      <w:tr>
        <w:trPr>
          <w:tblHeader w:val="true"/>
          <w:cantSplit/>
        </w:trPr>
        <w:tc>
          <w:tcPr>
            <w:tcW w:type="dxa" w:w="2100"/>
            <w:tcMar>
              <w:top w:w="80" w:type="dxa"/>
              <w:start w:w="120" w:type="dxa"/>
              <w:bottom w:w="80" w:type="dxa"/>
              <w:end w:w="120" w:type="dxa"/>
            </w:tcMar>
            <w:vAlign w:val="center"/>
            <w:shd w:fill="F2F4F7"/>
          </w:tcPr>
          <w:p>
            <w:pPr>
              <w:spacing w:before="0" w:after="0" w:line="264" w:lineRule="auto"/>
            </w:pPr>
            <w:r>
              <w:rPr>
                <w:rFonts w:ascii="Calibri" w:hAnsi="Calibri"/>
                <w:b/>
                <w:color w:val="162236"/>
                <w:sz w:val="18"/>
              </w:rPr>
              <w:t>Field</w:t>
            </w:r>
          </w:p>
        </w:tc>
        <w:tc>
          <w:tcPr>
            <w:tcW w:type="dxa" w:w="7260"/>
            <w:tcMar>
              <w:top w:w="80" w:type="dxa"/>
              <w:start w:w="120" w:type="dxa"/>
              <w:bottom w:w="80" w:type="dxa"/>
              <w:end w:w="120" w:type="dxa"/>
            </w:tcMar>
            <w:vAlign w:val="center"/>
            <w:shd w:fill="F2F4F7"/>
          </w:tcPr>
          <w:p>
            <w:pPr>
              <w:spacing w:before="0" w:after="0" w:line="264" w:lineRule="auto"/>
            </w:pPr>
            <w:r>
              <w:rPr>
                <w:rFonts w:ascii="Calibri" w:hAnsi="Calibri"/>
                <w:b/>
                <w:color w:val="162236"/>
                <w:sz w:val="18"/>
              </w:rPr>
              <w:t>Recommendation</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Route</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/immediate-loading-workflow/</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Search focus</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immediate-loading implant workflow; immediate provisional prosthesis planning</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SEO title</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Immediate-Loading Implant &amp; Prosthetic Workflow | I3DC</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Meta description</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Coordinate the implant plan, surgical guide and immediate provisional references before the planned loading appointment.</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Visible H1</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Align the plan, the guide and the provisional before surgery.</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Primary CTA</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Review Immediate-Loading Requirements</w:t>
            </w:r>
          </w:p>
        </w:tc>
      </w:tr>
    </w:tbl>
    <w:p>
      <w:pPr>
        <w:spacing w:after="60"/>
      </w:pPr>
    </w:p>
    <w:p>
      <w:pPr>
        <w:pStyle w:val="ListBullet"/>
        <w:keepLines/>
        <w:spacing w:before="0" w:after="80" w:line="300" w:lineRule="auto"/>
      </w:pPr>
      <w:r>
        <w:rPr>
          <w:rFonts w:ascii="Calibri" w:hAnsi="Calibri"/>
          <w:color w:val="162236"/>
          <w:sz w:val="22"/>
        </w:rPr>
        <w:t>Clarify FP1, FP2 and FP3 planning language where it affects the design.</w:t>
      </w:r>
    </w:p>
    <w:p>
      <w:pPr>
        <w:pStyle w:val="ListBullet"/>
        <w:keepLines/>
        <w:spacing w:before="0" w:after="80" w:line="300" w:lineRule="auto"/>
      </w:pPr>
      <w:r>
        <w:rPr>
          <w:rFonts w:ascii="Calibri" w:hAnsi="Calibri"/>
          <w:color w:val="162236"/>
          <w:sz w:val="22"/>
        </w:rPr>
        <w:t>Show how smile reference, vertical dimension, occlusion and restorative space inform the workflow.</w:t>
      </w:r>
    </w:p>
    <w:p>
      <w:pPr>
        <w:pStyle w:val="ListBullet"/>
        <w:keepLines/>
        <w:spacing w:before="0" w:after="80" w:line="300" w:lineRule="auto"/>
      </w:pPr>
      <w:r>
        <w:rPr>
          <w:rFonts w:ascii="Calibri" w:hAnsi="Calibri"/>
          <w:color w:val="162236"/>
          <w:sz w:val="22"/>
        </w:rPr>
        <w:t>Separate preoperative design, intraoperative pickup and definitive restoration; do not merge them into one promise.</w:t>
      </w:r>
    </w:p>
    <w:p>
      <w:pPr>
        <w:pStyle w:val="ListBullet"/>
        <w:keepLines/>
        <w:spacing w:before="0" w:after="80" w:line="300" w:lineRule="auto"/>
      </w:pPr>
      <w:r>
        <w:rPr>
          <w:rFonts w:ascii="Calibri" w:hAnsi="Calibri"/>
          <w:color w:val="162236"/>
          <w:sz w:val="22"/>
        </w:rPr>
        <w:t>Define what must be approved before guide and provisional production.</w:t>
      </w:r>
    </w:p>
    <w:p>
      <w:pPr>
        <w:pStyle w:val="Heading2"/>
        <w:spacing w:before="280" w:after="140" w:line="252" w:lineRule="auto"/>
        <w:keepNext w:val="1"/>
        <w:pageBreakBefore w:val="0"/>
      </w:pPr>
      <w:r>
        <w:rPr>
          <w:rFonts w:ascii="Calibri" w:hAnsi="Calibri"/>
          <w:b/>
          <w:color w:val="2E74B5"/>
          <w:sz w:val="26"/>
        </w:rPr>
        <w:t>Case Data &amp; Diagnostic Preparation</w:t>
      </w:r>
    </w:p>
    <w:tbl>
      <w:tblPr>
        <w:tblStyle w:val="TableGrid"/>
        <w:tblW w:type="dxa" w:w="9360"/>
        <w:tblLayout w:type="fixed"/>
        <w:tblLook w:firstColumn="1" w:firstRow="1" w:lastColumn="0" w:lastRow="0" w:noHBand="0" w:noVBand="1" w:val="04A0"/>
        <w:jc w:val="left"/>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2100"/>
        <w:gridCol w:w="7260"/>
      </w:tblGrid>
      <w:tr>
        <w:trPr>
          <w:tblHeader w:val="true"/>
          <w:cantSplit/>
        </w:trPr>
        <w:tc>
          <w:tcPr>
            <w:tcW w:type="dxa" w:w="2100"/>
            <w:tcMar>
              <w:top w:w="80" w:type="dxa"/>
              <w:start w:w="120" w:type="dxa"/>
              <w:bottom w:w="80" w:type="dxa"/>
              <w:end w:w="120" w:type="dxa"/>
            </w:tcMar>
            <w:vAlign w:val="center"/>
            <w:shd w:fill="F2F4F7"/>
          </w:tcPr>
          <w:p>
            <w:pPr>
              <w:spacing w:before="0" w:after="0" w:line="264" w:lineRule="auto"/>
            </w:pPr>
            <w:r>
              <w:rPr>
                <w:rFonts w:ascii="Calibri" w:hAnsi="Calibri"/>
                <w:b/>
                <w:color w:val="162236"/>
                <w:sz w:val="18"/>
              </w:rPr>
              <w:t>Field</w:t>
            </w:r>
          </w:p>
        </w:tc>
        <w:tc>
          <w:tcPr>
            <w:tcW w:type="dxa" w:w="7260"/>
            <w:tcMar>
              <w:top w:w="80" w:type="dxa"/>
              <w:start w:w="120" w:type="dxa"/>
              <w:bottom w:w="80" w:type="dxa"/>
              <w:end w:w="120" w:type="dxa"/>
            </w:tcMar>
            <w:vAlign w:val="center"/>
            <w:shd w:fill="F2F4F7"/>
          </w:tcPr>
          <w:p>
            <w:pPr>
              <w:spacing w:before="0" w:after="0" w:line="264" w:lineRule="auto"/>
            </w:pPr>
            <w:r>
              <w:rPr>
                <w:rFonts w:ascii="Calibri" w:hAnsi="Calibri"/>
                <w:b/>
                <w:color w:val="162236"/>
                <w:sz w:val="18"/>
              </w:rPr>
              <w:t>Recommendation</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Route</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/case-data-preparation/</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Search focus</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DICOM to STL dental; dental CBCT segmentation; radiology reporting</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SEO title</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DICOM to STL, CBCT Segmentation &amp; Case Preparation | I3DC</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Meta description</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Prepare dental case data with DICOM-to-STL conversion, CBCT segmentation, scan alignment and diagnostic support for digital workflows.</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Visible H1</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Reliable planning begins with usable case data.</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Primary CTA</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Review File Requirements</w:t>
            </w:r>
          </w:p>
        </w:tc>
      </w:tr>
    </w:tbl>
    <w:p>
      <w:pPr>
        <w:spacing w:after="60"/>
      </w:pPr>
    </w:p>
    <w:p>
      <w:pPr>
        <w:pStyle w:val="ListBullet"/>
        <w:keepLines/>
        <w:spacing w:before="0" w:after="80" w:line="300" w:lineRule="auto"/>
      </w:pPr>
      <w:r>
        <w:rPr>
          <w:rFonts w:ascii="Calibri" w:hAnsi="Calibri"/>
          <w:color w:val="162236"/>
          <w:sz w:val="22"/>
        </w:rPr>
        <w:t>Explain DICOM handling, IOS/model scan use, segmentation and alignment in plain language.</w:t>
      </w:r>
    </w:p>
    <w:p>
      <w:pPr>
        <w:pStyle w:val="ListBullet"/>
        <w:keepLines/>
        <w:spacing w:before="0" w:after="80" w:line="300" w:lineRule="auto"/>
      </w:pPr>
      <w:r>
        <w:rPr>
          <w:rFonts w:ascii="Calibri" w:hAnsi="Calibri"/>
          <w:color w:val="162236"/>
          <w:sz w:val="22"/>
        </w:rPr>
        <w:t>Separate technical preparation from radiology interpretation and state who provides each service.</w:t>
      </w:r>
    </w:p>
    <w:p>
      <w:pPr>
        <w:pStyle w:val="ListBullet"/>
        <w:keepLines/>
        <w:spacing w:before="0" w:after="80" w:line="300" w:lineRule="auto"/>
      </w:pPr>
      <w:r>
        <w:rPr>
          <w:rFonts w:ascii="Calibri" w:hAnsi="Calibri"/>
          <w:color w:val="162236"/>
          <w:sz w:val="22"/>
        </w:rPr>
        <w:t>Show accepted file types and common reasons files cannot move into planning.</w:t>
      </w:r>
    </w:p>
    <w:p>
      <w:pPr>
        <w:pStyle w:val="ListBullet"/>
        <w:keepLines/>
        <w:spacing w:before="0" w:after="80" w:line="300" w:lineRule="auto"/>
      </w:pPr>
      <w:r>
        <w:rPr>
          <w:rFonts w:ascii="Calibri" w:hAnsi="Calibri"/>
          <w:color w:val="162236"/>
          <w:sz w:val="22"/>
        </w:rPr>
        <w:t>Link directly to scan protocols and the secure portal.</w:t>
      </w:r>
    </w:p>
    <w:p>
      <w:pPr>
        <w:pStyle w:val="Heading2"/>
        <w:spacing w:before="280" w:after="140" w:line="252" w:lineRule="auto"/>
        <w:keepNext w:val="1"/>
        <w:pageBreakBefore w:val="0"/>
      </w:pPr>
      <w:r>
        <w:rPr>
          <w:rFonts w:ascii="Calibri" w:hAnsi="Calibri"/>
          <w:b/>
          <w:color w:val="2E74B5"/>
          <w:sz w:val="26"/>
        </w:rPr>
        <w:t>Design-Only Workflow</w:t>
      </w:r>
    </w:p>
    <w:tbl>
      <w:tblPr>
        <w:tblStyle w:val="TableGrid"/>
        <w:tblW w:type="dxa" w:w="9360"/>
        <w:tblLayout w:type="fixed"/>
        <w:tblLook w:firstColumn="1" w:firstRow="1" w:lastColumn="0" w:lastRow="0" w:noHBand="0" w:noVBand="1" w:val="04A0"/>
        <w:jc w:val="left"/>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2100"/>
        <w:gridCol w:w="7260"/>
      </w:tblGrid>
      <w:tr>
        <w:trPr>
          <w:tblHeader w:val="true"/>
          <w:cantSplit/>
        </w:trPr>
        <w:tc>
          <w:tcPr>
            <w:tcW w:type="dxa" w:w="2100"/>
            <w:tcMar>
              <w:top w:w="80" w:type="dxa"/>
              <w:start w:w="120" w:type="dxa"/>
              <w:bottom w:w="80" w:type="dxa"/>
              <w:end w:w="120" w:type="dxa"/>
            </w:tcMar>
            <w:vAlign w:val="center"/>
            <w:shd w:fill="F2F4F7"/>
          </w:tcPr>
          <w:p>
            <w:pPr>
              <w:spacing w:before="0" w:after="0" w:line="264" w:lineRule="auto"/>
            </w:pPr>
            <w:r>
              <w:rPr>
                <w:rFonts w:ascii="Calibri" w:hAnsi="Calibri"/>
                <w:b/>
                <w:color w:val="162236"/>
                <w:sz w:val="18"/>
              </w:rPr>
              <w:t>Field</w:t>
            </w:r>
          </w:p>
        </w:tc>
        <w:tc>
          <w:tcPr>
            <w:tcW w:type="dxa" w:w="7260"/>
            <w:tcMar>
              <w:top w:w="80" w:type="dxa"/>
              <w:start w:w="120" w:type="dxa"/>
              <w:bottom w:w="80" w:type="dxa"/>
              <w:end w:w="120" w:type="dxa"/>
            </w:tcMar>
            <w:vAlign w:val="center"/>
            <w:shd w:fill="F2F4F7"/>
          </w:tcPr>
          <w:p>
            <w:pPr>
              <w:spacing w:before="0" w:after="0" w:line="264" w:lineRule="auto"/>
            </w:pPr>
            <w:r>
              <w:rPr>
                <w:rFonts w:ascii="Calibri" w:hAnsi="Calibri"/>
                <w:b/>
                <w:color w:val="162236"/>
                <w:sz w:val="18"/>
              </w:rPr>
              <w:t>Recommendation</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Route</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/design-only-workflow/</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Search focus</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surgical guide STL design service; dental CAD design service</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SEO title</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Dental Surgical Guide Design &amp; Ready-to-Print STL | I3DC</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Meta description</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Receive reviewed, ready-to-print dental planning and guide files for production through your own validated printing workflow.</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Visible H1</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Expert design files for your own production workflow.</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Primary CTA</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Start a Design-Only Case</w:t>
            </w:r>
          </w:p>
        </w:tc>
      </w:tr>
    </w:tbl>
    <w:p>
      <w:pPr>
        <w:spacing w:after="60"/>
      </w:pPr>
    </w:p>
    <w:p>
      <w:pPr>
        <w:pStyle w:val="ListBullet"/>
        <w:keepLines/>
        <w:spacing w:before="0" w:after="80" w:line="300" w:lineRule="auto"/>
      </w:pPr>
      <w:r>
        <w:rPr>
          <w:rFonts w:ascii="Calibri" w:hAnsi="Calibri"/>
          <w:color w:val="162236"/>
          <w:sz w:val="22"/>
        </w:rPr>
        <w:t>Define exactly which files can be supplied and what the receiving lab or practice must validate.</w:t>
      </w:r>
    </w:p>
    <w:p>
      <w:pPr>
        <w:pStyle w:val="ListBullet"/>
        <w:keepLines/>
        <w:spacing w:before="0" w:after="80" w:line="300" w:lineRule="auto"/>
      </w:pPr>
      <w:r>
        <w:rPr>
          <w:rFonts w:ascii="Calibri" w:hAnsi="Calibri"/>
          <w:color w:val="162236"/>
          <w:sz w:val="22"/>
        </w:rPr>
        <w:t>State that print orientation, material, printer calibration, post-processing and device release remain production responsibilities unless included in scope.</w:t>
      </w:r>
    </w:p>
    <w:p>
      <w:pPr>
        <w:pStyle w:val="ListBullet"/>
        <w:keepLines/>
        <w:spacing w:before="0" w:after="80" w:line="300" w:lineRule="auto"/>
      </w:pPr>
      <w:r>
        <w:rPr>
          <w:rFonts w:ascii="Calibri" w:hAnsi="Calibri"/>
          <w:color w:val="162236"/>
          <w:sz w:val="22"/>
        </w:rPr>
        <w:t>Show revision and approval rules before final file release.</w:t>
      </w:r>
    </w:p>
    <w:p>
      <w:pPr>
        <w:pStyle w:val="Heading2"/>
        <w:spacing w:before="280" w:after="140" w:line="252" w:lineRule="auto"/>
        <w:keepNext w:val="1"/>
        <w:pageBreakBefore w:val="0"/>
      </w:pPr>
      <w:r>
        <w:rPr>
          <w:rFonts w:ascii="Calibri" w:hAnsi="Calibri"/>
          <w:b/>
          <w:color w:val="2E74B5"/>
          <w:sz w:val="26"/>
        </w:rPr>
        <w:t>Design-to-Delivery Workflow</w:t>
      </w:r>
    </w:p>
    <w:tbl>
      <w:tblPr>
        <w:tblStyle w:val="TableGrid"/>
        <w:tblW w:type="dxa" w:w="9360"/>
        <w:tblLayout w:type="fixed"/>
        <w:tblLook w:firstColumn="1" w:firstRow="1" w:lastColumn="0" w:lastRow="0" w:noHBand="0" w:noVBand="1" w:val="04A0"/>
        <w:jc w:val="left"/>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2100"/>
        <w:gridCol w:w="7260"/>
      </w:tblGrid>
      <w:tr>
        <w:trPr>
          <w:tblHeader w:val="true"/>
          <w:cantSplit/>
        </w:trPr>
        <w:tc>
          <w:tcPr>
            <w:tcW w:type="dxa" w:w="2100"/>
            <w:tcMar>
              <w:top w:w="80" w:type="dxa"/>
              <w:start w:w="120" w:type="dxa"/>
              <w:bottom w:w="80" w:type="dxa"/>
              <w:end w:w="120" w:type="dxa"/>
            </w:tcMar>
            <w:vAlign w:val="center"/>
            <w:shd w:fill="F2F4F7"/>
          </w:tcPr>
          <w:p>
            <w:pPr>
              <w:spacing w:before="0" w:after="0" w:line="264" w:lineRule="auto"/>
            </w:pPr>
            <w:r>
              <w:rPr>
                <w:rFonts w:ascii="Calibri" w:hAnsi="Calibri"/>
                <w:b/>
                <w:color w:val="162236"/>
                <w:sz w:val="18"/>
              </w:rPr>
              <w:t>Field</w:t>
            </w:r>
          </w:p>
        </w:tc>
        <w:tc>
          <w:tcPr>
            <w:tcW w:type="dxa" w:w="7260"/>
            <w:tcMar>
              <w:top w:w="80" w:type="dxa"/>
              <w:start w:w="120" w:type="dxa"/>
              <w:bottom w:w="80" w:type="dxa"/>
              <w:end w:w="120" w:type="dxa"/>
            </w:tcMar>
            <w:vAlign w:val="center"/>
            <w:shd w:fill="F2F4F7"/>
          </w:tcPr>
          <w:p>
            <w:pPr>
              <w:spacing w:before="0" w:after="0" w:line="264" w:lineRule="auto"/>
            </w:pPr>
            <w:r>
              <w:rPr>
                <w:rFonts w:ascii="Calibri" w:hAnsi="Calibri"/>
                <w:b/>
                <w:color w:val="162236"/>
                <w:sz w:val="18"/>
              </w:rPr>
              <w:t>Recommendation</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Route</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/design-to-delivery/</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Search focus</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implant planning guide design and delivery</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SEO title</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Implant Planning, Guide Design &amp; Delivery | I3DC</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Meta description</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Coordinate digital implant planning, guide design, production checks and delivery through one visible case workflow.</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Visible H1</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One coordinated path from case data to surgery-ready delivery.</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Primary CTA</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Start a Complete Workflow</w:t>
            </w:r>
          </w:p>
        </w:tc>
      </w:tr>
    </w:tbl>
    <w:p>
      <w:pPr>
        <w:spacing w:after="60"/>
      </w:pPr>
    </w:p>
    <w:p>
      <w:pPr>
        <w:pStyle w:val="ListBullet"/>
        <w:keepLines/>
        <w:spacing w:before="0" w:after="80" w:line="300" w:lineRule="auto"/>
      </w:pPr>
      <w:r>
        <w:rPr>
          <w:rFonts w:ascii="Calibri" w:hAnsi="Calibri"/>
          <w:color w:val="162236"/>
          <w:sz w:val="22"/>
        </w:rPr>
        <w:t>Show scope confirmation, quotation, planning, approval, production, quality check and dispatch.</w:t>
      </w:r>
    </w:p>
    <w:p>
      <w:pPr>
        <w:pStyle w:val="ListBullet"/>
        <w:keepLines/>
        <w:spacing w:before="0" w:after="80" w:line="300" w:lineRule="auto"/>
      </w:pPr>
      <w:r>
        <w:rPr>
          <w:rFonts w:ascii="Calibri" w:hAnsi="Calibri"/>
          <w:color w:val="162236"/>
          <w:sz w:val="22"/>
        </w:rPr>
        <w:t>Separate committed turnaround from courier transit and from delays caused by incomplete records or pending approval.</w:t>
      </w:r>
    </w:p>
    <w:p>
      <w:pPr>
        <w:pStyle w:val="ListBullet"/>
        <w:keepLines/>
        <w:spacing w:before="0" w:after="80" w:line="300" w:lineRule="auto"/>
      </w:pPr>
      <w:r>
        <w:rPr>
          <w:rFonts w:ascii="Calibri" w:hAnsi="Calibri"/>
          <w:color w:val="162236"/>
          <w:sz w:val="22"/>
        </w:rPr>
        <w:t>List regions served only after logistics and regulatory requirements are verified.</w:t>
      </w:r>
    </w:p>
    <w:p>
      <w:pPr>
        <w:pStyle w:val="Heading2"/>
        <w:spacing w:before="280" w:after="140" w:line="252" w:lineRule="auto"/>
        <w:keepNext w:val="1"/>
        <w:pageBreakBefore w:val="0"/>
      </w:pPr>
      <w:r>
        <w:rPr>
          <w:rFonts w:ascii="Calibri" w:hAnsi="Calibri"/>
          <w:b/>
          <w:color w:val="2E74B5"/>
          <w:sz w:val="26"/>
        </w:rPr>
        <w:t>White-Label Workflow Partnership</w:t>
      </w:r>
    </w:p>
    <w:tbl>
      <w:tblPr>
        <w:tblStyle w:val="TableGrid"/>
        <w:tblW w:type="dxa" w:w="9360"/>
        <w:tblLayout w:type="fixed"/>
        <w:tblLook w:firstColumn="1" w:firstRow="1" w:lastColumn="0" w:lastRow="0" w:noHBand="0" w:noVBand="1" w:val="04A0"/>
        <w:jc w:val="left"/>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2100"/>
        <w:gridCol w:w="7260"/>
      </w:tblGrid>
      <w:tr>
        <w:trPr>
          <w:tblHeader w:val="true"/>
          <w:cantSplit/>
        </w:trPr>
        <w:tc>
          <w:tcPr>
            <w:tcW w:type="dxa" w:w="2100"/>
            <w:tcMar>
              <w:top w:w="80" w:type="dxa"/>
              <w:start w:w="120" w:type="dxa"/>
              <w:bottom w:w="80" w:type="dxa"/>
              <w:end w:w="120" w:type="dxa"/>
            </w:tcMar>
            <w:vAlign w:val="center"/>
            <w:shd w:fill="F2F4F7"/>
          </w:tcPr>
          <w:p>
            <w:pPr>
              <w:spacing w:before="0" w:after="0" w:line="264" w:lineRule="auto"/>
            </w:pPr>
            <w:r>
              <w:rPr>
                <w:rFonts w:ascii="Calibri" w:hAnsi="Calibri"/>
                <w:b/>
                <w:color w:val="162236"/>
                <w:sz w:val="18"/>
              </w:rPr>
              <w:t>Field</w:t>
            </w:r>
          </w:p>
        </w:tc>
        <w:tc>
          <w:tcPr>
            <w:tcW w:type="dxa" w:w="7260"/>
            <w:tcMar>
              <w:top w:w="80" w:type="dxa"/>
              <w:start w:w="120" w:type="dxa"/>
              <w:bottom w:w="80" w:type="dxa"/>
              <w:end w:w="120" w:type="dxa"/>
            </w:tcMar>
            <w:vAlign w:val="center"/>
            <w:shd w:fill="F2F4F7"/>
          </w:tcPr>
          <w:p>
            <w:pPr>
              <w:spacing w:before="0" w:after="0" w:line="264" w:lineRule="auto"/>
            </w:pPr>
            <w:r>
              <w:rPr>
                <w:rFonts w:ascii="Calibri" w:hAnsi="Calibri"/>
                <w:b/>
                <w:color w:val="162236"/>
                <w:sz w:val="18"/>
              </w:rPr>
              <w:t>Recommendation</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Route</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/white-label-workflow-partner/</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Search focus</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white-label dental implant planning; outsourced surgical guide design</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SEO title</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White-Label Dental Implant Planning Services | I3DC</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Meta description</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Add digital implant planning, guide design and production capacity behind your laboratory, DSO, implant system or international practice network.</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Visible H1</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Add workflow capacity without losing your customer relationship.</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Primary CTA</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Request a Workflow Review</w:t>
            </w:r>
          </w:p>
        </w:tc>
      </w:tr>
    </w:tbl>
    <w:p>
      <w:pPr>
        <w:spacing w:after="60"/>
      </w:pPr>
    </w:p>
    <w:p>
      <w:pPr>
        <w:pStyle w:val="ListBullet"/>
        <w:keepLines/>
        <w:spacing w:before="0" w:after="80" w:line="300" w:lineRule="auto"/>
      </w:pPr>
      <w:r>
        <w:rPr>
          <w:rFonts w:ascii="Calibri" w:hAnsi="Calibri"/>
          <w:color w:val="162236"/>
          <w:sz w:val="22"/>
        </w:rPr>
        <w:t>Audiences: laboratories, DSOs, implant systems, distributors and overseas practice networks.</w:t>
      </w:r>
    </w:p>
    <w:p>
      <w:pPr>
        <w:pStyle w:val="ListBullet"/>
        <w:keepLines/>
        <w:spacing w:before="0" w:after="80" w:line="300" w:lineRule="auto"/>
      </w:pPr>
      <w:r>
        <w:rPr>
          <w:rFonts w:ascii="Calibri" w:hAnsi="Calibri"/>
          <w:color w:val="162236"/>
          <w:sz w:val="22"/>
        </w:rPr>
        <w:t>Explain brand handling, scope, turnaround bands, communication model and escalation path.</w:t>
      </w:r>
    </w:p>
    <w:p>
      <w:pPr>
        <w:pStyle w:val="ListBullet"/>
        <w:keepLines/>
        <w:spacing w:before="0" w:after="80" w:line="300" w:lineRule="auto"/>
      </w:pPr>
      <w:r>
        <w:rPr>
          <w:rFonts w:ascii="Calibri" w:hAnsi="Calibri"/>
          <w:color w:val="162236"/>
          <w:sz w:val="22"/>
        </w:rPr>
        <w:t>Show design-only, production-supported and volume workflows as separate options.</w:t>
      </w:r>
    </w:p>
    <w:p>
      <w:pPr>
        <w:pStyle w:val="ListBullet"/>
        <w:keepLines/>
        <w:spacing w:before="0" w:after="80" w:line="300" w:lineRule="auto"/>
      </w:pPr>
      <w:r>
        <w:rPr>
          <w:rFonts w:ascii="Calibri" w:hAnsi="Calibri"/>
          <w:color w:val="162236"/>
          <w:sz w:val="22"/>
        </w:rPr>
        <w:t>Do not publish bulk prices, minimum volumes or territory promises until commercially approved.</w:t>
      </w:r>
    </w:p>
    <w:p>
      <w:pPr>
        <w:pStyle w:val="Heading2"/>
        <w:spacing w:before="280" w:after="140" w:line="252" w:lineRule="auto"/>
        <w:keepNext w:val="1"/>
        <w:pageBreakBefore w:val="0"/>
      </w:pPr>
      <w:r>
        <w:rPr>
          <w:rFonts w:ascii="Calibri" w:hAnsi="Calibri"/>
          <w:b/>
          <w:color w:val="2E74B5"/>
          <w:sz w:val="26"/>
        </w:rPr>
        <w:t>Expanded Digital Dentistry Solutions</w:t>
      </w:r>
    </w:p>
    <w:tbl>
      <w:tblPr>
        <w:tblStyle w:val="TableGrid"/>
        <w:tblW w:type="dxa" w:w="9360"/>
        <w:tblLayout w:type="fixed"/>
        <w:tblLook w:firstColumn="1" w:firstRow="1" w:lastColumn="0" w:lastRow="0" w:noHBand="0" w:noVBand="1" w:val="04A0"/>
        <w:jc w:val="left"/>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2100"/>
        <w:gridCol w:w="7260"/>
      </w:tblGrid>
      <w:tr>
        <w:trPr>
          <w:tblHeader w:val="true"/>
          <w:cantSplit/>
        </w:trPr>
        <w:tc>
          <w:tcPr>
            <w:tcW w:type="dxa" w:w="2100"/>
            <w:tcMar>
              <w:top w:w="80" w:type="dxa"/>
              <w:start w:w="120" w:type="dxa"/>
              <w:bottom w:w="80" w:type="dxa"/>
              <w:end w:w="120" w:type="dxa"/>
            </w:tcMar>
            <w:vAlign w:val="center"/>
            <w:shd w:fill="F2F4F7"/>
          </w:tcPr>
          <w:p>
            <w:pPr>
              <w:spacing w:before="0" w:after="0" w:line="264" w:lineRule="auto"/>
            </w:pPr>
            <w:r>
              <w:rPr>
                <w:rFonts w:ascii="Calibri" w:hAnsi="Calibri"/>
                <w:b/>
                <w:color w:val="162236"/>
                <w:sz w:val="18"/>
              </w:rPr>
              <w:t>Field</w:t>
            </w:r>
          </w:p>
        </w:tc>
        <w:tc>
          <w:tcPr>
            <w:tcW w:type="dxa" w:w="7260"/>
            <w:tcMar>
              <w:top w:w="80" w:type="dxa"/>
              <w:start w:w="120" w:type="dxa"/>
              <w:bottom w:w="80" w:type="dxa"/>
              <w:end w:w="120" w:type="dxa"/>
            </w:tcMar>
            <w:vAlign w:val="center"/>
            <w:shd w:fill="F2F4F7"/>
          </w:tcPr>
          <w:p>
            <w:pPr>
              <w:spacing w:before="0" w:after="0" w:line="264" w:lineRule="auto"/>
            </w:pPr>
            <w:r>
              <w:rPr>
                <w:rFonts w:ascii="Calibri" w:hAnsi="Calibri"/>
                <w:b/>
                <w:color w:val="162236"/>
                <w:sz w:val="18"/>
              </w:rPr>
              <w:t>Recommendation</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Route</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/digital-dentistry-solutions/</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Search focus</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digital dentistry design services</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SEO title</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Digital Dentistry Design Services | Image3DConversion</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Meta description</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Access specialised digital design support for smile planning, digital dentures, crown lengthening, endodontic and selected maxillofacial workflows.</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Visible H1</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Specialised digital workflows beyond implant guides.</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Primary CTA</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Discuss a Specialised Workflow</w:t>
            </w:r>
          </w:p>
        </w:tc>
      </w:tr>
    </w:tbl>
    <w:p>
      <w:pPr>
        <w:spacing w:after="60"/>
      </w:pPr>
    </w:p>
    <w:p>
      <w:pPr>
        <w:pStyle w:val="ListBullet"/>
        <w:keepLines/>
        <w:spacing w:before="0" w:after="80" w:line="300" w:lineRule="auto"/>
      </w:pPr>
      <w:r>
        <w:rPr>
          <w:rFonts w:ascii="Calibri" w:hAnsi="Calibri"/>
          <w:color w:val="162236"/>
          <w:sz w:val="22"/>
        </w:rPr>
        <w:t>Visible now, if operationally available: smile design, digital denture, crown and bridge, wax-up, crown-lengthening or gingivectomy guides, endodontic guides and radiology support.</w:t>
      </w:r>
    </w:p>
    <w:p>
      <w:pPr>
        <w:pStyle w:val="ListBullet"/>
        <w:keepLines/>
        <w:spacing w:before="0" w:after="80" w:line="300" w:lineRule="auto"/>
      </w:pPr>
      <w:r>
        <w:rPr>
          <w:rFonts w:ascii="Calibri" w:hAnsi="Calibri"/>
          <w:color w:val="162236"/>
          <w:sz w:val="22"/>
        </w:rPr>
        <w:t>Advanced / developing capabilities must be marked accurately: PSI planning, maxillectomy, mandibular advancement or other OMFS workflows should not be presented as live unless validated.</w:t>
      </w:r>
    </w:p>
    <w:p>
      <w:pPr>
        <w:pStyle w:val="ListBullet"/>
        <w:keepLines/>
        <w:spacing w:before="0" w:after="80" w:line="300" w:lineRule="auto"/>
      </w:pPr>
      <w:r>
        <w:rPr>
          <w:rFonts w:ascii="Calibri" w:hAnsi="Calibri"/>
          <w:color w:val="162236"/>
          <w:sz w:val="22"/>
        </w:rPr>
        <w:t>Keep this page secondary so guided implantology remains the brand’s dominant category.</w:t>
      </w:r>
    </w:p>
    <w:p>
      <w:pPr>
        <w:pStyle w:val="Heading1"/>
        <w:spacing w:before="360" w:after="200" w:line="252" w:lineRule="auto"/>
        <w:keepNext w:val="1"/>
        <w:pageBreakBefore w:val="1"/>
      </w:pPr>
      <w:r>
        <w:rPr>
          <w:rFonts w:ascii="Calibri" w:hAnsi="Calibri"/>
          <w:b/>
          <w:color w:val="2E74B5"/>
          <w:sz w:val="32"/>
        </w:rPr>
        <w:t>7. Trust and support pages</w:t>
      </w:r>
    </w:p>
    <w:p>
      <w:pPr>
        <w:pStyle w:val="Heading2"/>
        <w:spacing w:before="280" w:after="140" w:line="252" w:lineRule="auto"/>
        <w:keepNext w:val="1"/>
        <w:pageBreakBefore w:val="0"/>
      </w:pPr>
      <w:r>
        <w:rPr>
          <w:rFonts w:ascii="Calibri" w:hAnsi="Calibri"/>
          <w:b/>
          <w:color w:val="2E74B5"/>
          <w:sz w:val="26"/>
        </w:rPr>
        <w:t>How It Works</w:t>
      </w:r>
    </w:p>
    <w:tbl>
      <w:tblPr>
        <w:tblStyle w:val="TableGrid"/>
        <w:tblW w:type="dxa" w:w="9360"/>
        <w:tblLayout w:type="fixed"/>
        <w:tblLook w:firstColumn="1" w:firstRow="1" w:lastColumn="0" w:lastRow="0" w:noHBand="0" w:noVBand="1" w:val="04A0"/>
        <w:jc w:val="left"/>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2100"/>
        <w:gridCol w:w="7260"/>
      </w:tblGrid>
      <w:tr>
        <w:trPr>
          <w:tblHeader w:val="true"/>
          <w:cantSplit/>
        </w:trPr>
        <w:tc>
          <w:tcPr>
            <w:tcW w:type="dxa" w:w="2100"/>
            <w:tcMar>
              <w:top w:w="80" w:type="dxa"/>
              <w:start w:w="120" w:type="dxa"/>
              <w:bottom w:w="80" w:type="dxa"/>
              <w:end w:w="120" w:type="dxa"/>
            </w:tcMar>
            <w:vAlign w:val="center"/>
            <w:shd w:fill="F2F4F7"/>
          </w:tcPr>
          <w:p>
            <w:pPr>
              <w:spacing w:before="0" w:after="0" w:line="264" w:lineRule="auto"/>
            </w:pPr>
            <w:r>
              <w:rPr>
                <w:rFonts w:ascii="Calibri" w:hAnsi="Calibri"/>
                <w:b/>
                <w:color w:val="162236"/>
                <w:sz w:val="18"/>
              </w:rPr>
              <w:t>Field</w:t>
            </w:r>
          </w:p>
        </w:tc>
        <w:tc>
          <w:tcPr>
            <w:tcW w:type="dxa" w:w="7260"/>
            <w:tcMar>
              <w:top w:w="80" w:type="dxa"/>
              <w:start w:w="120" w:type="dxa"/>
              <w:bottom w:w="80" w:type="dxa"/>
              <w:end w:w="120" w:type="dxa"/>
            </w:tcMar>
            <w:vAlign w:val="center"/>
            <w:shd w:fill="F2F4F7"/>
          </w:tcPr>
          <w:p>
            <w:pPr>
              <w:spacing w:before="0" w:after="0" w:line="264" w:lineRule="auto"/>
            </w:pPr>
            <w:r>
              <w:rPr>
                <w:rFonts w:ascii="Calibri" w:hAnsi="Calibri"/>
                <w:b/>
                <w:color w:val="162236"/>
                <w:sz w:val="18"/>
              </w:rPr>
              <w:t>Recommendation</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Route</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/how-it-works/</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Search focus</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digital implant workflow process</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SEO title</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How Our Digital Implant Workflow Works | I3DC</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Meta description</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See how a case moves from secure submission and data validation to plan review, approval, production and delivery.</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Visible H1</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A visible workflow from case submission to delivery.</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Primary CTA</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Review Case Requirements</w:t>
            </w:r>
          </w:p>
        </w:tc>
      </w:tr>
    </w:tbl>
    <w:p>
      <w:pPr>
        <w:spacing w:after="60"/>
      </w:pPr>
    </w:p>
    <w:p>
      <w:pPr>
        <w:keepLines/>
        <w:spacing w:before="0" w:after="100" w:line="300" w:lineRule="auto"/>
        <w:numPr>
          <w:ilvl w:val="0"/>
          <w:numId w:val="12"/>
        </w:numPr>
      </w:pPr>
      <w:r>
        <w:rPr>
          <w:rFonts w:ascii="Calibri" w:hAnsi="Calibri"/>
          <w:b/>
          <w:color w:val="162236"/>
          <w:sz w:val="22"/>
        </w:rPr>
        <w:t xml:space="preserve">Create the practice account. </w:t>
      </w:r>
      <w:r>
        <w:rPr>
          <w:rFonts w:ascii="Calibri" w:hAnsi="Calibri"/>
          <w:color w:val="162236"/>
          <w:sz w:val="22"/>
        </w:rPr>
        <w:t>Identity, contact, billing and delivery information are held once for future cases.</w:t>
      </w:r>
    </w:p>
    <w:p>
      <w:pPr>
        <w:keepLines/>
        <w:spacing w:before="0" w:after="100" w:line="300" w:lineRule="auto"/>
        <w:numPr>
          <w:ilvl w:val="0"/>
          <w:numId w:val="12"/>
        </w:numPr>
      </w:pPr>
      <w:r>
        <w:rPr>
          <w:rFonts w:ascii="Calibri" w:hAnsi="Calibri"/>
          <w:b/>
          <w:color w:val="162236"/>
          <w:sz w:val="22"/>
        </w:rPr>
        <w:t xml:space="preserve">Start the case securely. </w:t>
      </w:r>
      <w:r>
        <w:rPr>
          <w:rFonts w:ascii="Calibri" w:hAnsi="Calibri"/>
          <w:color w:val="162236"/>
          <w:sz w:val="22"/>
        </w:rPr>
        <w:t>Select the workflow and upload DICOM, STL and supporting records inside the portal.</w:t>
      </w:r>
    </w:p>
    <w:p>
      <w:pPr>
        <w:keepLines/>
        <w:spacing w:before="0" w:after="100" w:line="300" w:lineRule="auto"/>
        <w:numPr>
          <w:ilvl w:val="0"/>
          <w:numId w:val="12"/>
        </w:numPr>
      </w:pPr>
      <w:r>
        <w:rPr>
          <w:rFonts w:ascii="Calibri" w:hAnsi="Calibri"/>
          <w:b/>
          <w:color w:val="162236"/>
          <w:sz w:val="22"/>
        </w:rPr>
        <w:t xml:space="preserve">Complete data validation. </w:t>
      </w:r>
      <w:r>
        <w:rPr>
          <w:rFonts w:ascii="Calibri" w:hAnsi="Calibri"/>
          <w:color w:val="162236"/>
          <w:sz w:val="22"/>
        </w:rPr>
        <w:t>The case team checks whether the files and instructions are usable before planning begins.</w:t>
      </w:r>
    </w:p>
    <w:p>
      <w:pPr>
        <w:keepLines/>
        <w:spacing w:before="0" w:after="100" w:line="300" w:lineRule="auto"/>
        <w:numPr>
          <w:ilvl w:val="0"/>
          <w:numId w:val="12"/>
        </w:numPr>
      </w:pPr>
      <w:r>
        <w:rPr>
          <w:rFonts w:ascii="Calibri" w:hAnsi="Calibri"/>
          <w:b/>
          <w:color w:val="162236"/>
          <w:sz w:val="22"/>
        </w:rPr>
        <w:t xml:space="preserve">Confirm scope and quotation. </w:t>
      </w:r>
      <w:r>
        <w:rPr>
          <w:rFonts w:ascii="Calibri" w:hAnsi="Calibri"/>
          <w:color w:val="162236"/>
          <w:sz w:val="22"/>
        </w:rPr>
        <w:t>Deliverables, fees and expected timing are confirmed against the actual case.</w:t>
      </w:r>
    </w:p>
    <w:p>
      <w:pPr>
        <w:keepLines/>
        <w:spacing w:before="0" w:after="100" w:line="300" w:lineRule="auto"/>
        <w:numPr>
          <w:ilvl w:val="0"/>
          <w:numId w:val="12"/>
        </w:numPr>
      </w:pPr>
      <w:r>
        <w:rPr>
          <w:rFonts w:ascii="Calibri" w:hAnsi="Calibri"/>
          <w:b/>
          <w:color w:val="162236"/>
          <w:sz w:val="22"/>
        </w:rPr>
        <w:t xml:space="preserve">Review the plan. </w:t>
      </w:r>
      <w:r>
        <w:rPr>
          <w:rFonts w:ascii="Calibri" w:hAnsi="Calibri"/>
          <w:color w:val="162236"/>
          <w:sz w:val="22"/>
        </w:rPr>
        <w:t>The clinician reviews the proposed plan, responds to questions and requests changes if needed.</w:t>
      </w:r>
    </w:p>
    <w:p>
      <w:pPr>
        <w:keepLines/>
        <w:spacing w:before="0" w:after="100" w:line="300" w:lineRule="auto"/>
        <w:numPr>
          <w:ilvl w:val="0"/>
          <w:numId w:val="12"/>
        </w:numPr>
      </w:pPr>
      <w:r>
        <w:rPr>
          <w:rFonts w:ascii="Calibri" w:hAnsi="Calibri"/>
          <w:b/>
          <w:color w:val="162236"/>
          <w:sz w:val="22"/>
        </w:rPr>
        <w:t xml:space="preserve">Approve production. </w:t>
      </w:r>
      <w:r>
        <w:rPr>
          <w:rFonts w:ascii="Calibri" w:hAnsi="Calibri"/>
          <w:color w:val="162236"/>
          <w:sz w:val="22"/>
        </w:rPr>
        <w:t>The documented approval releases the relevant deliverables to production.</w:t>
      </w:r>
    </w:p>
    <w:p>
      <w:pPr>
        <w:keepLines/>
        <w:spacing w:before="0" w:after="100" w:line="300" w:lineRule="auto"/>
        <w:numPr>
          <w:ilvl w:val="0"/>
          <w:numId w:val="12"/>
        </w:numPr>
      </w:pPr>
      <w:r>
        <w:rPr>
          <w:rFonts w:ascii="Calibri" w:hAnsi="Calibri"/>
          <w:b/>
          <w:color w:val="162236"/>
          <w:sz w:val="22"/>
        </w:rPr>
        <w:t xml:space="preserve">Track and receive. </w:t>
      </w:r>
      <w:r>
        <w:rPr>
          <w:rFonts w:ascii="Calibri" w:hAnsi="Calibri"/>
          <w:color w:val="162236"/>
          <w:sz w:val="22"/>
        </w:rPr>
        <w:t>The portal shows production, quality check, dispatch or file readiness.</w:t>
      </w:r>
    </w:p>
    <w:p>
      <w:pPr>
        <w:pStyle w:val="Heading2"/>
        <w:spacing w:before="280" w:after="140" w:line="252" w:lineRule="auto"/>
        <w:keepNext w:val="1"/>
        <w:pageBreakBefore w:val="0"/>
      </w:pPr>
      <w:r>
        <w:rPr>
          <w:rFonts w:ascii="Calibri" w:hAnsi="Calibri"/>
          <w:b/>
          <w:color w:val="2E74B5"/>
          <w:sz w:val="26"/>
        </w:rPr>
        <w:t>Case Requirements</w:t>
      </w:r>
    </w:p>
    <w:tbl>
      <w:tblPr>
        <w:tblStyle w:val="TableGrid"/>
        <w:tblW w:type="dxa" w:w="9360"/>
        <w:tblLayout w:type="fixed"/>
        <w:tblLook w:firstColumn="1" w:firstRow="1" w:lastColumn="0" w:lastRow="0" w:noHBand="0" w:noVBand="1" w:val="04A0"/>
        <w:jc w:val="left"/>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2100"/>
        <w:gridCol w:w="7260"/>
      </w:tblGrid>
      <w:tr>
        <w:trPr>
          <w:tblHeader w:val="true"/>
          <w:cantSplit/>
        </w:trPr>
        <w:tc>
          <w:tcPr>
            <w:tcW w:type="dxa" w:w="2100"/>
            <w:tcMar>
              <w:top w:w="80" w:type="dxa"/>
              <w:start w:w="120" w:type="dxa"/>
              <w:bottom w:w="80" w:type="dxa"/>
              <w:end w:w="120" w:type="dxa"/>
            </w:tcMar>
            <w:vAlign w:val="center"/>
            <w:shd w:fill="F2F4F7"/>
          </w:tcPr>
          <w:p>
            <w:pPr>
              <w:spacing w:before="0" w:after="0" w:line="264" w:lineRule="auto"/>
            </w:pPr>
            <w:r>
              <w:rPr>
                <w:rFonts w:ascii="Calibri" w:hAnsi="Calibri"/>
                <w:b/>
                <w:color w:val="162236"/>
                <w:sz w:val="18"/>
              </w:rPr>
              <w:t>Field</w:t>
            </w:r>
          </w:p>
        </w:tc>
        <w:tc>
          <w:tcPr>
            <w:tcW w:type="dxa" w:w="7260"/>
            <w:tcMar>
              <w:top w:w="80" w:type="dxa"/>
              <w:start w:w="120" w:type="dxa"/>
              <w:bottom w:w="80" w:type="dxa"/>
              <w:end w:w="120" w:type="dxa"/>
            </w:tcMar>
            <w:vAlign w:val="center"/>
            <w:shd w:fill="F2F4F7"/>
          </w:tcPr>
          <w:p>
            <w:pPr>
              <w:spacing w:before="0" w:after="0" w:line="264" w:lineRule="auto"/>
            </w:pPr>
            <w:r>
              <w:rPr>
                <w:rFonts w:ascii="Calibri" w:hAnsi="Calibri"/>
                <w:b/>
                <w:color w:val="162236"/>
                <w:sz w:val="18"/>
              </w:rPr>
              <w:t>Recommendation</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Route</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/case-requirements/</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Search focus</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files needed for surgical guide; guided surgery scan protocol</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SEO title</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Dental Implant Case Submission Requirements | I3DC</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Meta description</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Check the DICOM, intraoral scan, prosthetic reference and case details needed before submitting a guided implant workflow.</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Visible H1</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Send the right data before planning begins.</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Primary CTA</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Download / View the Relevant Protocol</w:t>
            </w:r>
          </w:p>
        </w:tc>
      </w:tr>
    </w:tbl>
    <w:p>
      <w:pPr>
        <w:spacing w:after="60"/>
      </w:pPr>
    </w:p>
    <w:p>
      <w:pPr>
        <w:pStyle w:val="ListBullet"/>
        <w:keepLines/>
        <w:spacing w:before="0" w:after="80" w:line="300" w:lineRule="auto"/>
      </w:pPr>
      <w:r>
        <w:rPr>
          <w:rFonts w:ascii="Calibri" w:hAnsi="Calibri"/>
          <w:color w:val="162236"/>
          <w:sz w:val="22"/>
        </w:rPr>
        <w:t>Use workflow-specific checklists rather than one universal upload list.</w:t>
      </w:r>
    </w:p>
    <w:p>
      <w:pPr>
        <w:pStyle w:val="ListBullet"/>
        <w:keepLines/>
        <w:spacing w:before="0" w:after="80" w:line="300" w:lineRule="auto"/>
      </w:pPr>
      <w:r>
        <w:rPr>
          <w:rFonts w:ascii="Calibri" w:hAnsi="Calibri"/>
          <w:color w:val="162236"/>
          <w:sz w:val="22"/>
        </w:rPr>
        <w:t>Include CBCT acquisition guidance, IOS or model scan guidance, bite / prosthetic reference, denture markers where relevant, implant system and drill-kit details.</w:t>
      </w:r>
    </w:p>
    <w:p>
      <w:pPr>
        <w:pStyle w:val="ListBullet"/>
        <w:keepLines/>
        <w:spacing w:before="0" w:after="80" w:line="300" w:lineRule="auto"/>
      </w:pPr>
      <w:r>
        <w:rPr>
          <w:rFonts w:ascii="Calibri" w:hAnsi="Calibri"/>
          <w:color w:val="162236"/>
          <w:sz w:val="22"/>
        </w:rPr>
        <w:t>Show accepted file types: DICOM, STL and supporting JPG/PNG files; add other formats only after portal validation.</w:t>
      </w:r>
    </w:p>
    <w:p>
      <w:pPr>
        <w:pStyle w:val="ListBullet"/>
        <w:keepLines/>
        <w:spacing w:before="0" w:after="80" w:line="300" w:lineRule="auto"/>
      </w:pPr>
      <w:r>
        <w:rPr>
          <w:rFonts w:ascii="Calibri" w:hAnsi="Calibri"/>
          <w:color w:val="162236"/>
          <w:sz w:val="22"/>
        </w:rPr>
        <w:t>Explain common rejection or clarification reasons with example images.</w:t>
      </w:r>
    </w:p>
    <w:p>
      <w:pPr>
        <w:pStyle w:val="ListBullet"/>
        <w:keepLines/>
        <w:spacing w:before="0" w:after="80" w:line="300" w:lineRule="auto"/>
      </w:pPr>
      <w:r>
        <w:rPr>
          <w:rFonts w:ascii="Calibri" w:hAnsi="Calibri"/>
          <w:color w:val="162236"/>
          <w:sz w:val="22"/>
        </w:rPr>
        <w:t>Add a prominent notice: do not email or submit patient files through a public enquiry form.</w:t>
      </w:r>
    </w:p>
    <w:p>
      <w:pPr>
        <w:pStyle w:val="Heading2"/>
        <w:spacing w:before="280" w:after="140" w:line="252" w:lineRule="auto"/>
        <w:keepNext w:val="1"/>
        <w:pageBreakBefore w:val="0"/>
      </w:pPr>
      <w:r>
        <w:rPr>
          <w:rFonts w:ascii="Calibri" w:hAnsi="Calibri"/>
          <w:b/>
          <w:color w:val="2E74B5"/>
          <w:sz w:val="26"/>
        </w:rPr>
        <w:t>Case Evidence</w:t>
      </w:r>
    </w:p>
    <w:tbl>
      <w:tblPr>
        <w:tblStyle w:val="TableGrid"/>
        <w:tblW w:type="dxa" w:w="9360"/>
        <w:tblLayout w:type="fixed"/>
        <w:tblLook w:firstColumn="1" w:firstRow="1" w:lastColumn="0" w:lastRow="0" w:noHBand="0" w:noVBand="1" w:val="04A0"/>
        <w:jc w:val="left"/>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2100"/>
        <w:gridCol w:w="7260"/>
      </w:tblGrid>
      <w:tr>
        <w:trPr>
          <w:tblHeader w:val="true"/>
          <w:cantSplit/>
        </w:trPr>
        <w:tc>
          <w:tcPr>
            <w:tcW w:type="dxa" w:w="2100"/>
            <w:tcMar>
              <w:top w:w="80" w:type="dxa"/>
              <w:start w:w="120" w:type="dxa"/>
              <w:bottom w:w="80" w:type="dxa"/>
              <w:end w:w="120" w:type="dxa"/>
            </w:tcMar>
            <w:vAlign w:val="center"/>
            <w:shd w:fill="F2F4F7"/>
          </w:tcPr>
          <w:p>
            <w:pPr>
              <w:spacing w:before="0" w:after="0" w:line="264" w:lineRule="auto"/>
            </w:pPr>
            <w:r>
              <w:rPr>
                <w:rFonts w:ascii="Calibri" w:hAnsi="Calibri"/>
                <w:b/>
                <w:color w:val="162236"/>
                <w:sz w:val="18"/>
              </w:rPr>
              <w:t>Field</w:t>
            </w:r>
          </w:p>
        </w:tc>
        <w:tc>
          <w:tcPr>
            <w:tcW w:type="dxa" w:w="7260"/>
            <w:tcMar>
              <w:top w:w="80" w:type="dxa"/>
              <w:start w:w="120" w:type="dxa"/>
              <w:bottom w:w="80" w:type="dxa"/>
              <w:end w:w="120" w:type="dxa"/>
            </w:tcMar>
            <w:vAlign w:val="center"/>
            <w:shd w:fill="F2F4F7"/>
          </w:tcPr>
          <w:p>
            <w:pPr>
              <w:spacing w:before="0" w:after="0" w:line="264" w:lineRule="auto"/>
            </w:pPr>
            <w:r>
              <w:rPr>
                <w:rFonts w:ascii="Calibri" w:hAnsi="Calibri"/>
                <w:b/>
                <w:color w:val="162236"/>
                <w:sz w:val="18"/>
              </w:rPr>
              <w:t>Recommendation</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Route</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/case-evidence/</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Search focus</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guided implant workflow cases; stackable guide case examples</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SEO title</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Guided Implant Workflow Case Evidence | Image3DConversion</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Meta description</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Review anonymised digital implant workflows showing the case objective, records, planning decisions, approvals and delivered components.</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Visible H1</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See the workflow, not only the finished guide.</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Primary CTA</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View a Relevant Workflow</w:t>
            </w:r>
          </w:p>
        </w:tc>
      </w:tr>
    </w:tbl>
    <w:p>
      <w:pPr>
        <w:spacing w:after="60"/>
      </w:pPr>
    </w:p>
    <w:p>
      <w:pPr>
        <w:pStyle w:val="ListBullet"/>
        <w:keepLines/>
        <w:spacing w:before="0" w:after="80" w:line="300" w:lineRule="auto"/>
      </w:pPr>
      <w:r>
        <w:rPr>
          <w:rFonts w:ascii="Calibri" w:hAnsi="Calibri"/>
          <w:color w:val="162236"/>
          <w:sz w:val="22"/>
        </w:rPr>
        <w:t>Organise by case objective: single / multiple, full arch, immediate loading, zygoma / pterygoid and specialised.</w:t>
      </w:r>
    </w:p>
    <w:p>
      <w:pPr>
        <w:pStyle w:val="ListBullet"/>
        <w:keepLines/>
        <w:spacing w:before="0" w:after="80" w:line="300" w:lineRule="auto"/>
      </w:pPr>
      <w:r>
        <w:rPr>
          <w:rFonts w:ascii="Calibri" w:hAnsi="Calibri"/>
          <w:color w:val="162236"/>
          <w:sz w:val="22"/>
        </w:rPr>
        <w:t>Each case uses the same evidence pattern: starting condition → treatment objective → data received → key planning decision → approval point → deliverables → disclosed limitations.</w:t>
      </w:r>
    </w:p>
    <w:p>
      <w:pPr>
        <w:pStyle w:val="ListBullet"/>
        <w:keepLines/>
        <w:spacing w:before="0" w:after="80" w:line="300" w:lineRule="auto"/>
      </w:pPr>
      <w:r>
        <w:rPr>
          <w:rFonts w:ascii="Calibri" w:hAnsi="Calibri"/>
          <w:color w:val="162236"/>
          <w:sz w:val="22"/>
        </w:rPr>
        <w:t>Use anonymised and consent-cleared images only.</w:t>
      </w:r>
    </w:p>
    <w:p>
      <w:pPr>
        <w:pStyle w:val="ListBullet"/>
        <w:keepLines/>
        <w:spacing w:before="0" w:after="80" w:line="300" w:lineRule="auto"/>
      </w:pPr>
      <w:r>
        <w:rPr>
          <w:rFonts w:ascii="Calibri" w:hAnsi="Calibri"/>
          <w:color w:val="162236"/>
          <w:sz w:val="22"/>
        </w:rPr>
        <w:t>Avoid outcome claims that cannot be attributed to the treating clinician and documented follow-up.</w:t>
      </w:r>
    </w:p>
    <w:p>
      <w:pPr>
        <w:pStyle w:val="Heading2"/>
        <w:spacing w:before="280" w:after="140" w:line="252" w:lineRule="auto"/>
        <w:keepNext w:val="1"/>
        <w:pageBreakBefore w:val="0"/>
      </w:pPr>
      <w:r>
        <w:rPr>
          <w:rFonts w:ascii="Calibri" w:hAnsi="Calibri"/>
          <w:b/>
          <w:color w:val="2E74B5"/>
          <w:sz w:val="26"/>
        </w:rPr>
        <w:t>About</w:t>
      </w:r>
    </w:p>
    <w:tbl>
      <w:tblPr>
        <w:tblStyle w:val="TableGrid"/>
        <w:tblW w:type="dxa" w:w="9360"/>
        <w:tblLayout w:type="fixed"/>
        <w:tblLook w:firstColumn="1" w:firstRow="1" w:lastColumn="0" w:lastRow="0" w:noHBand="0" w:noVBand="1" w:val="04A0"/>
        <w:jc w:val="left"/>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2100"/>
        <w:gridCol w:w="7260"/>
      </w:tblGrid>
      <w:tr>
        <w:trPr>
          <w:tblHeader w:val="true"/>
          <w:cantSplit/>
        </w:trPr>
        <w:tc>
          <w:tcPr>
            <w:tcW w:type="dxa" w:w="2100"/>
            <w:tcMar>
              <w:top w:w="80" w:type="dxa"/>
              <w:start w:w="120" w:type="dxa"/>
              <w:bottom w:w="80" w:type="dxa"/>
              <w:end w:w="120" w:type="dxa"/>
            </w:tcMar>
            <w:vAlign w:val="center"/>
            <w:shd w:fill="F2F4F7"/>
          </w:tcPr>
          <w:p>
            <w:pPr>
              <w:spacing w:before="0" w:after="0" w:line="264" w:lineRule="auto"/>
            </w:pPr>
            <w:r>
              <w:rPr>
                <w:rFonts w:ascii="Calibri" w:hAnsi="Calibri"/>
                <w:b/>
                <w:color w:val="162236"/>
                <w:sz w:val="18"/>
              </w:rPr>
              <w:t>Field</w:t>
            </w:r>
          </w:p>
        </w:tc>
        <w:tc>
          <w:tcPr>
            <w:tcW w:type="dxa" w:w="7260"/>
            <w:tcMar>
              <w:top w:w="80" w:type="dxa"/>
              <w:start w:w="120" w:type="dxa"/>
              <w:bottom w:w="80" w:type="dxa"/>
              <w:end w:w="120" w:type="dxa"/>
            </w:tcMar>
            <w:vAlign w:val="center"/>
            <w:shd w:fill="F2F4F7"/>
          </w:tcPr>
          <w:p>
            <w:pPr>
              <w:spacing w:before="0" w:after="0" w:line="264" w:lineRule="auto"/>
            </w:pPr>
            <w:r>
              <w:rPr>
                <w:rFonts w:ascii="Calibri" w:hAnsi="Calibri"/>
                <w:b/>
                <w:color w:val="162236"/>
                <w:sz w:val="18"/>
              </w:rPr>
              <w:t>Recommendation</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Route</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/about/</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Search focus</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digital dentistry company India; implant planning team</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SEO title</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About Image3DConversion | Digital Implant Workflow Team</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Meta description</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Meet the digital workflow team supporting dental professionals with implant planning, surgical guides and complex case coordination from India to global practices.</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Visible H1</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Built around the work that happens before surgery.</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Primary CTA</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See How the Workflow Works</w:t>
            </w:r>
          </w:p>
        </w:tc>
      </w:tr>
    </w:tbl>
    <w:p>
      <w:pPr>
        <w:spacing w:after="60"/>
      </w:pPr>
    </w:p>
    <w:p>
      <w:pPr>
        <w:pStyle w:val="ListBullet"/>
        <w:keepLines/>
        <w:spacing w:before="0" w:after="80" w:line="300" w:lineRule="auto"/>
      </w:pPr>
      <w:r>
        <w:rPr>
          <w:rFonts w:ascii="Calibri" w:hAnsi="Calibri"/>
          <w:color w:val="162236"/>
          <w:sz w:val="22"/>
        </w:rPr>
        <w:t>Tell the company evolution briefly: experience, operational depth and why Image3DConversion was built.</w:t>
      </w:r>
    </w:p>
    <w:p>
      <w:pPr>
        <w:pStyle w:val="ListBullet"/>
        <w:keepLines/>
        <w:spacing w:before="0" w:after="80" w:line="300" w:lineRule="auto"/>
      </w:pPr>
      <w:r>
        <w:rPr>
          <w:rFonts w:ascii="Calibri" w:hAnsi="Calibri"/>
          <w:color w:val="162236"/>
          <w:sz w:val="22"/>
        </w:rPr>
        <w:t>Introduce Sudeep Paul accurately as Founder &amp; CEO and Biomedical Application Expert; never prefix his name with “Dr.”</w:t>
      </w:r>
    </w:p>
    <w:p>
      <w:pPr>
        <w:pStyle w:val="ListBullet"/>
        <w:keepLines/>
        <w:spacing w:before="0" w:after="80" w:line="300" w:lineRule="auto"/>
      </w:pPr>
      <w:r>
        <w:rPr>
          <w:rFonts w:ascii="Calibri" w:hAnsi="Calibri"/>
          <w:color w:val="162236"/>
          <w:sz w:val="22"/>
        </w:rPr>
        <w:t>Show the technical team, clinical review model and production / quality roles only with verified names and credentials.</w:t>
      </w:r>
    </w:p>
    <w:p>
      <w:pPr>
        <w:pStyle w:val="ListBullet"/>
        <w:keepLines/>
        <w:spacing w:before="0" w:after="80" w:line="300" w:lineRule="auto"/>
      </w:pPr>
      <w:r>
        <w:rPr>
          <w:rFonts w:ascii="Calibri" w:hAnsi="Calibri"/>
          <w:color w:val="162236"/>
          <w:sz w:val="22"/>
        </w:rPr>
        <w:t>Publish verified locations, legal entity, contact channels and professional partnerships.</w:t>
      </w:r>
    </w:p>
    <w:p>
      <w:pPr>
        <w:pStyle w:val="ListBullet"/>
        <w:keepLines/>
        <w:spacing w:before="0" w:after="80" w:line="300" w:lineRule="auto"/>
      </w:pPr>
      <w:r>
        <w:rPr>
          <w:rFonts w:ascii="Calibri" w:hAnsi="Calibri"/>
          <w:color w:val="162236"/>
          <w:sz w:val="22"/>
        </w:rPr>
        <w:t>Link education leadership to PaulSudeep.com without turning the page into a speaker profile.</w:t>
      </w:r>
    </w:p>
    <w:p>
      <w:pPr>
        <w:pStyle w:val="Heading2"/>
        <w:spacing w:before="280" w:after="140" w:line="252" w:lineRule="auto"/>
        <w:keepNext w:val="1"/>
        <w:pageBreakBefore w:val="0"/>
      </w:pPr>
      <w:r>
        <w:rPr>
          <w:rFonts w:ascii="Calibri" w:hAnsi="Calibri"/>
          <w:b/>
          <w:color w:val="2E74B5"/>
          <w:sz w:val="26"/>
        </w:rPr>
        <w:t>Discuss a Complex Case</w:t>
      </w:r>
    </w:p>
    <w:tbl>
      <w:tblPr>
        <w:tblStyle w:val="TableGrid"/>
        <w:tblW w:type="dxa" w:w="9360"/>
        <w:tblLayout w:type="fixed"/>
        <w:tblLook w:firstColumn="1" w:firstRow="1" w:lastColumn="0" w:lastRow="0" w:noHBand="0" w:noVBand="1" w:val="04A0"/>
        <w:jc w:val="left"/>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2100"/>
        <w:gridCol w:w="7260"/>
      </w:tblGrid>
      <w:tr>
        <w:trPr>
          <w:tblHeader w:val="true"/>
          <w:cantSplit/>
        </w:trPr>
        <w:tc>
          <w:tcPr>
            <w:tcW w:type="dxa" w:w="2100"/>
            <w:tcMar>
              <w:top w:w="80" w:type="dxa"/>
              <w:start w:w="120" w:type="dxa"/>
              <w:bottom w:w="80" w:type="dxa"/>
              <w:end w:w="120" w:type="dxa"/>
            </w:tcMar>
            <w:vAlign w:val="center"/>
            <w:shd w:fill="F2F4F7"/>
          </w:tcPr>
          <w:p>
            <w:pPr>
              <w:spacing w:before="0" w:after="0" w:line="264" w:lineRule="auto"/>
            </w:pPr>
            <w:r>
              <w:rPr>
                <w:rFonts w:ascii="Calibri" w:hAnsi="Calibri"/>
                <w:b/>
                <w:color w:val="162236"/>
                <w:sz w:val="18"/>
              </w:rPr>
              <w:t>Field</w:t>
            </w:r>
          </w:p>
        </w:tc>
        <w:tc>
          <w:tcPr>
            <w:tcW w:type="dxa" w:w="7260"/>
            <w:tcMar>
              <w:top w:w="80" w:type="dxa"/>
              <w:start w:w="120" w:type="dxa"/>
              <w:bottom w:w="80" w:type="dxa"/>
              <w:end w:w="120" w:type="dxa"/>
            </w:tcMar>
            <w:vAlign w:val="center"/>
            <w:shd w:fill="F2F4F7"/>
          </w:tcPr>
          <w:p>
            <w:pPr>
              <w:spacing w:before="0" w:after="0" w:line="264" w:lineRule="auto"/>
            </w:pPr>
            <w:r>
              <w:rPr>
                <w:rFonts w:ascii="Calibri" w:hAnsi="Calibri"/>
                <w:b/>
                <w:color w:val="162236"/>
                <w:sz w:val="18"/>
              </w:rPr>
              <w:t>Recommendation</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Route</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/discuss-a-case/</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Search focus</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complex implant workflow consultation</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SEO title</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Discuss a Complex Implant Case | Image3DConversion</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Meta description</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Tell us the workflow you are considering for a full-arch, immediate-loading, zygomatic, pterygoid or other complex implant case.</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Visible H1</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Discuss the workflow before you submit the full case.</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Primary CTA</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Request a Case Discussion</w:t>
            </w:r>
          </w:p>
        </w:tc>
      </w:tr>
    </w:tbl>
    <w:p>
      <w:pPr>
        <w:spacing w:after="60"/>
      </w:pPr>
    </w:p>
    <w:p>
      <w:pPr>
        <w:pStyle w:val="ListBullet"/>
        <w:keepLines/>
        <w:spacing w:before="0" w:after="80" w:line="300" w:lineRule="auto"/>
      </w:pPr>
      <w:r>
        <w:rPr>
          <w:rFonts w:ascii="Calibri" w:hAnsi="Calibri"/>
          <w:color w:val="162236"/>
          <w:sz w:val="22"/>
        </w:rPr>
        <w:t>Public form fields: name, practice / organisation, professional email, phone, country, workflow of interest, short non-clinical question and preferred contact method.</w:t>
      </w:r>
    </w:p>
    <w:p>
      <w:pPr>
        <w:pStyle w:val="ListBullet"/>
        <w:keepLines/>
        <w:spacing w:before="0" w:after="80" w:line="300" w:lineRule="auto"/>
      </w:pPr>
      <w:r>
        <w:rPr>
          <w:rFonts w:ascii="Calibri" w:hAnsi="Calibri"/>
          <w:color w:val="162236"/>
          <w:sz w:val="22"/>
        </w:rPr>
        <w:t>Place this instruction above the message field: “Do not include patient-identifying information or upload clinical files here.”</w:t>
      </w:r>
    </w:p>
    <w:p>
      <w:pPr>
        <w:pStyle w:val="ListBullet"/>
        <w:keepLines/>
        <w:spacing w:before="0" w:after="80" w:line="300" w:lineRule="auto"/>
      </w:pPr>
      <w:r>
        <w:rPr>
          <w:rFonts w:ascii="Calibri" w:hAnsi="Calibri"/>
          <w:color w:val="162236"/>
          <w:sz w:val="22"/>
        </w:rPr>
        <w:t>After submission, route the user to the secure Case Portal if case files are needed.</w:t>
      </w:r>
    </w:p>
    <w:p>
      <w:pPr>
        <w:pStyle w:val="ListBullet"/>
        <w:keepLines/>
        <w:spacing w:before="0" w:after="80" w:line="300" w:lineRule="auto"/>
      </w:pPr>
      <w:r>
        <w:rPr>
          <w:rFonts w:ascii="Calibri" w:hAnsi="Calibri"/>
          <w:color w:val="162236"/>
          <w:sz w:val="22"/>
        </w:rPr>
        <w:t>This must be a new, tested form / URL when implemented; do not silently replace the current live Zoho-embedded form.</w:t>
      </w:r>
    </w:p>
    <w:p>
      <w:pPr>
        <w:pStyle w:val="Heading1"/>
        <w:spacing w:before="360" w:after="200" w:line="252" w:lineRule="auto"/>
        <w:keepNext w:val="1"/>
        <w:pageBreakBefore w:val="1"/>
      </w:pPr>
      <w:r>
        <w:rPr>
          <w:rFonts w:ascii="Calibri" w:hAnsi="Calibri"/>
          <w:b/>
          <w:color w:val="2E74B5"/>
          <w:sz w:val="32"/>
        </w:rPr>
        <w:t>8. Case Portal content system</w:t>
      </w:r>
    </w:p>
    <w:p>
      <w:pPr>
        <w:spacing w:before="100" w:after="180" w:line="300" w:lineRule="auto"/>
        <w:ind w:left="202" w:right="144"/>
        <w:shd w:fill="E8EEF5"/>
        <w:pBdr>
          <w:left w:val="single" w:sz="16" w:space="8" w:color="2E74B5"/>
        </w:pBdr>
        <w:keepLines w:val="1"/>
      </w:pPr>
      <w:r>
        <w:rPr>
          <w:rFonts w:ascii="Calibri" w:hAnsi="Calibri"/>
          <w:b/>
          <w:color w:val="2E74B5"/>
          <w:sz w:val="18"/>
        </w:rPr>
        <w:t xml:space="preserve">PORTAL NAME  </w:t>
      </w:r>
      <w:r>
        <w:rPr>
          <w:rFonts w:ascii="Calibri" w:hAnsi="Calibri"/>
          <w:b/>
          <w:color w:val="162236"/>
          <w:sz w:val="22"/>
        </w:rPr>
        <w:t>Image3DConversion Case Portal</w:t>
      </w:r>
    </w:p>
    <w:p>
      <w:pPr>
        <w:spacing w:before="0" w:after="120" w:line="300" w:lineRule="auto"/>
        <w:jc w:val="left"/>
      </w:pPr>
      <w:r>
        <w:rPr>
          <w:rFonts w:ascii="Calibri" w:hAnsi="Calibri"/>
          <w:i w:val="0"/>
          <w:color w:val="162236"/>
          <w:sz w:val="22"/>
        </w:rPr>
        <w:t>Do not call it “Customer Portal” or “Dentist Portal.” The case portal also serves practices, laboratories, coordinators and partners. Its language should revolve around cases, required actions and documented approvals.</w:t>
      </w:r>
    </w:p>
    <w:p>
      <w:pPr>
        <w:pStyle w:val="Heading2"/>
        <w:spacing w:before="280" w:after="140" w:line="252" w:lineRule="auto"/>
        <w:keepNext w:val="1"/>
        <w:pageBreakBefore w:val="0"/>
      </w:pPr>
      <w:r>
        <w:rPr>
          <w:rFonts w:ascii="Calibri" w:hAnsi="Calibri"/>
          <w:b/>
          <w:color w:val="2E74B5"/>
          <w:sz w:val="26"/>
        </w:rPr>
        <w:t>The three-question rule</w:t>
      </w:r>
    </w:p>
    <w:p>
      <w:pPr>
        <w:keepLines/>
        <w:spacing w:before="0" w:after="100" w:line="300" w:lineRule="auto"/>
        <w:numPr>
          <w:ilvl w:val="0"/>
          <w:numId w:val="13"/>
        </w:numPr>
      </w:pPr>
      <w:r>
        <w:rPr>
          <w:rFonts w:ascii="Calibri" w:hAnsi="Calibri"/>
          <w:color w:val="162236"/>
          <w:sz w:val="22"/>
        </w:rPr>
        <w:t>Where is my case?</w:t>
      </w:r>
    </w:p>
    <w:p>
      <w:pPr>
        <w:keepLines/>
        <w:spacing w:before="0" w:after="100" w:line="300" w:lineRule="auto"/>
        <w:numPr>
          <w:ilvl w:val="0"/>
          <w:numId w:val="13"/>
        </w:numPr>
      </w:pPr>
      <w:r>
        <w:rPr>
          <w:rFonts w:ascii="Calibri" w:hAnsi="Calibri"/>
          <w:color w:val="162236"/>
          <w:sz w:val="22"/>
        </w:rPr>
        <w:t>What is happening now?</w:t>
      </w:r>
    </w:p>
    <w:p>
      <w:pPr>
        <w:keepLines/>
        <w:spacing w:before="0" w:after="100" w:line="300" w:lineRule="auto"/>
        <w:numPr>
          <w:ilvl w:val="0"/>
          <w:numId w:val="13"/>
        </w:numPr>
      </w:pPr>
      <w:r>
        <w:rPr>
          <w:rFonts w:ascii="Calibri" w:hAnsi="Calibri"/>
          <w:color w:val="162236"/>
          <w:sz w:val="22"/>
        </w:rPr>
        <w:t>What do I need to do next?</w:t>
      </w:r>
    </w:p>
    <w:p>
      <w:pPr>
        <w:pStyle w:val="Heading2"/>
        <w:spacing w:before="280" w:after="140" w:line="252" w:lineRule="auto"/>
        <w:keepNext w:val="1"/>
        <w:pageBreakBefore w:val="0"/>
      </w:pPr>
      <w:r>
        <w:rPr>
          <w:rFonts w:ascii="Calibri" w:hAnsi="Calibri"/>
          <w:b/>
          <w:color w:val="2E74B5"/>
          <w:sz w:val="26"/>
        </w:rPr>
        <w:t>Primary portal actions</w:t>
      </w:r>
    </w:p>
    <w:p>
      <w:pPr>
        <w:pStyle w:val="ListBullet"/>
        <w:keepLines/>
        <w:spacing w:before="0" w:after="80" w:line="300" w:lineRule="auto"/>
      </w:pPr>
      <w:r>
        <w:rPr>
          <w:rFonts w:ascii="Calibri" w:hAnsi="Calibri"/>
          <w:color w:val="162236"/>
          <w:sz w:val="22"/>
        </w:rPr>
        <w:t>Start a Case</w:t>
      </w:r>
    </w:p>
    <w:p>
      <w:pPr>
        <w:pStyle w:val="ListBullet"/>
        <w:keepLines/>
        <w:spacing w:before="0" w:after="80" w:line="300" w:lineRule="auto"/>
      </w:pPr>
      <w:r>
        <w:rPr>
          <w:rFonts w:ascii="Calibri" w:hAnsi="Calibri"/>
          <w:color w:val="162236"/>
          <w:sz w:val="22"/>
        </w:rPr>
        <w:t>Track a Case</w:t>
      </w:r>
    </w:p>
    <w:p>
      <w:pPr>
        <w:pStyle w:val="ListBullet"/>
        <w:keepLines/>
        <w:spacing w:before="0" w:after="80" w:line="300" w:lineRule="auto"/>
      </w:pPr>
      <w:r>
        <w:rPr>
          <w:rFonts w:ascii="Calibri" w:hAnsi="Calibri"/>
          <w:color w:val="162236"/>
          <w:sz w:val="22"/>
        </w:rPr>
        <w:t>Review Plan</w:t>
      </w:r>
    </w:p>
    <w:p>
      <w:pPr>
        <w:pStyle w:val="ListBullet"/>
        <w:keepLines/>
        <w:spacing w:before="0" w:after="80" w:line="300" w:lineRule="auto"/>
      </w:pPr>
      <w:r>
        <w:rPr>
          <w:rFonts w:ascii="Calibri" w:hAnsi="Calibri"/>
          <w:color w:val="162236"/>
          <w:sz w:val="22"/>
        </w:rPr>
        <w:t>Request Changes</w:t>
      </w:r>
    </w:p>
    <w:p>
      <w:pPr>
        <w:pStyle w:val="ListBullet"/>
        <w:keepLines/>
        <w:spacing w:before="0" w:after="80" w:line="300" w:lineRule="auto"/>
      </w:pPr>
      <w:r>
        <w:rPr>
          <w:rFonts w:ascii="Calibri" w:hAnsi="Calibri"/>
          <w:color w:val="162236"/>
          <w:sz w:val="22"/>
        </w:rPr>
        <w:t>Approve for Production</w:t>
      </w:r>
    </w:p>
    <w:p>
      <w:pPr>
        <w:pStyle w:val="ListBullet"/>
        <w:keepLines/>
        <w:spacing w:before="0" w:after="80" w:line="300" w:lineRule="auto"/>
      </w:pPr>
      <w:r>
        <w:rPr>
          <w:rFonts w:ascii="Calibri" w:hAnsi="Calibri"/>
          <w:color w:val="162236"/>
          <w:sz w:val="22"/>
        </w:rPr>
        <w:t>View Quotation</w:t>
      </w:r>
    </w:p>
    <w:p>
      <w:pPr>
        <w:pStyle w:val="ListBullet"/>
        <w:keepLines/>
        <w:spacing w:before="0" w:after="80" w:line="300" w:lineRule="auto"/>
      </w:pPr>
      <w:r>
        <w:rPr>
          <w:rFonts w:ascii="Calibri" w:hAnsi="Calibri"/>
          <w:color w:val="162236"/>
          <w:sz w:val="22"/>
        </w:rPr>
        <w:t>Prepare for Surgery</w:t>
      </w:r>
    </w:p>
    <w:p>
      <w:pPr>
        <w:pStyle w:val="ListBullet"/>
        <w:keepLines/>
        <w:spacing w:before="0" w:after="80" w:line="300" w:lineRule="auto"/>
      </w:pPr>
      <w:r>
        <w:rPr>
          <w:rFonts w:ascii="Calibri" w:hAnsi="Calibri"/>
          <w:color w:val="162236"/>
          <w:sz w:val="22"/>
        </w:rPr>
        <w:t>Download Final Files</w:t>
      </w:r>
    </w:p>
    <w:p>
      <w:pPr>
        <w:pStyle w:val="Heading2"/>
        <w:spacing w:before="280" w:after="140" w:line="252" w:lineRule="auto"/>
        <w:keepNext w:val="1"/>
        <w:pageBreakBefore w:val="0"/>
      </w:pPr>
      <w:r>
        <w:rPr>
          <w:rFonts w:ascii="Calibri" w:hAnsi="Calibri"/>
          <w:b/>
          <w:color w:val="2E74B5"/>
          <w:sz w:val="26"/>
        </w:rPr>
        <w:t>Case submission fields</w:t>
      </w:r>
    </w:p>
    <w:tbl>
      <w:tblPr>
        <w:tblStyle w:val="TableGrid"/>
        <w:tblW w:type="dxa" w:w="9360"/>
        <w:tblLayout w:type="fixed"/>
        <w:tblLook w:firstColumn="1" w:firstRow="1" w:lastColumn="0" w:lastRow="0" w:noHBand="0" w:noVBand="1" w:val="04A0"/>
        <w:jc w:val="left"/>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2200"/>
        <w:gridCol w:w="7160"/>
      </w:tblGrid>
      <w:tr>
        <w:trPr>
          <w:tblHeader w:val="true"/>
          <w:cantSplit/>
        </w:trPr>
        <w:tc>
          <w:tcPr>
            <w:tcW w:type="dxa" w:w="2200"/>
            <w:tcMar>
              <w:top w:w="80" w:type="dxa"/>
              <w:start w:w="120" w:type="dxa"/>
              <w:bottom w:w="80" w:type="dxa"/>
              <w:end w:w="120" w:type="dxa"/>
            </w:tcMar>
            <w:vAlign w:val="center"/>
            <w:shd w:fill="E8EEF5"/>
          </w:tcPr>
          <w:p>
            <w:pPr>
              <w:spacing w:before="0" w:after="0" w:line="264" w:lineRule="auto"/>
            </w:pPr>
            <w:r>
              <w:rPr>
                <w:rFonts w:ascii="Calibri" w:hAnsi="Calibri"/>
                <w:b/>
                <w:color w:val="162236"/>
                <w:sz w:val="18"/>
              </w:rPr>
              <w:t>Group</w:t>
            </w:r>
          </w:p>
        </w:tc>
        <w:tc>
          <w:tcPr>
            <w:tcW w:type="dxa" w:w="7160"/>
            <w:tcMar>
              <w:top w:w="80" w:type="dxa"/>
              <w:start w:w="120" w:type="dxa"/>
              <w:bottom w:w="80" w:type="dxa"/>
              <w:end w:w="120" w:type="dxa"/>
            </w:tcMar>
            <w:vAlign w:val="center"/>
            <w:shd w:fill="E8EEF5"/>
          </w:tcPr>
          <w:p>
            <w:pPr>
              <w:spacing w:before="0" w:after="0" w:line="264" w:lineRule="auto"/>
            </w:pPr>
            <w:r>
              <w:rPr>
                <w:rFonts w:ascii="Calibri" w:hAnsi="Calibri"/>
                <w:b/>
                <w:color w:val="162236"/>
                <w:sz w:val="18"/>
              </w:rPr>
              <w:t>Fields</w:t>
            </w:r>
          </w:p>
        </w:tc>
      </w:tr>
      <w:tr>
        <w:trPr>
          <w:cantSplit/>
        </w:trPr>
        <w:tc>
          <w:tcPr>
            <w:tcW w:type="dxa" w:w="2200"/>
            <w:vAlign w:val="center"/>
            <w:tcMar>
              <w:top w:w="80" w:type="dxa"/>
              <w:start w:w="120" w:type="dxa"/>
              <w:bottom w:w="80" w:type="dxa"/>
              <w:end w:w="120" w:type="dxa"/>
            </w:tcMar>
          </w:tcPr>
          <w:p>
            <w:pPr>
              <w:spacing w:before="0" w:after="0" w:line="271" w:lineRule="auto"/>
            </w:pPr>
            <w:r>
              <w:rPr>
                <w:rFonts w:ascii="Calibri" w:hAnsi="Calibri"/>
                <w:color w:val="162236"/>
                <w:sz w:val="18"/>
              </w:rPr>
              <w:t>Practice</w:t>
            </w:r>
          </w:p>
        </w:tc>
        <w:tc>
          <w:tcPr>
            <w:tcW w:type="dxa" w:w="7160"/>
            <w:vAlign w:val="center"/>
            <w:tcMar>
              <w:top w:w="80" w:type="dxa"/>
              <w:start w:w="120" w:type="dxa"/>
              <w:bottom w:w="80" w:type="dxa"/>
              <w:end w:w="120" w:type="dxa"/>
            </w:tcMar>
          </w:tcPr>
          <w:p>
            <w:pPr>
              <w:spacing w:before="0" w:after="0" w:line="271" w:lineRule="auto"/>
            </w:pPr>
            <w:r>
              <w:rPr>
                <w:rFonts w:ascii="Calibri" w:hAnsi="Calibri"/>
                <w:color w:val="162236"/>
                <w:sz w:val="18"/>
              </w:rPr>
              <w:t>Name · Clinic / Organisation Name · Email · Phone (optional)</w:t>
            </w:r>
          </w:p>
        </w:tc>
      </w:tr>
      <w:tr>
        <w:trPr>
          <w:cantSplit/>
        </w:trPr>
        <w:tc>
          <w:tcPr>
            <w:tcW w:type="dxa" w:w="2200"/>
            <w:vAlign w:val="center"/>
            <w:tcMar>
              <w:top w:w="80" w:type="dxa"/>
              <w:start w:w="120" w:type="dxa"/>
              <w:bottom w:w="80" w:type="dxa"/>
              <w:end w:w="120" w:type="dxa"/>
            </w:tcMar>
          </w:tcPr>
          <w:p>
            <w:pPr>
              <w:spacing w:before="0" w:after="0" w:line="271" w:lineRule="auto"/>
            </w:pPr>
            <w:r>
              <w:rPr>
                <w:rFonts w:ascii="Calibri" w:hAnsi="Calibri"/>
                <w:color w:val="162236"/>
                <w:sz w:val="18"/>
              </w:rPr>
              <w:t>Case</w:t>
            </w:r>
          </w:p>
        </w:tc>
        <w:tc>
          <w:tcPr>
            <w:tcW w:type="dxa" w:w="7160"/>
            <w:vAlign w:val="center"/>
            <w:tcMar>
              <w:top w:w="80" w:type="dxa"/>
              <w:start w:w="120" w:type="dxa"/>
              <w:bottom w:w="80" w:type="dxa"/>
              <w:end w:w="120" w:type="dxa"/>
            </w:tcMar>
          </w:tcPr>
          <w:p>
            <w:pPr>
              <w:spacing w:before="0" w:after="0" w:line="271" w:lineRule="auto"/>
            </w:pPr>
            <w:r>
              <w:rPr>
                <w:rFonts w:ascii="Calibri" w:hAnsi="Calibri"/>
                <w:color w:val="162236"/>
                <w:sz w:val="18"/>
              </w:rPr>
              <w:t>Case Type: Single Implant · Full Arch · Immediate Loading · Zygoma · Pterygoid · Other</w:t>
            </w:r>
          </w:p>
        </w:tc>
      </w:tr>
      <w:tr>
        <w:trPr>
          <w:cantSplit/>
        </w:trPr>
        <w:tc>
          <w:tcPr>
            <w:tcW w:type="dxa" w:w="2200"/>
            <w:vAlign w:val="center"/>
            <w:tcMar>
              <w:top w:w="80" w:type="dxa"/>
              <w:start w:w="120" w:type="dxa"/>
              <w:bottom w:w="80" w:type="dxa"/>
              <w:end w:w="120" w:type="dxa"/>
            </w:tcMar>
          </w:tcPr>
          <w:p>
            <w:pPr>
              <w:spacing w:before="0" w:after="0" w:line="271" w:lineRule="auto"/>
            </w:pPr>
            <w:r>
              <w:rPr>
                <w:rFonts w:ascii="Calibri" w:hAnsi="Calibri"/>
                <w:color w:val="162236"/>
                <w:sz w:val="18"/>
              </w:rPr>
              <w:t>System</w:t>
            </w:r>
          </w:p>
        </w:tc>
        <w:tc>
          <w:tcPr>
            <w:tcW w:type="dxa" w:w="7160"/>
            <w:vAlign w:val="center"/>
            <w:tcMar>
              <w:top w:w="80" w:type="dxa"/>
              <w:start w:w="120" w:type="dxa"/>
              <w:bottom w:w="80" w:type="dxa"/>
              <w:end w:w="120" w:type="dxa"/>
            </w:tcMar>
          </w:tcPr>
          <w:p>
            <w:pPr>
              <w:spacing w:before="0" w:after="0" w:line="271" w:lineRule="auto"/>
            </w:pPr>
            <w:r>
              <w:rPr>
                <w:rFonts w:ascii="Calibri" w:hAnsi="Calibri"/>
                <w:color w:val="162236"/>
                <w:sz w:val="18"/>
              </w:rPr>
              <w:t>Implant System Preference: Nobel · Straumann · Osstem · Adin · Other</w:t>
            </w:r>
          </w:p>
        </w:tc>
      </w:tr>
      <w:tr>
        <w:trPr>
          <w:cantSplit/>
        </w:trPr>
        <w:tc>
          <w:tcPr>
            <w:tcW w:type="dxa" w:w="2200"/>
            <w:vAlign w:val="center"/>
            <w:tcMar>
              <w:top w:w="80" w:type="dxa"/>
              <w:start w:w="120" w:type="dxa"/>
              <w:bottom w:w="80" w:type="dxa"/>
              <w:end w:w="120" w:type="dxa"/>
            </w:tcMar>
          </w:tcPr>
          <w:p>
            <w:pPr>
              <w:spacing w:before="0" w:after="0" w:line="271" w:lineRule="auto"/>
            </w:pPr>
            <w:r>
              <w:rPr>
                <w:rFonts w:ascii="Calibri" w:hAnsi="Calibri"/>
                <w:color w:val="162236"/>
                <w:sz w:val="18"/>
              </w:rPr>
              <w:t>Prosthetic</w:t>
            </w:r>
          </w:p>
        </w:tc>
        <w:tc>
          <w:tcPr>
            <w:tcW w:type="dxa" w:w="7160"/>
            <w:vAlign w:val="center"/>
            <w:tcMar>
              <w:top w:w="80" w:type="dxa"/>
              <w:start w:w="120" w:type="dxa"/>
              <w:bottom w:w="80" w:type="dxa"/>
              <w:end w:w="120" w:type="dxa"/>
            </w:tcMar>
          </w:tcPr>
          <w:p>
            <w:pPr>
              <w:spacing w:before="0" w:after="0" w:line="271" w:lineRule="auto"/>
            </w:pPr>
            <w:r>
              <w:rPr>
                <w:rFonts w:ascii="Calibri" w:hAnsi="Calibri"/>
                <w:color w:val="162236"/>
                <w:sz w:val="18"/>
              </w:rPr>
              <w:t>Prosthetic Type: FP1 · FP2 · FP3</w:t>
            </w:r>
          </w:p>
        </w:tc>
      </w:tr>
      <w:tr>
        <w:trPr>
          <w:cantSplit/>
        </w:trPr>
        <w:tc>
          <w:tcPr>
            <w:tcW w:type="dxa" w:w="2200"/>
            <w:vAlign w:val="center"/>
            <w:tcMar>
              <w:top w:w="80" w:type="dxa"/>
              <w:start w:w="120" w:type="dxa"/>
              <w:bottom w:w="80" w:type="dxa"/>
              <w:end w:w="120" w:type="dxa"/>
            </w:tcMar>
          </w:tcPr>
          <w:p>
            <w:pPr>
              <w:spacing w:before="0" w:after="0" w:line="271" w:lineRule="auto"/>
            </w:pPr>
            <w:r>
              <w:rPr>
                <w:rFonts w:ascii="Calibri" w:hAnsi="Calibri"/>
                <w:color w:val="162236"/>
                <w:sz w:val="18"/>
              </w:rPr>
              <w:t>Instructions</w:t>
            </w:r>
          </w:p>
        </w:tc>
        <w:tc>
          <w:tcPr>
            <w:tcW w:type="dxa" w:w="7160"/>
            <w:vAlign w:val="center"/>
            <w:tcMar>
              <w:top w:w="80" w:type="dxa"/>
              <w:start w:w="120" w:type="dxa"/>
              <w:bottom w:w="80" w:type="dxa"/>
              <w:end w:w="120" w:type="dxa"/>
            </w:tcMar>
          </w:tcPr>
          <w:p>
            <w:pPr>
              <w:spacing w:before="0" w:after="0" w:line="271" w:lineRule="auto"/>
            </w:pPr>
            <w:r>
              <w:rPr>
                <w:rFonts w:ascii="Calibri" w:hAnsi="Calibri"/>
                <w:color w:val="162236"/>
                <w:sz w:val="18"/>
              </w:rPr>
              <w:t>Notes (optional) and workflow-specific questions</w:t>
            </w:r>
          </w:p>
        </w:tc>
      </w:tr>
      <w:tr>
        <w:trPr>
          <w:cantSplit/>
        </w:trPr>
        <w:tc>
          <w:tcPr>
            <w:tcW w:type="dxa" w:w="2200"/>
            <w:vAlign w:val="center"/>
            <w:tcMar>
              <w:top w:w="80" w:type="dxa"/>
              <w:start w:w="120" w:type="dxa"/>
              <w:bottom w:w="80" w:type="dxa"/>
              <w:end w:w="120" w:type="dxa"/>
            </w:tcMar>
          </w:tcPr>
          <w:p>
            <w:pPr>
              <w:spacing w:before="0" w:after="0" w:line="271" w:lineRule="auto"/>
            </w:pPr>
            <w:r>
              <w:rPr>
                <w:rFonts w:ascii="Calibri" w:hAnsi="Calibri"/>
                <w:color w:val="162236"/>
                <w:sz w:val="18"/>
              </w:rPr>
              <w:t>Files</w:t>
            </w:r>
          </w:p>
        </w:tc>
        <w:tc>
          <w:tcPr>
            <w:tcW w:type="dxa" w:w="7160"/>
            <w:vAlign w:val="center"/>
            <w:tcMar>
              <w:top w:w="80" w:type="dxa"/>
              <w:start w:w="120" w:type="dxa"/>
              <w:bottom w:w="80" w:type="dxa"/>
              <w:end w:w="120" w:type="dxa"/>
            </w:tcMar>
          </w:tcPr>
          <w:p>
            <w:pPr>
              <w:spacing w:before="0" w:after="0" w:line="271" w:lineRule="auto"/>
            </w:pPr>
            <w:r>
              <w:rPr>
                <w:rFonts w:ascii="Calibri" w:hAnsi="Calibri"/>
                <w:color w:val="162236"/>
                <w:sz w:val="18"/>
              </w:rPr>
              <w:t>DICOM · STL · JPG/PNG, with workflow-specific requirements displayed before upload</w:t>
            </w:r>
          </w:p>
        </w:tc>
      </w:tr>
    </w:tbl>
    <w:p>
      <w:pPr>
        <w:spacing w:after="60"/>
      </w:pPr>
    </w:p>
    <w:p>
      <w:pPr>
        <w:spacing w:before="0" w:after="120" w:line="300" w:lineRule="auto"/>
        <w:jc w:val="left"/>
      </w:pPr>
      <w:r>
        <w:rPr>
          <w:rFonts w:ascii="Calibri" w:hAnsi="Calibri"/>
          <w:i/>
          <w:color w:val="5F6B7A"/>
          <w:sz w:val="22"/>
        </w:rPr>
        <w:t>These fields belong after login inside the practice dashboard. The public site may explain requirements but must not accept clinical uploads.</w:t>
      </w:r>
    </w:p>
    <w:p>
      <w:pPr>
        <w:pStyle w:val="Heading2"/>
        <w:spacing w:before="280" w:after="140" w:line="252" w:lineRule="auto"/>
        <w:keepNext w:val="1"/>
        <w:pageBreakBefore w:val="0"/>
      </w:pPr>
      <w:r>
        <w:rPr>
          <w:rFonts w:ascii="Calibri" w:hAnsi="Calibri"/>
          <w:b/>
          <w:color w:val="2E74B5"/>
          <w:sz w:val="26"/>
        </w:rPr>
        <w:t>Dentist-facing case statuses</w:t>
      </w:r>
    </w:p>
    <w:tbl>
      <w:tblPr>
        <w:tblStyle w:val="TableGrid"/>
        <w:tblW w:type="dxa" w:w="9360"/>
        <w:tblLayout w:type="fixed"/>
        <w:tblLook w:firstColumn="1" w:firstRow="1" w:lastColumn="0" w:lastRow="0" w:noHBand="0" w:noVBand="1" w:val="04A0"/>
        <w:jc w:val="left"/>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1900"/>
        <w:gridCol w:w="3830"/>
        <w:gridCol w:w="3630"/>
      </w:tblGrid>
      <w:tr>
        <w:trPr>
          <w:tblHeader w:val="true"/>
          <w:cantSplit/>
        </w:trPr>
        <w:tc>
          <w:tcPr>
            <w:tcW w:type="dxa" w:w="1900"/>
            <w:tcMar>
              <w:top w:w="80" w:type="dxa"/>
              <w:start w:w="120" w:type="dxa"/>
              <w:bottom w:w="80" w:type="dxa"/>
              <w:end w:w="120" w:type="dxa"/>
            </w:tcMar>
            <w:vAlign w:val="center"/>
            <w:shd w:fill="E8EEF5"/>
          </w:tcPr>
          <w:p>
            <w:pPr>
              <w:spacing w:before="0" w:after="0" w:line="264" w:lineRule="auto"/>
            </w:pPr>
            <w:r>
              <w:rPr>
                <w:rFonts w:ascii="Calibri" w:hAnsi="Calibri"/>
                <w:b/>
                <w:color w:val="162236"/>
                <w:sz w:val="16"/>
              </w:rPr>
              <w:t>Status</w:t>
            </w:r>
          </w:p>
        </w:tc>
        <w:tc>
          <w:tcPr>
            <w:tcW w:type="dxa" w:w="3830"/>
            <w:tcMar>
              <w:top w:w="80" w:type="dxa"/>
              <w:start w:w="120" w:type="dxa"/>
              <w:bottom w:w="80" w:type="dxa"/>
              <w:end w:w="120" w:type="dxa"/>
            </w:tcMar>
            <w:vAlign w:val="center"/>
            <w:shd w:fill="E8EEF5"/>
          </w:tcPr>
          <w:p>
            <w:pPr>
              <w:spacing w:before="0" w:after="0" w:line="264" w:lineRule="auto"/>
            </w:pPr>
            <w:r>
              <w:rPr>
                <w:rFonts w:ascii="Calibri" w:hAnsi="Calibri"/>
                <w:b/>
                <w:color w:val="162236"/>
                <w:sz w:val="16"/>
              </w:rPr>
              <w:t>What it means</w:t>
            </w:r>
          </w:p>
        </w:tc>
        <w:tc>
          <w:tcPr>
            <w:tcW w:type="dxa" w:w="3630"/>
            <w:tcMar>
              <w:top w:w="80" w:type="dxa"/>
              <w:start w:w="120" w:type="dxa"/>
              <w:bottom w:w="80" w:type="dxa"/>
              <w:end w:w="120" w:type="dxa"/>
            </w:tcMar>
            <w:vAlign w:val="center"/>
            <w:shd w:fill="E8EEF5"/>
          </w:tcPr>
          <w:p>
            <w:pPr>
              <w:spacing w:before="0" w:after="0" w:line="264" w:lineRule="auto"/>
            </w:pPr>
            <w:r>
              <w:rPr>
                <w:rFonts w:ascii="Calibri" w:hAnsi="Calibri"/>
                <w:b/>
                <w:color w:val="162236"/>
                <w:sz w:val="16"/>
              </w:rPr>
              <w:t>What you need to do</w:t>
            </w:r>
          </w:p>
        </w:tc>
      </w:tr>
      <w:tr>
        <w:trPr>
          <w:cantSplit/>
        </w:trPr>
        <w:tc>
          <w:tcPr>
            <w:tcW w:type="dxa" w:w="1900"/>
            <w:vAlign w:val="center"/>
            <w:tcMar>
              <w:top w:w="80" w:type="dxa"/>
              <w:start w:w="120" w:type="dxa"/>
              <w:bottom w:w="80" w:type="dxa"/>
              <w:end w:w="120" w:type="dxa"/>
            </w:tcMar>
          </w:tcPr>
          <w:p>
            <w:pPr>
              <w:spacing w:before="0" w:after="0" w:line="271" w:lineRule="auto"/>
            </w:pPr>
            <w:r>
              <w:rPr>
                <w:rFonts w:ascii="Calibri" w:hAnsi="Calibri"/>
                <w:color w:val="162236"/>
                <w:sz w:val="16"/>
              </w:rPr>
              <w:t>Draft</w:t>
            </w:r>
          </w:p>
        </w:tc>
        <w:tc>
          <w:tcPr>
            <w:tcW w:type="dxa" w:w="3830"/>
            <w:vAlign w:val="center"/>
            <w:tcMar>
              <w:top w:w="80" w:type="dxa"/>
              <w:start w:w="120" w:type="dxa"/>
              <w:bottom w:w="80" w:type="dxa"/>
              <w:end w:w="120" w:type="dxa"/>
            </w:tcMar>
          </w:tcPr>
          <w:p>
            <w:pPr>
              <w:spacing w:before="0" w:after="0" w:line="271" w:lineRule="auto"/>
            </w:pPr>
            <w:r>
              <w:rPr>
                <w:rFonts w:ascii="Calibri" w:hAnsi="Calibri"/>
                <w:color w:val="162236"/>
                <w:sz w:val="16"/>
              </w:rPr>
              <w:t>The case has not been submitted.</w:t>
            </w:r>
          </w:p>
        </w:tc>
        <w:tc>
          <w:tcPr>
            <w:tcW w:type="dxa" w:w="3630"/>
            <w:vAlign w:val="center"/>
            <w:tcMar>
              <w:top w:w="80" w:type="dxa"/>
              <w:start w:w="120" w:type="dxa"/>
              <w:bottom w:w="80" w:type="dxa"/>
              <w:end w:w="120" w:type="dxa"/>
            </w:tcMar>
          </w:tcPr>
          <w:p>
            <w:pPr>
              <w:spacing w:before="0" w:after="0" w:line="271" w:lineRule="auto"/>
            </w:pPr>
            <w:r>
              <w:rPr>
                <w:rFonts w:ascii="Calibri" w:hAnsi="Calibri"/>
                <w:color w:val="162236"/>
                <w:sz w:val="16"/>
              </w:rPr>
              <w:t>Complete details and upload the required files.</w:t>
            </w:r>
          </w:p>
        </w:tc>
      </w:tr>
      <w:tr>
        <w:trPr>
          <w:cantSplit/>
        </w:trPr>
        <w:tc>
          <w:tcPr>
            <w:tcW w:type="dxa" w:w="1900"/>
            <w:vAlign w:val="center"/>
            <w:tcMar>
              <w:top w:w="80" w:type="dxa"/>
              <w:start w:w="120" w:type="dxa"/>
              <w:bottom w:w="80" w:type="dxa"/>
              <w:end w:w="120" w:type="dxa"/>
            </w:tcMar>
          </w:tcPr>
          <w:p>
            <w:pPr>
              <w:spacing w:before="0" w:after="0" w:line="271" w:lineRule="auto"/>
            </w:pPr>
            <w:r>
              <w:rPr>
                <w:rFonts w:ascii="Calibri" w:hAnsi="Calibri"/>
                <w:color w:val="162236"/>
                <w:sz w:val="16"/>
              </w:rPr>
              <w:t>Submitted</w:t>
            </w:r>
          </w:p>
        </w:tc>
        <w:tc>
          <w:tcPr>
            <w:tcW w:type="dxa" w:w="3830"/>
            <w:vAlign w:val="center"/>
            <w:tcMar>
              <w:top w:w="80" w:type="dxa"/>
              <w:start w:w="120" w:type="dxa"/>
              <w:bottom w:w="80" w:type="dxa"/>
              <w:end w:w="120" w:type="dxa"/>
            </w:tcMar>
          </w:tcPr>
          <w:p>
            <w:pPr>
              <w:spacing w:before="0" w:after="0" w:line="271" w:lineRule="auto"/>
            </w:pPr>
            <w:r>
              <w:rPr>
                <w:rFonts w:ascii="Calibri" w:hAnsi="Calibri"/>
                <w:color w:val="162236"/>
                <w:sz w:val="16"/>
              </w:rPr>
              <w:t>The case has entered the queue.</w:t>
            </w:r>
          </w:p>
        </w:tc>
        <w:tc>
          <w:tcPr>
            <w:tcW w:type="dxa" w:w="3630"/>
            <w:vAlign w:val="center"/>
            <w:tcMar>
              <w:top w:w="80" w:type="dxa"/>
              <w:start w:w="120" w:type="dxa"/>
              <w:bottom w:w="80" w:type="dxa"/>
              <w:end w:w="120" w:type="dxa"/>
            </w:tcMar>
          </w:tcPr>
          <w:p>
            <w:pPr>
              <w:spacing w:before="0" w:after="0" w:line="271" w:lineRule="auto"/>
            </w:pPr>
            <w:r>
              <w:rPr>
                <w:rFonts w:ascii="Calibri" w:hAnsi="Calibri"/>
                <w:color w:val="162236"/>
                <w:sz w:val="16"/>
              </w:rPr>
              <w:t>No action unless the case team contacts you.</w:t>
            </w:r>
          </w:p>
        </w:tc>
      </w:tr>
      <w:tr>
        <w:trPr>
          <w:cantSplit/>
        </w:trPr>
        <w:tc>
          <w:tcPr>
            <w:tcW w:type="dxa" w:w="1900"/>
            <w:vAlign w:val="center"/>
            <w:tcMar>
              <w:top w:w="80" w:type="dxa"/>
              <w:start w:w="120" w:type="dxa"/>
              <w:bottom w:w="80" w:type="dxa"/>
              <w:end w:w="120" w:type="dxa"/>
            </w:tcMar>
          </w:tcPr>
          <w:p>
            <w:pPr>
              <w:spacing w:before="0" w:after="0" w:line="271" w:lineRule="auto"/>
            </w:pPr>
            <w:r>
              <w:rPr>
                <w:rFonts w:ascii="Calibri" w:hAnsi="Calibri"/>
                <w:color w:val="162236"/>
                <w:sz w:val="16"/>
              </w:rPr>
              <w:t>Data Check</w:t>
            </w:r>
          </w:p>
        </w:tc>
        <w:tc>
          <w:tcPr>
            <w:tcW w:type="dxa" w:w="3830"/>
            <w:vAlign w:val="center"/>
            <w:tcMar>
              <w:top w:w="80" w:type="dxa"/>
              <w:start w:w="120" w:type="dxa"/>
              <w:bottom w:w="80" w:type="dxa"/>
              <w:end w:w="120" w:type="dxa"/>
            </w:tcMar>
          </w:tcPr>
          <w:p>
            <w:pPr>
              <w:spacing w:before="0" w:after="0" w:line="271" w:lineRule="auto"/>
            </w:pPr>
            <w:r>
              <w:rPr>
                <w:rFonts w:ascii="Calibri" w:hAnsi="Calibri"/>
                <w:color w:val="162236"/>
                <w:sz w:val="16"/>
              </w:rPr>
              <w:t>Files and instructions are being checked.</w:t>
            </w:r>
          </w:p>
        </w:tc>
        <w:tc>
          <w:tcPr>
            <w:tcW w:type="dxa" w:w="3630"/>
            <w:vAlign w:val="center"/>
            <w:tcMar>
              <w:top w:w="80" w:type="dxa"/>
              <w:start w:w="120" w:type="dxa"/>
              <w:bottom w:w="80" w:type="dxa"/>
              <w:end w:w="120" w:type="dxa"/>
            </w:tcMar>
          </w:tcPr>
          <w:p>
            <w:pPr>
              <w:spacing w:before="0" w:after="0" w:line="271" w:lineRule="auto"/>
            </w:pPr>
            <w:r>
              <w:rPr>
                <w:rFonts w:ascii="Calibri" w:hAnsi="Calibri"/>
                <w:color w:val="162236"/>
                <w:sz w:val="16"/>
              </w:rPr>
              <w:t>Wait for validation or a request for information.</w:t>
            </w:r>
          </w:p>
        </w:tc>
      </w:tr>
      <w:tr>
        <w:trPr>
          <w:cantSplit/>
        </w:trPr>
        <w:tc>
          <w:tcPr>
            <w:tcW w:type="dxa" w:w="1900"/>
            <w:vAlign w:val="center"/>
            <w:tcMar>
              <w:top w:w="80" w:type="dxa"/>
              <w:start w:w="120" w:type="dxa"/>
              <w:bottom w:w="80" w:type="dxa"/>
              <w:end w:w="120" w:type="dxa"/>
            </w:tcMar>
          </w:tcPr>
          <w:p>
            <w:pPr>
              <w:spacing w:before="0" w:after="0" w:line="271" w:lineRule="auto"/>
            </w:pPr>
            <w:r>
              <w:rPr>
                <w:rFonts w:ascii="Calibri" w:hAnsi="Calibri"/>
                <w:color w:val="162236"/>
                <w:sz w:val="16"/>
              </w:rPr>
              <w:t>Information Needed</w:t>
            </w:r>
          </w:p>
        </w:tc>
        <w:tc>
          <w:tcPr>
            <w:tcW w:type="dxa" w:w="3830"/>
            <w:vAlign w:val="center"/>
            <w:tcMar>
              <w:top w:w="80" w:type="dxa"/>
              <w:start w:w="120" w:type="dxa"/>
              <w:bottom w:w="80" w:type="dxa"/>
              <w:end w:w="120" w:type="dxa"/>
            </w:tcMar>
          </w:tcPr>
          <w:p>
            <w:pPr>
              <w:spacing w:before="0" w:after="0" w:line="271" w:lineRule="auto"/>
            </w:pPr>
            <w:r>
              <w:rPr>
                <w:rFonts w:ascii="Calibri" w:hAnsi="Calibri"/>
                <w:color w:val="162236"/>
                <w:sz w:val="16"/>
              </w:rPr>
              <w:t>The case cannot move forward yet.</w:t>
            </w:r>
          </w:p>
        </w:tc>
        <w:tc>
          <w:tcPr>
            <w:tcW w:type="dxa" w:w="3630"/>
            <w:vAlign w:val="center"/>
            <w:tcMar>
              <w:top w:w="80" w:type="dxa"/>
              <w:start w:w="120" w:type="dxa"/>
              <w:bottom w:w="80" w:type="dxa"/>
              <w:end w:w="120" w:type="dxa"/>
            </w:tcMar>
          </w:tcPr>
          <w:p>
            <w:pPr>
              <w:spacing w:before="0" w:after="0" w:line="271" w:lineRule="auto"/>
            </w:pPr>
            <w:r>
              <w:rPr>
                <w:rFonts w:ascii="Calibri" w:hAnsi="Calibri"/>
                <w:color w:val="162236"/>
                <w:sz w:val="16"/>
              </w:rPr>
              <w:t>Open the request and add the missing item.</w:t>
            </w:r>
          </w:p>
        </w:tc>
      </w:tr>
      <w:tr>
        <w:trPr>
          <w:cantSplit/>
        </w:trPr>
        <w:tc>
          <w:tcPr>
            <w:tcW w:type="dxa" w:w="1900"/>
            <w:vAlign w:val="center"/>
            <w:tcMar>
              <w:top w:w="80" w:type="dxa"/>
              <w:start w:w="120" w:type="dxa"/>
              <w:bottom w:w="80" w:type="dxa"/>
              <w:end w:w="120" w:type="dxa"/>
            </w:tcMar>
          </w:tcPr>
          <w:p>
            <w:pPr>
              <w:spacing w:before="0" w:after="0" w:line="271" w:lineRule="auto"/>
            </w:pPr>
            <w:r>
              <w:rPr>
                <w:rFonts w:ascii="Calibri" w:hAnsi="Calibri"/>
                <w:color w:val="162236"/>
                <w:sz w:val="16"/>
              </w:rPr>
              <w:t>Scope &amp; Quote</w:t>
            </w:r>
          </w:p>
        </w:tc>
        <w:tc>
          <w:tcPr>
            <w:tcW w:type="dxa" w:w="3830"/>
            <w:vAlign w:val="center"/>
            <w:tcMar>
              <w:top w:w="80" w:type="dxa"/>
              <w:start w:w="120" w:type="dxa"/>
              <w:bottom w:w="80" w:type="dxa"/>
              <w:end w:w="120" w:type="dxa"/>
            </w:tcMar>
          </w:tcPr>
          <w:p>
            <w:pPr>
              <w:spacing w:before="0" w:after="0" w:line="271" w:lineRule="auto"/>
            </w:pPr>
            <w:r>
              <w:rPr>
                <w:rFonts w:ascii="Calibri" w:hAnsi="Calibri"/>
                <w:color w:val="162236"/>
                <w:sz w:val="16"/>
              </w:rPr>
              <w:t>Deliverables and fees are being confirmed.</w:t>
            </w:r>
          </w:p>
        </w:tc>
        <w:tc>
          <w:tcPr>
            <w:tcW w:type="dxa" w:w="3630"/>
            <w:vAlign w:val="center"/>
            <w:tcMar>
              <w:top w:w="80" w:type="dxa"/>
              <w:start w:w="120" w:type="dxa"/>
              <w:bottom w:w="80" w:type="dxa"/>
              <w:end w:w="120" w:type="dxa"/>
            </w:tcMar>
          </w:tcPr>
          <w:p>
            <w:pPr>
              <w:spacing w:before="0" w:after="0" w:line="271" w:lineRule="auto"/>
            </w:pPr>
            <w:r>
              <w:rPr>
                <w:rFonts w:ascii="Calibri" w:hAnsi="Calibri"/>
                <w:color w:val="162236"/>
                <w:sz w:val="16"/>
              </w:rPr>
              <w:t>Review and accept the quotation.</w:t>
            </w:r>
          </w:p>
        </w:tc>
      </w:tr>
      <w:tr>
        <w:trPr>
          <w:cantSplit/>
        </w:trPr>
        <w:tc>
          <w:tcPr>
            <w:tcW w:type="dxa" w:w="1900"/>
            <w:vAlign w:val="center"/>
            <w:tcMar>
              <w:top w:w="80" w:type="dxa"/>
              <w:start w:w="120" w:type="dxa"/>
              <w:bottom w:w="80" w:type="dxa"/>
              <w:end w:w="120" w:type="dxa"/>
            </w:tcMar>
          </w:tcPr>
          <w:p>
            <w:pPr>
              <w:spacing w:before="0" w:after="0" w:line="271" w:lineRule="auto"/>
            </w:pPr>
            <w:r>
              <w:rPr>
                <w:rFonts w:ascii="Calibri" w:hAnsi="Calibri"/>
                <w:color w:val="162236"/>
                <w:sz w:val="16"/>
              </w:rPr>
              <w:t>In Planning</w:t>
            </w:r>
          </w:p>
        </w:tc>
        <w:tc>
          <w:tcPr>
            <w:tcW w:type="dxa" w:w="3830"/>
            <w:vAlign w:val="center"/>
            <w:tcMar>
              <w:top w:w="80" w:type="dxa"/>
              <w:start w:w="120" w:type="dxa"/>
              <w:bottom w:w="80" w:type="dxa"/>
              <w:end w:w="120" w:type="dxa"/>
            </w:tcMar>
          </w:tcPr>
          <w:p>
            <w:pPr>
              <w:spacing w:before="0" w:after="0" w:line="271" w:lineRule="auto"/>
            </w:pPr>
            <w:r>
              <w:rPr>
                <w:rFonts w:ascii="Calibri" w:hAnsi="Calibri"/>
                <w:color w:val="162236"/>
                <w:sz w:val="16"/>
              </w:rPr>
              <w:t>The digital plan is being prepared.</w:t>
            </w:r>
          </w:p>
        </w:tc>
        <w:tc>
          <w:tcPr>
            <w:tcW w:type="dxa" w:w="3630"/>
            <w:vAlign w:val="center"/>
            <w:tcMar>
              <w:top w:w="80" w:type="dxa"/>
              <w:start w:w="120" w:type="dxa"/>
              <w:bottom w:w="80" w:type="dxa"/>
              <w:end w:w="120" w:type="dxa"/>
            </w:tcMar>
          </w:tcPr>
          <w:p>
            <w:pPr>
              <w:spacing w:before="0" w:after="0" w:line="271" w:lineRule="auto"/>
            </w:pPr>
            <w:r>
              <w:rPr>
                <w:rFonts w:ascii="Calibri" w:hAnsi="Calibri"/>
                <w:color w:val="162236"/>
                <w:sz w:val="16"/>
              </w:rPr>
              <w:t>No action unless a question appears.</w:t>
            </w:r>
          </w:p>
        </w:tc>
      </w:tr>
      <w:tr>
        <w:trPr>
          <w:cantSplit/>
        </w:trPr>
        <w:tc>
          <w:tcPr>
            <w:tcW w:type="dxa" w:w="1900"/>
            <w:vAlign w:val="center"/>
            <w:tcMar>
              <w:top w:w="80" w:type="dxa"/>
              <w:start w:w="120" w:type="dxa"/>
              <w:bottom w:w="80" w:type="dxa"/>
              <w:end w:w="120" w:type="dxa"/>
            </w:tcMar>
          </w:tcPr>
          <w:p>
            <w:pPr>
              <w:spacing w:before="0" w:after="0" w:line="271" w:lineRule="auto"/>
            </w:pPr>
            <w:r>
              <w:rPr>
                <w:rFonts w:ascii="Calibri" w:hAnsi="Calibri"/>
                <w:color w:val="162236"/>
                <w:sz w:val="16"/>
              </w:rPr>
              <w:t>Plan Ready for Review</w:t>
            </w:r>
          </w:p>
        </w:tc>
        <w:tc>
          <w:tcPr>
            <w:tcW w:type="dxa" w:w="3830"/>
            <w:vAlign w:val="center"/>
            <w:tcMar>
              <w:top w:w="80" w:type="dxa"/>
              <w:start w:w="120" w:type="dxa"/>
              <w:bottom w:w="80" w:type="dxa"/>
              <w:end w:w="120" w:type="dxa"/>
            </w:tcMar>
          </w:tcPr>
          <w:p>
            <w:pPr>
              <w:spacing w:before="0" w:after="0" w:line="271" w:lineRule="auto"/>
            </w:pPr>
            <w:r>
              <w:rPr>
                <w:rFonts w:ascii="Calibri" w:hAnsi="Calibri"/>
                <w:color w:val="162236"/>
                <w:sz w:val="16"/>
              </w:rPr>
              <w:t>The proposed plan is available.</w:t>
            </w:r>
          </w:p>
        </w:tc>
        <w:tc>
          <w:tcPr>
            <w:tcW w:type="dxa" w:w="3630"/>
            <w:vAlign w:val="center"/>
            <w:tcMar>
              <w:top w:w="80" w:type="dxa"/>
              <w:start w:w="120" w:type="dxa"/>
              <w:bottom w:w="80" w:type="dxa"/>
              <w:end w:w="120" w:type="dxa"/>
            </w:tcMar>
          </w:tcPr>
          <w:p>
            <w:pPr>
              <w:spacing w:before="0" w:after="0" w:line="271" w:lineRule="auto"/>
            </w:pPr>
            <w:r>
              <w:rPr>
                <w:rFonts w:ascii="Calibri" w:hAnsi="Calibri"/>
                <w:color w:val="162236"/>
                <w:sz w:val="16"/>
              </w:rPr>
              <w:t>Review the plan and respond.</w:t>
            </w:r>
          </w:p>
        </w:tc>
      </w:tr>
      <w:tr>
        <w:trPr>
          <w:cantSplit/>
        </w:trPr>
        <w:tc>
          <w:tcPr>
            <w:tcW w:type="dxa" w:w="1900"/>
            <w:vAlign w:val="center"/>
            <w:tcMar>
              <w:top w:w="80" w:type="dxa"/>
              <w:start w:w="120" w:type="dxa"/>
              <w:bottom w:w="80" w:type="dxa"/>
              <w:end w:w="120" w:type="dxa"/>
            </w:tcMar>
          </w:tcPr>
          <w:p>
            <w:pPr>
              <w:spacing w:before="0" w:after="0" w:line="271" w:lineRule="auto"/>
            </w:pPr>
            <w:r>
              <w:rPr>
                <w:rFonts w:ascii="Calibri" w:hAnsi="Calibri"/>
                <w:color w:val="162236"/>
                <w:sz w:val="16"/>
              </w:rPr>
              <w:t>Changes Requested</w:t>
            </w:r>
          </w:p>
        </w:tc>
        <w:tc>
          <w:tcPr>
            <w:tcW w:type="dxa" w:w="3830"/>
            <w:vAlign w:val="center"/>
            <w:tcMar>
              <w:top w:w="80" w:type="dxa"/>
              <w:start w:w="120" w:type="dxa"/>
              <w:bottom w:w="80" w:type="dxa"/>
              <w:end w:w="120" w:type="dxa"/>
            </w:tcMar>
          </w:tcPr>
          <w:p>
            <w:pPr>
              <w:spacing w:before="0" w:after="0" w:line="271" w:lineRule="auto"/>
            </w:pPr>
            <w:r>
              <w:rPr>
                <w:rFonts w:ascii="Calibri" w:hAnsi="Calibri"/>
                <w:color w:val="162236"/>
                <w:sz w:val="16"/>
              </w:rPr>
              <w:t>Your requested changes are being assessed.</w:t>
            </w:r>
          </w:p>
        </w:tc>
        <w:tc>
          <w:tcPr>
            <w:tcW w:type="dxa" w:w="3630"/>
            <w:vAlign w:val="center"/>
            <w:tcMar>
              <w:top w:w="80" w:type="dxa"/>
              <w:start w:w="120" w:type="dxa"/>
              <w:bottom w:w="80" w:type="dxa"/>
              <w:end w:w="120" w:type="dxa"/>
            </w:tcMar>
          </w:tcPr>
          <w:p>
            <w:pPr>
              <w:spacing w:before="0" w:after="0" w:line="271" w:lineRule="auto"/>
            </w:pPr>
            <w:r>
              <w:rPr>
                <w:rFonts w:ascii="Calibri" w:hAnsi="Calibri"/>
                <w:color w:val="162236"/>
                <w:sz w:val="16"/>
              </w:rPr>
              <w:t>Wait for the revised plan.</w:t>
            </w:r>
          </w:p>
        </w:tc>
      </w:tr>
      <w:tr>
        <w:trPr>
          <w:cantSplit/>
        </w:trPr>
        <w:tc>
          <w:tcPr>
            <w:tcW w:type="dxa" w:w="1900"/>
            <w:vAlign w:val="center"/>
            <w:tcMar>
              <w:top w:w="80" w:type="dxa"/>
              <w:start w:w="120" w:type="dxa"/>
              <w:bottom w:w="80" w:type="dxa"/>
              <w:end w:w="120" w:type="dxa"/>
            </w:tcMar>
          </w:tcPr>
          <w:p>
            <w:pPr>
              <w:spacing w:before="0" w:after="0" w:line="271" w:lineRule="auto"/>
            </w:pPr>
            <w:r>
              <w:rPr>
                <w:rFonts w:ascii="Calibri" w:hAnsi="Calibri"/>
                <w:color w:val="162236"/>
                <w:sz w:val="16"/>
              </w:rPr>
              <w:t>Approval Required</w:t>
            </w:r>
          </w:p>
        </w:tc>
        <w:tc>
          <w:tcPr>
            <w:tcW w:type="dxa" w:w="3830"/>
            <w:vAlign w:val="center"/>
            <w:tcMar>
              <w:top w:w="80" w:type="dxa"/>
              <w:start w:w="120" w:type="dxa"/>
              <w:bottom w:w="80" w:type="dxa"/>
              <w:end w:w="120" w:type="dxa"/>
            </w:tcMar>
          </w:tcPr>
          <w:p>
            <w:pPr>
              <w:spacing w:before="0" w:after="0" w:line="271" w:lineRule="auto"/>
            </w:pPr>
            <w:r>
              <w:rPr>
                <w:rFonts w:ascii="Calibri" w:hAnsi="Calibri"/>
                <w:color w:val="162236"/>
                <w:sz w:val="16"/>
              </w:rPr>
              <w:t>The plan is ready for the production decision.</w:t>
            </w:r>
          </w:p>
        </w:tc>
        <w:tc>
          <w:tcPr>
            <w:tcW w:type="dxa" w:w="3630"/>
            <w:vAlign w:val="center"/>
            <w:tcMar>
              <w:top w:w="80" w:type="dxa"/>
              <w:start w:w="120" w:type="dxa"/>
              <w:bottom w:w="80" w:type="dxa"/>
              <w:end w:w="120" w:type="dxa"/>
            </w:tcMar>
          </w:tcPr>
          <w:p>
            <w:pPr>
              <w:spacing w:before="0" w:after="0" w:line="271" w:lineRule="auto"/>
            </w:pPr>
            <w:r>
              <w:rPr>
                <w:rFonts w:ascii="Calibri" w:hAnsi="Calibri"/>
                <w:color w:val="162236"/>
                <w:sz w:val="16"/>
              </w:rPr>
              <w:t>Approve or request changes.</w:t>
            </w:r>
          </w:p>
        </w:tc>
      </w:tr>
      <w:tr>
        <w:trPr>
          <w:cantSplit/>
        </w:trPr>
        <w:tc>
          <w:tcPr>
            <w:tcW w:type="dxa" w:w="1900"/>
            <w:vAlign w:val="center"/>
            <w:tcMar>
              <w:top w:w="80" w:type="dxa"/>
              <w:start w:w="120" w:type="dxa"/>
              <w:bottom w:w="80" w:type="dxa"/>
              <w:end w:w="120" w:type="dxa"/>
            </w:tcMar>
          </w:tcPr>
          <w:p>
            <w:pPr>
              <w:spacing w:before="0" w:after="0" w:line="271" w:lineRule="auto"/>
            </w:pPr>
            <w:r>
              <w:rPr>
                <w:rFonts w:ascii="Calibri" w:hAnsi="Calibri"/>
                <w:color w:val="162236"/>
                <w:sz w:val="16"/>
              </w:rPr>
              <w:t>In Production</w:t>
            </w:r>
          </w:p>
        </w:tc>
        <w:tc>
          <w:tcPr>
            <w:tcW w:type="dxa" w:w="3830"/>
            <w:vAlign w:val="center"/>
            <w:tcMar>
              <w:top w:w="80" w:type="dxa"/>
              <w:start w:w="120" w:type="dxa"/>
              <w:bottom w:w="80" w:type="dxa"/>
              <w:end w:w="120" w:type="dxa"/>
            </w:tcMar>
          </w:tcPr>
          <w:p>
            <w:pPr>
              <w:spacing w:before="0" w:after="0" w:line="271" w:lineRule="auto"/>
            </w:pPr>
            <w:r>
              <w:rPr>
                <w:rFonts w:ascii="Calibri" w:hAnsi="Calibri"/>
                <w:color w:val="162236"/>
                <w:sz w:val="16"/>
              </w:rPr>
              <w:t>Approved deliverables are being produced.</w:t>
            </w:r>
          </w:p>
        </w:tc>
        <w:tc>
          <w:tcPr>
            <w:tcW w:type="dxa" w:w="3630"/>
            <w:vAlign w:val="center"/>
            <w:tcMar>
              <w:top w:w="80" w:type="dxa"/>
              <w:start w:w="120" w:type="dxa"/>
              <w:bottom w:w="80" w:type="dxa"/>
              <w:end w:w="120" w:type="dxa"/>
            </w:tcMar>
          </w:tcPr>
          <w:p>
            <w:pPr>
              <w:spacing w:before="0" w:after="0" w:line="271" w:lineRule="auto"/>
            </w:pPr>
            <w:r>
              <w:rPr>
                <w:rFonts w:ascii="Calibri" w:hAnsi="Calibri"/>
                <w:color w:val="162236"/>
                <w:sz w:val="16"/>
              </w:rPr>
              <w:t>Review preparation information.</w:t>
            </w:r>
          </w:p>
        </w:tc>
      </w:tr>
      <w:tr>
        <w:trPr>
          <w:cantSplit/>
        </w:trPr>
        <w:tc>
          <w:tcPr>
            <w:tcW w:type="dxa" w:w="1900"/>
            <w:vAlign w:val="center"/>
            <w:tcMar>
              <w:top w:w="80" w:type="dxa"/>
              <w:start w:w="120" w:type="dxa"/>
              <w:bottom w:w="80" w:type="dxa"/>
              <w:end w:w="120" w:type="dxa"/>
            </w:tcMar>
          </w:tcPr>
          <w:p>
            <w:pPr>
              <w:spacing w:before="0" w:after="0" w:line="271" w:lineRule="auto"/>
            </w:pPr>
            <w:r>
              <w:rPr>
                <w:rFonts w:ascii="Calibri" w:hAnsi="Calibri"/>
                <w:color w:val="162236"/>
                <w:sz w:val="16"/>
              </w:rPr>
              <w:t>Quality Check</w:t>
            </w:r>
          </w:p>
        </w:tc>
        <w:tc>
          <w:tcPr>
            <w:tcW w:type="dxa" w:w="3830"/>
            <w:vAlign w:val="center"/>
            <w:tcMar>
              <w:top w:w="80" w:type="dxa"/>
              <w:start w:w="120" w:type="dxa"/>
              <w:bottom w:w="80" w:type="dxa"/>
              <w:end w:w="120" w:type="dxa"/>
            </w:tcMar>
          </w:tcPr>
          <w:p>
            <w:pPr>
              <w:spacing w:before="0" w:after="0" w:line="271" w:lineRule="auto"/>
            </w:pPr>
            <w:r>
              <w:rPr>
                <w:rFonts w:ascii="Calibri" w:hAnsi="Calibri"/>
                <w:color w:val="162236"/>
                <w:sz w:val="16"/>
              </w:rPr>
              <w:t>Deliverables are undergoing final checks.</w:t>
            </w:r>
          </w:p>
        </w:tc>
        <w:tc>
          <w:tcPr>
            <w:tcW w:type="dxa" w:w="3630"/>
            <w:vAlign w:val="center"/>
            <w:tcMar>
              <w:top w:w="80" w:type="dxa"/>
              <w:start w:w="120" w:type="dxa"/>
              <w:bottom w:w="80" w:type="dxa"/>
              <w:end w:w="120" w:type="dxa"/>
            </w:tcMar>
          </w:tcPr>
          <w:p>
            <w:pPr>
              <w:spacing w:before="0" w:after="0" w:line="271" w:lineRule="auto"/>
            </w:pPr>
            <w:r>
              <w:rPr>
                <w:rFonts w:ascii="Calibri" w:hAnsi="Calibri"/>
                <w:color w:val="162236"/>
                <w:sz w:val="16"/>
              </w:rPr>
              <w:t>No action.</w:t>
            </w:r>
          </w:p>
        </w:tc>
      </w:tr>
      <w:tr>
        <w:trPr>
          <w:cantSplit/>
        </w:trPr>
        <w:tc>
          <w:tcPr>
            <w:tcW w:type="dxa" w:w="1900"/>
            <w:vAlign w:val="center"/>
            <w:tcMar>
              <w:top w:w="80" w:type="dxa"/>
              <w:start w:w="120" w:type="dxa"/>
              <w:bottom w:w="80" w:type="dxa"/>
              <w:end w:w="120" w:type="dxa"/>
            </w:tcMar>
          </w:tcPr>
          <w:p>
            <w:pPr>
              <w:spacing w:before="0" w:after="0" w:line="271" w:lineRule="auto"/>
            </w:pPr>
            <w:r>
              <w:rPr>
                <w:rFonts w:ascii="Calibri" w:hAnsi="Calibri"/>
                <w:color w:val="162236"/>
                <w:sz w:val="16"/>
              </w:rPr>
              <w:t>Dispatched / Files Ready</w:t>
            </w:r>
          </w:p>
        </w:tc>
        <w:tc>
          <w:tcPr>
            <w:tcW w:type="dxa" w:w="3830"/>
            <w:vAlign w:val="center"/>
            <w:tcMar>
              <w:top w:w="80" w:type="dxa"/>
              <w:start w:w="120" w:type="dxa"/>
              <w:bottom w:w="80" w:type="dxa"/>
              <w:end w:w="120" w:type="dxa"/>
            </w:tcMar>
          </w:tcPr>
          <w:p>
            <w:pPr>
              <w:spacing w:before="0" w:after="0" w:line="271" w:lineRule="auto"/>
            </w:pPr>
            <w:r>
              <w:rPr>
                <w:rFonts w:ascii="Calibri" w:hAnsi="Calibri"/>
                <w:color w:val="162236"/>
                <w:sz w:val="16"/>
              </w:rPr>
              <w:t>The physical package is moving or files are available.</w:t>
            </w:r>
          </w:p>
        </w:tc>
        <w:tc>
          <w:tcPr>
            <w:tcW w:type="dxa" w:w="3630"/>
            <w:vAlign w:val="center"/>
            <w:tcMar>
              <w:top w:w="80" w:type="dxa"/>
              <w:start w:w="120" w:type="dxa"/>
              <w:bottom w:w="80" w:type="dxa"/>
              <w:end w:w="120" w:type="dxa"/>
            </w:tcMar>
          </w:tcPr>
          <w:p>
            <w:pPr>
              <w:spacing w:before="0" w:after="0" w:line="271" w:lineRule="auto"/>
            </w:pPr>
            <w:r>
              <w:rPr>
                <w:rFonts w:ascii="Calibri" w:hAnsi="Calibri"/>
                <w:color w:val="162236"/>
                <w:sz w:val="16"/>
              </w:rPr>
              <w:t>Track shipment or download files.</w:t>
            </w:r>
          </w:p>
        </w:tc>
      </w:tr>
      <w:tr>
        <w:trPr>
          <w:cantSplit/>
        </w:trPr>
        <w:tc>
          <w:tcPr>
            <w:tcW w:type="dxa" w:w="1900"/>
            <w:vAlign w:val="center"/>
            <w:tcMar>
              <w:top w:w="80" w:type="dxa"/>
              <w:start w:w="120" w:type="dxa"/>
              <w:bottom w:w="80" w:type="dxa"/>
              <w:end w:w="120" w:type="dxa"/>
            </w:tcMar>
          </w:tcPr>
          <w:p>
            <w:pPr>
              <w:spacing w:before="0" w:after="0" w:line="271" w:lineRule="auto"/>
            </w:pPr>
            <w:r>
              <w:rPr>
                <w:rFonts w:ascii="Calibri" w:hAnsi="Calibri"/>
                <w:color w:val="162236"/>
                <w:sz w:val="16"/>
              </w:rPr>
              <w:t>Completed</w:t>
            </w:r>
          </w:p>
        </w:tc>
        <w:tc>
          <w:tcPr>
            <w:tcW w:type="dxa" w:w="3830"/>
            <w:vAlign w:val="center"/>
            <w:tcMar>
              <w:top w:w="80" w:type="dxa"/>
              <w:start w:w="120" w:type="dxa"/>
              <w:bottom w:w="80" w:type="dxa"/>
              <w:end w:w="120" w:type="dxa"/>
            </w:tcMar>
          </w:tcPr>
          <w:p>
            <w:pPr>
              <w:spacing w:before="0" w:after="0" w:line="271" w:lineRule="auto"/>
            </w:pPr>
            <w:r>
              <w:rPr>
                <w:rFonts w:ascii="Calibri" w:hAnsi="Calibri"/>
                <w:color w:val="162236"/>
                <w:sz w:val="16"/>
              </w:rPr>
              <w:t>The agreed deliverables have been supplied.</w:t>
            </w:r>
          </w:p>
        </w:tc>
        <w:tc>
          <w:tcPr>
            <w:tcW w:type="dxa" w:w="3630"/>
            <w:vAlign w:val="center"/>
            <w:tcMar>
              <w:top w:w="80" w:type="dxa"/>
              <w:start w:w="120" w:type="dxa"/>
              <w:bottom w:w="80" w:type="dxa"/>
              <w:end w:w="120" w:type="dxa"/>
            </w:tcMar>
          </w:tcPr>
          <w:p>
            <w:pPr>
              <w:spacing w:before="0" w:after="0" w:line="271" w:lineRule="auto"/>
            </w:pPr>
            <w:r>
              <w:rPr>
                <w:rFonts w:ascii="Calibri" w:hAnsi="Calibri"/>
                <w:color w:val="162236"/>
                <w:sz w:val="16"/>
              </w:rPr>
              <w:t>Access records or request support.</w:t>
            </w:r>
          </w:p>
        </w:tc>
      </w:tr>
    </w:tbl>
    <w:p>
      <w:pPr>
        <w:spacing w:after="60"/>
      </w:pPr>
    </w:p>
    <w:p>
      <w:pPr>
        <w:pStyle w:val="Heading2"/>
        <w:spacing w:before="280" w:after="140" w:line="252" w:lineRule="auto"/>
        <w:keepNext w:val="1"/>
        <w:pageBreakBefore w:val="0"/>
      </w:pPr>
      <w:r>
        <w:rPr>
          <w:rFonts w:ascii="Calibri" w:hAnsi="Calibri"/>
          <w:b/>
          <w:color w:val="2E74B5"/>
          <w:sz w:val="26"/>
        </w:rPr>
        <w:t>Microcopy examples</w:t>
      </w:r>
    </w:p>
    <w:p>
      <w:pPr>
        <w:spacing w:before="100" w:after="180" w:line="300" w:lineRule="auto"/>
        <w:ind w:left="202" w:right="144"/>
        <w:shd w:fill="F2F4F7"/>
        <w:pBdr>
          <w:left w:val="single" w:sz="16" w:space="8" w:color="5F6B7A"/>
        </w:pBdr>
        <w:keepLines w:val="1"/>
      </w:pPr>
      <w:r>
        <w:rPr>
          <w:rFonts w:ascii="Calibri" w:hAnsi="Calibri"/>
          <w:b/>
          <w:color w:val="5F6B7A"/>
          <w:sz w:val="18"/>
        </w:rPr>
        <w:t xml:space="preserve">DATA CHECK  </w:t>
      </w:r>
      <w:r>
        <w:rPr>
          <w:rFonts w:ascii="Calibri" w:hAnsi="Calibri"/>
          <w:b/>
          <w:color w:val="162236"/>
          <w:sz w:val="22"/>
        </w:rPr>
        <w:t>Your CBCT and scan files are being checked. If anything is missing or does not align, the case team will ask before planning begins.</w:t>
      </w:r>
    </w:p>
    <w:p>
      <w:pPr>
        <w:spacing w:before="100" w:after="180" w:line="300" w:lineRule="auto"/>
        <w:ind w:left="202" w:right="144"/>
        <w:shd w:fill="F2F4F7"/>
        <w:pBdr>
          <w:left w:val="single" w:sz="16" w:space="8" w:color="5F6B7A"/>
        </w:pBdr>
        <w:keepLines w:val="1"/>
      </w:pPr>
      <w:r>
        <w:rPr>
          <w:rFonts w:ascii="Calibri" w:hAnsi="Calibri"/>
          <w:b/>
          <w:color w:val="5F6B7A"/>
          <w:sz w:val="18"/>
        </w:rPr>
        <w:t xml:space="preserve">PLAN READY FOR REVIEW  </w:t>
      </w:r>
      <w:r>
        <w:rPr>
          <w:rFonts w:ascii="Calibri" w:hAnsi="Calibri"/>
          <w:b/>
          <w:color w:val="162236"/>
          <w:sz w:val="22"/>
        </w:rPr>
        <w:t>Review the proposed implant positions, prosthetic reference and case notes. Production does not begin until the required approval is recorded.</w:t>
      </w:r>
    </w:p>
    <w:p>
      <w:pPr>
        <w:spacing w:before="100" w:after="180" w:line="300" w:lineRule="auto"/>
        <w:ind w:left="202" w:right="144"/>
        <w:shd w:fill="F2F4F7"/>
        <w:pBdr>
          <w:left w:val="single" w:sz="16" w:space="8" w:color="A67C00"/>
        </w:pBdr>
        <w:keepLines w:val="1"/>
      </w:pPr>
      <w:r>
        <w:rPr>
          <w:rFonts w:ascii="Calibri" w:hAnsi="Calibri"/>
          <w:b/>
          <w:color w:val="A67C00"/>
          <w:sz w:val="18"/>
        </w:rPr>
        <w:t xml:space="preserve">INFORMATION NEEDED  </w:t>
      </w:r>
      <w:r>
        <w:rPr>
          <w:rFonts w:ascii="Calibri" w:hAnsi="Calibri"/>
          <w:b/>
          <w:color w:val="162236"/>
          <w:sz w:val="22"/>
        </w:rPr>
        <w:t>This case needs one more item before it can move forward. Open the request to see exactly what is missing.</w:t>
      </w:r>
    </w:p>
    <w:p>
      <w:pPr>
        <w:pStyle w:val="Heading2"/>
        <w:spacing w:before="280" w:after="140" w:line="252" w:lineRule="auto"/>
        <w:keepNext w:val="1"/>
        <w:pageBreakBefore w:val="0"/>
      </w:pPr>
      <w:r>
        <w:rPr>
          <w:rFonts w:ascii="Calibri" w:hAnsi="Calibri"/>
          <w:b/>
          <w:color w:val="2E74B5"/>
          <w:sz w:val="26"/>
        </w:rPr>
        <w:t>Portal SEO and privacy boundary</w:t>
      </w:r>
    </w:p>
    <w:p>
      <w:pPr>
        <w:pStyle w:val="ListBullet"/>
        <w:keepLines/>
        <w:spacing w:before="0" w:after="80" w:line="300" w:lineRule="auto"/>
      </w:pPr>
      <w:r>
        <w:rPr>
          <w:rFonts w:ascii="Calibri" w:hAnsi="Calibri"/>
          <w:color w:val="162236"/>
          <w:sz w:val="22"/>
        </w:rPr>
        <w:t>The public Case Portal gateway may be indexed; authenticated account, case, upload, plan, quotation, payment, file and tracking screens must be noindex.</w:t>
      </w:r>
    </w:p>
    <w:p>
      <w:pPr>
        <w:pStyle w:val="ListBullet"/>
        <w:keepLines/>
        <w:spacing w:before="0" w:after="80" w:line="300" w:lineRule="auto"/>
      </w:pPr>
      <w:r>
        <w:rPr>
          <w:rFonts w:ascii="Calibri" w:hAnsi="Calibri"/>
          <w:color w:val="162236"/>
          <w:sz w:val="22"/>
        </w:rPr>
        <w:t>Authentication and authorisation protect clinical data. A robots directive is not a security control.</w:t>
      </w:r>
    </w:p>
    <w:p>
      <w:pPr>
        <w:pStyle w:val="ListBullet"/>
        <w:keepLines/>
        <w:spacing w:before="0" w:after="80" w:line="300" w:lineRule="auto"/>
      </w:pPr>
      <w:r>
        <w:rPr>
          <w:rFonts w:ascii="Calibri" w:hAnsi="Calibri"/>
          <w:color w:val="162236"/>
          <w:sz w:val="22"/>
        </w:rPr>
        <w:t>Do not expose patient names, case identifiers, file URLs, thumbnails or document metadata in public HTML, sitemaps or analytics events.</w:t>
      </w:r>
    </w:p>
    <w:p>
      <w:pPr>
        <w:pStyle w:val="ListBullet"/>
        <w:keepLines/>
        <w:spacing w:before="0" w:after="80" w:line="300" w:lineRule="auto"/>
      </w:pPr>
      <w:r>
        <w:rPr>
          <w:rFonts w:ascii="Calibri" w:hAnsi="Calibri"/>
          <w:color w:val="162236"/>
          <w:sz w:val="22"/>
        </w:rPr>
        <w:t>Use human-readable case reference numbers in the interface while retaining secure internal identifiers in the system.</w:t>
      </w:r>
    </w:p>
    <w:p>
      <w:pPr>
        <w:pStyle w:val="Heading1"/>
        <w:spacing w:before="360" w:after="200" w:line="252" w:lineRule="auto"/>
        <w:keepNext w:val="1"/>
        <w:pageBreakBefore w:val="1"/>
      </w:pPr>
      <w:r>
        <w:rPr>
          <w:rFonts w:ascii="Calibri" w:hAnsi="Calibri"/>
          <w:b/>
          <w:color w:val="2E74B5"/>
          <w:sz w:val="32"/>
        </w:rPr>
        <w:t>9. Evidence and trust system</w:t>
      </w:r>
    </w:p>
    <w:p>
      <w:pPr>
        <w:spacing w:before="0" w:after="120" w:line="300" w:lineRule="auto"/>
        <w:jc w:val="left"/>
      </w:pPr>
      <w:r>
        <w:rPr>
          <w:rFonts w:ascii="Calibri" w:hAnsi="Calibri"/>
          <w:i w:val="0"/>
          <w:color w:val="162236"/>
          <w:sz w:val="22"/>
        </w:rPr>
        <w:t>The strongest content will come from the operation itself. A dentist should see how Image3DConversion thinks, checks, communicates and records approval.</w:t>
      </w:r>
    </w:p>
    <w:p>
      <w:pPr>
        <w:pStyle w:val="Heading2"/>
        <w:spacing w:before="280" w:after="140" w:line="252" w:lineRule="auto"/>
        <w:keepNext w:val="1"/>
        <w:pageBreakBefore w:val="0"/>
      </w:pPr>
      <w:r>
        <w:rPr>
          <w:rFonts w:ascii="Calibri" w:hAnsi="Calibri"/>
          <w:b/>
          <w:color w:val="2E74B5"/>
          <w:sz w:val="26"/>
        </w:rPr>
        <w:t>Proof hierarchy</w:t>
      </w:r>
    </w:p>
    <w:p>
      <w:pPr>
        <w:keepLines/>
        <w:spacing w:before="0" w:after="100" w:line="300" w:lineRule="auto"/>
        <w:numPr>
          <w:ilvl w:val="0"/>
          <w:numId w:val="14"/>
        </w:numPr>
      </w:pPr>
      <w:r>
        <w:rPr>
          <w:rFonts w:ascii="Calibri" w:hAnsi="Calibri"/>
          <w:b/>
          <w:color w:val="162236"/>
          <w:sz w:val="22"/>
        </w:rPr>
        <w:t xml:space="preserve">Case evidence. </w:t>
      </w:r>
      <w:r>
        <w:rPr>
          <w:rFonts w:ascii="Calibri" w:hAnsi="Calibri"/>
          <w:color w:val="162236"/>
          <w:sz w:val="22"/>
        </w:rPr>
        <w:t>Anonymised examples that show the objective, data, planning decision, approval and deliverables.</w:t>
      </w:r>
    </w:p>
    <w:p>
      <w:pPr>
        <w:keepLines/>
        <w:spacing w:before="0" w:after="100" w:line="300" w:lineRule="auto"/>
        <w:numPr>
          <w:ilvl w:val="0"/>
          <w:numId w:val="14"/>
        </w:numPr>
      </w:pPr>
      <w:r>
        <w:rPr>
          <w:rFonts w:ascii="Calibri" w:hAnsi="Calibri"/>
          <w:b/>
          <w:color w:val="162236"/>
          <w:sz w:val="22"/>
        </w:rPr>
        <w:t xml:space="preserve">Process evidence. </w:t>
      </w:r>
      <w:r>
        <w:rPr>
          <w:rFonts w:ascii="Calibri" w:hAnsi="Calibri"/>
          <w:color w:val="162236"/>
          <w:sz w:val="22"/>
        </w:rPr>
        <w:t>Screenshots or diagrams showing validation, revision control and status visibility.</w:t>
      </w:r>
    </w:p>
    <w:p>
      <w:pPr>
        <w:keepLines/>
        <w:spacing w:before="0" w:after="100" w:line="300" w:lineRule="auto"/>
        <w:numPr>
          <w:ilvl w:val="0"/>
          <w:numId w:val="14"/>
        </w:numPr>
      </w:pPr>
      <w:r>
        <w:rPr>
          <w:rFonts w:ascii="Calibri" w:hAnsi="Calibri"/>
          <w:b/>
          <w:color w:val="162236"/>
          <w:sz w:val="22"/>
        </w:rPr>
        <w:t xml:space="preserve">People evidence. </w:t>
      </w:r>
      <w:r>
        <w:rPr>
          <w:rFonts w:ascii="Calibri" w:hAnsi="Calibri"/>
          <w:color w:val="162236"/>
          <w:sz w:val="22"/>
        </w:rPr>
        <w:t>Real technical specialists, clinical reviewers and case coordinators with accurate roles.</w:t>
      </w:r>
    </w:p>
    <w:p>
      <w:pPr>
        <w:keepLines/>
        <w:spacing w:before="0" w:after="100" w:line="300" w:lineRule="auto"/>
        <w:numPr>
          <w:ilvl w:val="0"/>
          <w:numId w:val="14"/>
        </w:numPr>
      </w:pPr>
      <w:r>
        <w:rPr>
          <w:rFonts w:ascii="Calibri" w:hAnsi="Calibri"/>
          <w:b/>
          <w:color w:val="162236"/>
          <w:sz w:val="22"/>
        </w:rPr>
        <w:t xml:space="preserve">Scale evidence. </w:t>
      </w:r>
      <w:r>
        <w:rPr>
          <w:rFonts w:ascii="Calibri" w:hAnsi="Calibri"/>
          <w:color w:val="162236"/>
          <w:sz w:val="22"/>
        </w:rPr>
        <w:t>Verified counts, years, countries, active practices or cases, with a source owner and as-of date.</w:t>
      </w:r>
    </w:p>
    <w:p>
      <w:pPr>
        <w:keepLines/>
        <w:spacing w:before="0" w:after="100" w:line="300" w:lineRule="auto"/>
        <w:numPr>
          <w:ilvl w:val="0"/>
          <w:numId w:val="14"/>
        </w:numPr>
      </w:pPr>
      <w:r>
        <w:rPr>
          <w:rFonts w:ascii="Calibri" w:hAnsi="Calibri"/>
          <w:b/>
          <w:color w:val="162236"/>
          <w:sz w:val="22"/>
        </w:rPr>
        <w:t xml:space="preserve">Partner evidence. </w:t>
      </w:r>
      <w:r>
        <w:rPr>
          <w:rFonts w:ascii="Calibri" w:hAnsi="Calibri"/>
          <w:color w:val="162236"/>
          <w:sz w:val="22"/>
        </w:rPr>
        <w:t>Logo or relationship statements used only with current permission.</w:t>
      </w:r>
    </w:p>
    <w:p>
      <w:pPr>
        <w:keepLines/>
        <w:spacing w:before="0" w:after="100" w:line="300" w:lineRule="auto"/>
        <w:numPr>
          <w:ilvl w:val="0"/>
          <w:numId w:val="14"/>
        </w:numPr>
      </w:pPr>
      <w:r>
        <w:rPr>
          <w:rFonts w:ascii="Calibri" w:hAnsi="Calibri"/>
          <w:b/>
          <w:color w:val="162236"/>
          <w:sz w:val="22"/>
        </w:rPr>
        <w:t xml:space="preserve">Quality evidence. </w:t>
      </w:r>
      <w:r>
        <w:rPr>
          <w:rFonts w:ascii="Calibri" w:hAnsi="Calibri"/>
          <w:color w:val="162236"/>
          <w:sz w:val="22"/>
        </w:rPr>
        <w:t>Documented materials, devices, calibration, production checks and release responsibilities.</w:t>
      </w:r>
    </w:p>
    <w:p>
      <w:pPr>
        <w:pStyle w:val="Heading2"/>
        <w:spacing w:before="280" w:after="140" w:line="252" w:lineRule="auto"/>
        <w:keepNext w:val="1"/>
        <w:pageBreakBefore w:val="0"/>
      </w:pPr>
      <w:r>
        <w:rPr>
          <w:rFonts w:ascii="Calibri" w:hAnsi="Calibri"/>
          <w:b/>
          <w:color w:val="2E74B5"/>
          <w:sz w:val="26"/>
        </w:rPr>
        <w:t>Candidate proof points requiring verification</w:t>
      </w:r>
    </w:p>
    <w:tbl>
      <w:tblPr>
        <w:tblStyle w:val="TableGrid"/>
        <w:tblW w:type="dxa" w:w="9360"/>
        <w:tblLayout w:type="fixed"/>
        <w:tblLook w:firstColumn="1" w:firstRow="1" w:lastColumn="0" w:lastRow="0" w:noHBand="0" w:noVBand="1" w:val="04A0"/>
        <w:jc w:val="left"/>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3000"/>
        <w:gridCol w:w="6360"/>
      </w:tblGrid>
      <w:tr>
        <w:trPr>
          <w:tblHeader w:val="true"/>
          <w:cantSplit/>
        </w:trPr>
        <w:tc>
          <w:tcPr>
            <w:tcW w:type="dxa" w:w="3000"/>
            <w:tcMar>
              <w:top w:w="80" w:type="dxa"/>
              <w:start w:w="120" w:type="dxa"/>
              <w:bottom w:w="80" w:type="dxa"/>
              <w:end w:w="120" w:type="dxa"/>
            </w:tcMar>
            <w:vAlign w:val="center"/>
            <w:shd w:fill="E8EEF5"/>
          </w:tcPr>
          <w:p>
            <w:pPr>
              <w:spacing w:before="0" w:after="0" w:line="264" w:lineRule="auto"/>
            </w:pPr>
            <w:r>
              <w:rPr>
                <w:rFonts w:ascii="Calibri" w:hAnsi="Calibri"/>
                <w:b/>
                <w:color w:val="162236"/>
                <w:sz w:val="18"/>
              </w:rPr>
              <w:t>Candidate claim</w:t>
            </w:r>
          </w:p>
        </w:tc>
        <w:tc>
          <w:tcPr>
            <w:tcW w:type="dxa" w:w="6360"/>
            <w:tcMar>
              <w:top w:w="80" w:type="dxa"/>
              <w:start w:w="120" w:type="dxa"/>
              <w:bottom w:w="80" w:type="dxa"/>
              <w:end w:w="120" w:type="dxa"/>
            </w:tcMar>
            <w:vAlign w:val="center"/>
            <w:shd w:fill="E8EEF5"/>
          </w:tcPr>
          <w:p>
            <w:pPr>
              <w:spacing w:before="0" w:after="0" w:line="264" w:lineRule="auto"/>
            </w:pPr>
            <w:r>
              <w:rPr>
                <w:rFonts w:ascii="Calibri" w:hAnsi="Calibri"/>
                <w:b/>
                <w:color w:val="162236"/>
                <w:sz w:val="18"/>
              </w:rPr>
              <w:t>Publication requirement</w:t>
            </w:r>
          </w:p>
        </w:tc>
      </w:tr>
      <w:tr>
        <w:trPr>
          <w:cantSplit/>
        </w:trPr>
        <w:tc>
          <w:tcPr>
            <w:tcW w:type="dxa" w:w="3000"/>
            <w:vAlign w:val="center"/>
            <w:tcMar>
              <w:top w:w="80" w:type="dxa"/>
              <w:start w:w="120" w:type="dxa"/>
              <w:bottom w:w="80" w:type="dxa"/>
              <w:end w:w="120" w:type="dxa"/>
            </w:tcMar>
          </w:tcPr>
          <w:p>
            <w:pPr>
              <w:spacing w:before="0" w:after="0" w:line="271" w:lineRule="auto"/>
            </w:pPr>
            <w:r>
              <w:rPr>
                <w:rFonts w:ascii="Calibri" w:hAnsi="Calibri"/>
                <w:color w:val="162236"/>
                <w:sz w:val="18"/>
              </w:rPr>
              <w:t>50,000+ cases delivered</w:t>
            </w:r>
          </w:p>
        </w:tc>
        <w:tc>
          <w:tcPr>
            <w:tcW w:type="dxa" w:w="6360"/>
            <w:vAlign w:val="center"/>
            <w:tcMar>
              <w:top w:w="80" w:type="dxa"/>
              <w:start w:w="120" w:type="dxa"/>
              <w:bottom w:w="80" w:type="dxa"/>
              <w:end w:w="120" w:type="dxa"/>
            </w:tcMar>
          </w:tcPr>
          <w:p>
            <w:pPr>
              <w:spacing w:before="0" w:after="0" w:line="271" w:lineRule="auto"/>
            </w:pPr>
            <w:r>
              <w:rPr>
                <w:rFonts w:ascii="Calibri" w:hAnsi="Calibri"/>
                <w:color w:val="162236"/>
                <w:sz w:val="18"/>
              </w:rPr>
              <w:t>Define case, source the count and add an as-of date.</w:t>
            </w:r>
          </w:p>
        </w:tc>
      </w:tr>
      <w:tr>
        <w:trPr>
          <w:cantSplit/>
        </w:trPr>
        <w:tc>
          <w:tcPr>
            <w:tcW w:type="dxa" w:w="3000"/>
            <w:vAlign w:val="center"/>
            <w:tcMar>
              <w:top w:w="80" w:type="dxa"/>
              <w:start w:w="120" w:type="dxa"/>
              <w:bottom w:w="80" w:type="dxa"/>
              <w:end w:w="120" w:type="dxa"/>
            </w:tcMar>
          </w:tcPr>
          <w:p>
            <w:pPr>
              <w:spacing w:before="0" w:after="0" w:line="271" w:lineRule="auto"/>
            </w:pPr>
            <w:r>
              <w:rPr>
                <w:rFonts w:ascii="Calibri" w:hAnsi="Calibri"/>
                <w:color w:val="162236"/>
                <w:sz w:val="18"/>
              </w:rPr>
              <w:t>5,000+ dentists trained</w:t>
            </w:r>
          </w:p>
        </w:tc>
        <w:tc>
          <w:tcPr>
            <w:tcW w:type="dxa" w:w="6360"/>
            <w:vAlign w:val="center"/>
            <w:tcMar>
              <w:top w:w="80" w:type="dxa"/>
              <w:start w:w="120" w:type="dxa"/>
              <w:bottom w:w="80" w:type="dxa"/>
              <w:end w:w="120" w:type="dxa"/>
            </w:tcMar>
          </w:tcPr>
          <w:p>
            <w:pPr>
              <w:spacing w:before="0" w:after="0" w:line="271" w:lineRule="auto"/>
            </w:pPr>
            <w:r>
              <w:rPr>
                <w:rFonts w:ascii="Calibri" w:hAnsi="Calibri"/>
                <w:color w:val="162236"/>
                <w:sz w:val="18"/>
              </w:rPr>
              <w:t>Keep primarily on PaulSudeep.com; publish on I3DC only if relevant and sourced.</w:t>
            </w:r>
          </w:p>
        </w:tc>
      </w:tr>
      <w:tr>
        <w:trPr>
          <w:cantSplit/>
        </w:trPr>
        <w:tc>
          <w:tcPr>
            <w:tcW w:type="dxa" w:w="3000"/>
            <w:vAlign w:val="center"/>
            <w:tcMar>
              <w:top w:w="80" w:type="dxa"/>
              <w:start w:w="120" w:type="dxa"/>
              <w:bottom w:w="80" w:type="dxa"/>
              <w:end w:w="120" w:type="dxa"/>
            </w:tcMar>
          </w:tcPr>
          <w:p>
            <w:pPr>
              <w:spacing w:before="0" w:after="0" w:line="271" w:lineRule="auto"/>
            </w:pPr>
            <w:r>
              <w:rPr>
                <w:rFonts w:ascii="Calibri" w:hAnsi="Calibri"/>
                <w:color w:val="162236"/>
                <w:sz w:val="18"/>
              </w:rPr>
              <w:t>300+ active users</w:t>
            </w:r>
          </w:p>
        </w:tc>
        <w:tc>
          <w:tcPr>
            <w:tcW w:type="dxa" w:w="6360"/>
            <w:vAlign w:val="center"/>
            <w:tcMar>
              <w:top w:w="80" w:type="dxa"/>
              <w:start w:w="120" w:type="dxa"/>
              <w:bottom w:w="80" w:type="dxa"/>
              <w:end w:w="120" w:type="dxa"/>
            </w:tcMar>
          </w:tcPr>
          <w:p>
            <w:pPr>
              <w:spacing w:before="0" w:after="0" w:line="271" w:lineRule="auto"/>
            </w:pPr>
            <w:r>
              <w:rPr>
                <w:rFonts w:ascii="Calibri" w:hAnsi="Calibri"/>
                <w:color w:val="162236"/>
                <w:sz w:val="18"/>
              </w:rPr>
              <w:t>Define active period and system of record.</w:t>
            </w:r>
          </w:p>
        </w:tc>
      </w:tr>
      <w:tr>
        <w:trPr>
          <w:cantSplit/>
        </w:trPr>
        <w:tc>
          <w:tcPr>
            <w:tcW w:type="dxa" w:w="3000"/>
            <w:vAlign w:val="center"/>
            <w:tcMar>
              <w:top w:w="80" w:type="dxa"/>
              <w:start w:w="120" w:type="dxa"/>
              <w:bottom w:w="80" w:type="dxa"/>
              <w:end w:w="120" w:type="dxa"/>
            </w:tcMar>
          </w:tcPr>
          <w:p>
            <w:pPr>
              <w:spacing w:before="0" w:after="0" w:line="271" w:lineRule="auto"/>
            </w:pPr>
            <w:r>
              <w:rPr>
                <w:rFonts w:ascii="Calibri" w:hAnsi="Calibri"/>
                <w:color w:val="162236"/>
                <w:sz w:val="18"/>
              </w:rPr>
              <w:t>17–18+ years of experience</w:t>
            </w:r>
          </w:p>
        </w:tc>
        <w:tc>
          <w:tcPr>
            <w:tcW w:type="dxa" w:w="6360"/>
            <w:vAlign w:val="center"/>
            <w:tcMar>
              <w:top w:w="80" w:type="dxa"/>
              <w:start w:w="120" w:type="dxa"/>
              <w:bottom w:w="80" w:type="dxa"/>
              <w:end w:w="120" w:type="dxa"/>
            </w:tcMar>
          </w:tcPr>
          <w:p>
            <w:pPr>
              <w:spacing w:before="0" w:after="0" w:line="271" w:lineRule="auto"/>
            </w:pPr>
            <w:r>
              <w:rPr>
                <w:rFonts w:ascii="Calibri" w:hAnsi="Calibri"/>
                <w:color w:val="162236"/>
                <w:sz w:val="18"/>
              </w:rPr>
              <w:t>Clarify whether this refers to Sudeep Paul, the team or the company.</w:t>
            </w:r>
          </w:p>
        </w:tc>
      </w:tr>
      <w:tr>
        <w:trPr>
          <w:cantSplit/>
        </w:trPr>
        <w:tc>
          <w:tcPr>
            <w:tcW w:type="dxa" w:w="3000"/>
            <w:vAlign w:val="center"/>
            <w:tcMar>
              <w:top w:w="80" w:type="dxa"/>
              <w:start w:w="120" w:type="dxa"/>
              <w:bottom w:w="80" w:type="dxa"/>
              <w:end w:w="120" w:type="dxa"/>
            </w:tcMar>
          </w:tcPr>
          <w:p>
            <w:pPr>
              <w:spacing w:before="0" w:after="0" w:line="271" w:lineRule="auto"/>
            </w:pPr>
            <w:r>
              <w:rPr>
                <w:rFonts w:ascii="Calibri" w:hAnsi="Calibri"/>
                <w:color w:val="162236"/>
                <w:sz w:val="18"/>
              </w:rPr>
              <w:t>Global service reach</w:t>
            </w:r>
          </w:p>
        </w:tc>
        <w:tc>
          <w:tcPr>
            <w:tcW w:type="dxa" w:w="6360"/>
            <w:vAlign w:val="center"/>
            <w:tcMar>
              <w:top w:w="80" w:type="dxa"/>
              <w:start w:w="120" w:type="dxa"/>
              <w:bottom w:w="80" w:type="dxa"/>
              <w:end w:w="120" w:type="dxa"/>
            </w:tcMar>
          </w:tcPr>
          <w:p>
            <w:pPr>
              <w:spacing w:before="0" w:after="0" w:line="271" w:lineRule="auto"/>
            </w:pPr>
            <w:r>
              <w:rPr>
                <w:rFonts w:ascii="Calibri" w:hAnsi="Calibri"/>
                <w:color w:val="162236"/>
                <w:sz w:val="18"/>
              </w:rPr>
              <w:t>Name served regions only where fulfilment and regulatory handling are current.</w:t>
            </w:r>
          </w:p>
        </w:tc>
      </w:tr>
      <w:tr>
        <w:trPr>
          <w:cantSplit/>
        </w:trPr>
        <w:tc>
          <w:tcPr>
            <w:tcW w:type="dxa" w:w="3000"/>
            <w:vAlign w:val="center"/>
            <w:tcMar>
              <w:top w:w="80" w:type="dxa"/>
              <w:start w:w="120" w:type="dxa"/>
              <w:bottom w:w="80" w:type="dxa"/>
              <w:end w:w="120" w:type="dxa"/>
            </w:tcMar>
          </w:tcPr>
          <w:p>
            <w:pPr>
              <w:spacing w:before="0" w:after="0" w:line="271" w:lineRule="auto"/>
            </w:pPr>
            <w:r>
              <w:rPr>
                <w:rFonts w:ascii="Calibri" w:hAnsi="Calibri"/>
                <w:color w:val="162236"/>
                <w:sz w:val="18"/>
              </w:rPr>
              <w:t>24–72 hour delivery</w:t>
            </w:r>
          </w:p>
        </w:tc>
        <w:tc>
          <w:tcPr>
            <w:tcW w:type="dxa" w:w="6360"/>
            <w:vAlign w:val="center"/>
            <w:tcMar>
              <w:top w:w="80" w:type="dxa"/>
              <w:start w:w="120" w:type="dxa"/>
              <w:bottom w:w="80" w:type="dxa"/>
              <w:end w:w="120" w:type="dxa"/>
            </w:tcMar>
          </w:tcPr>
          <w:p>
            <w:pPr>
              <w:spacing w:before="0" w:after="0" w:line="271" w:lineRule="auto"/>
            </w:pPr>
            <w:r>
              <w:rPr>
                <w:rFonts w:ascii="Calibri" w:hAnsi="Calibri"/>
                <w:color w:val="162236"/>
                <w:sz w:val="18"/>
              </w:rPr>
              <w:t>Specify eligible design scope, start point, data-completeness condition and exclusions.</w:t>
            </w:r>
          </w:p>
        </w:tc>
      </w:tr>
      <w:tr>
        <w:trPr>
          <w:cantSplit/>
        </w:trPr>
        <w:tc>
          <w:tcPr>
            <w:tcW w:type="dxa" w:w="3000"/>
            <w:vAlign w:val="center"/>
            <w:tcMar>
              <w:top w:w="80" w:type="dxa"/>
              <w:start w:w="120" w:type="dxa"/>
              <w:bottom w:w="80" w:type="dxa"/>
              <w:end w:w="120" w:type="dxa"/>
            </w:tcMar>
          </w:tcPr>
          <w:p>
            <w:pPr>
              <w:spacing w:before="0" w:after="0" w:line="271" w:lineRule="auto"/>
            </w:pPr>
            <w:r>
              <w:rPr>
                <w:rFonts w:ascii="Calibri" w:hAnsi="Calibri"/>
                <w:color w:val="162236"/>
                <w:sz w:val="18"/>
              </w:rPr>
              <w:t>Implant-system compatibility</w:t>
            </w:r>
          </w:p>
        </w:tc>
        <w:tc>
          <w:tcPr>
            <w:tcW w:type="dxa" w:w="6360"/>
            <w:vAlign w:val="center"/>
            <w:tcMar>
              <w:top w:w="80" w:type="dxa"/>
              <w:start w:w="120" w:type="dxa"/>
              <w:bottom w:w="80" w:type="dxa"/>
              <w:end w:w="120" w:type="dxa"/>
            </w:tcMar>
          </w:tcPr>
          <w:p>
            <w:pPr>
              <w:spacing w:before="0" w:after="0" w:line="271" w:lineRule="auto"/>
            </w:pPr>
            <w:r>
              <w:rPr>
                <w:rFonts w:ascii="Calibri" w:hAnsi="Calibri"/>
                <w:color w:val="162236"/>
                <w:sz w:val="18"/>
              </w:rPr>
              <w:t>Maintain a reviewed compatibility matrix by library, kit and workflow.</w:t>
            </w:r>
          </w:p>
        </w:tc>
      </w:tr>
    </w:tbl>
    <w:p>
      <w:pPr>
        <w:spacing w:after="60"/>
      </w:pPr>
    </w:p>
    <w:p>
      <w:pPr>
        <w:spacing w:before="100" w:after="180" w:line="300" w:lineRule="auto"/>
        <w:ind w:left="202" w:right="144"/>
        <w:shd w:fill="FFF8E8"/>
        <w:pBdr>
          <w:left w:val="single" w:sz="16" w:space="8" w:color="A67C00"/>
        </w:pBdr>
        <w:keepLines w:val="1"/>
      </w:pPr>
      <w:r>
        <w:rPr>
          <w:rFonts w:ascii="Calibri" w:hAnsi="Calibri"/>
          <w:b/>
          <w:color w:val="A67C00"/>
          <w:sz w:val="18"/>
        </w:rPr>
        <w:t xml:space="preserve">PUBLISHING GATE  </w:t>
      </w:r>
      <w:r>
        <w:rPr>
          <w:rFonts w:ascii="Calibri" w:hAnsi="Calibri"/>
          <w:b/>
          <w:color w:val="162236"/>
          <w:sz w:val="22"/>
        </w:rPr>
        <w:t>No number enters homepage copy until its definition, evidence source, owner and review date are recorded.</w:t>
      </w:r>
    </w:p>
    <w:p>
      <w:pPr>
        <w:pStyle w:val="Heading1"/>
        <w:spacing w:before="360" w:after="200" w:line="252" w:lineRule="auto"/>
        <w:keepNext w:val="1"/>
        <w:pageBreakBefore w:val="1"/>
      </w:pPr>
      <w:r>
        <w:rPr>
          <w:rFonts w:ascii="Calibri" w:hAnsi="Calibri"/>
          <w:b/>
          <w:color w:val="2E74B5"/>
          <w:sz w:val="32"/>
        </w:rPr>
        <w:t>10. Technical SEO and search governance</w:t>
      </w:r>
    </w:p>
    <w:p>
      <w:pPr>
        <w:pStyle w:val="Heading2"/>
        <w:spacing w:before="280" w:after="140" w:line="252" w:lineRule="auto"/>
        <w:keepNext w:val="1"/>
        <w:pageBreakBefore w:val="0"/>
      </w:pPr>
      <w:r>
        <w:rPr>
          <w:rFonts w:ascii="Calibri" w:hAnsi="Calibri"/>
          <w:b/>
          <w:color w:val="2E74B5"/>
          <w:sz w:val="26"/>
        </w:rPr>
        <w:t>Indexing architecture</w:t>
      </w:r>
    </w:p>
    <w:p>
      <w:pPr>
        <w:pStyle w:val="ListBullet"/>
        <w:keepLines/>
        <w:spacing w:before="0" w:after="80" w:line="300" w:lineRule="auto"/>
      </w:pPr>
      <w:r>
        <w:rPr>
          <w:rFonts w:ascii="Calibri" w:hAnsi="Calibri"/>
          <w:color w:val="162236"/>
          <w:sz w:val="22"/>
        </w:rPr>
        <w:t>Server-render or pre-render all public marketing content so titles, headings, links and core text are present in crawlable HTML.</w:t>
      </w:r>
    </w:p>
    <w:p>
      <w:pPr>
        <w:pStyle w:val="ListBullet"/>
        <w:keepLines/>
        <w:spacing w:before="0" w:after="80" w:line="300" w:lineRule="auto"/>
      </w:pPr>
      <w:r>
        <w:rPr>
          <w:rFonts w:ascii="Calibri" w:hAnsi="Calibri"/>
          <w:color w:val="162236"/>
          <w:sz w:val="22"/>
        </w:rPr>
        <w:t>Use one canonical URL per page, lower-case hyphenated slugs and one consistent trailing-slash policy.</w:t>
      </w:r>
    </w:p>
    <w:p>
      <w:pPr>
        <w:pStyle w:val="ListBullet"/>
        <w:keepLines/>
        <w:spacing w:before="0" w:after="80" w:line="300" w:lineRule="auto"/>
      </w:pPr>
      <w:r>
        <w:rPr>
          <w:rFonts w:ascii="Calibri" w:hAnsi="Calibri"/>
          <w:color w:val="162236"/>
          <w:sz w:val="22"/>
        </w:rPr>
        <w:t>Submit only indexable public pages in the XML sitemap.</w:t>
      </w:r>
    </w:p>
    <w:p>
      <w:pPr>
        <w:pStyle w:val="ListBullet"/>
        <w:keepLines/>
        <w:spacing w:before="0" w:after="80" w:line="300" w:lineRule="auto"/>
      </w:pPr>
      <w:r>
        <w:rPr>
          <w:rFonts w:ascii="Calibri" w:hAnsi="Calibri"/>
          <w:color w:val="162236"/>
          <w:sz w:val="22"/>
        </w:rPr>
        <w:t>Noindex portal application screens, internal search, test environments, duplicate filters and temporary campaign variants.</w:t>
      </w:r>
    </w:p>
    <w:p>
      <w:pPr>
        <w:pStyle w:val="ListBullet"/>
        <w:keepLines/>
        <w:spacing w:before="0" w:after="80" w:line="300" w:lineRule="auto"/>
      </w:pPr>
      <w:r>
        <w:rPr>
          <w:rFonts w:ascii="Calibri" w:hAnsi="Calibri"/>
          <w:color w:val="162236"/>
          <w:sz w:val="22"/>
        </w:rPr>
        <w:t>Use 301 redirects for retired URLs; never delete a ranking page without a mapped destination.</w:t>
      </w:r>
    </w:p>
    <w:p>
      <w:pPr>
        <w:pStyle w:val="ListBullet"/>
        <w:keepLines/>
        <w:spacing w:before="0" w:after="80" w:line="300" w:lineRule="auto"/>
      </w:pPr>
      <w:r>
        <w:rPr>
          <w:rFonts w:ascii="Calibri" w:hAnsi="Calibri"/>
          <w:color w:val="162236"/>
          <w:sz w:val="22"/>
        </w:rPr>
        <w:t>Keep the legal company name, brand spelling, address and contact details consistent. Use “Image3DConversion” as the public brand form.</w:t>
      </w:r>
    </w:p>
    <w:p>
      <w:pPr>
        <w:pStyle w:val="Heading2"/>
        <w:spacing w:before="280" w:after="140" w:line="252" w:lineRule="auto"/>
        <w:keepNext w:val="1"/>
        <w:pageBreakBefore w:val="0"/>
      </w:pPr>
      <w:r>
        <w:rPr>
          <w:rFonts w:ascii="Calibri" w:hAnsi="Calibri"/>
          <w:b/>
          <w:color w:val="2E74B5"/>
          <w:sz w:val="26"/>
        </w:rPr>
        <w:t>On-page structure</w:t>
      </w:r>
    </w:p>
    <w:p>
      <w:pPr>
        <w:pStyle w:val="ListBullet"/>
        <w:keepLines/>
        <w:spacing w:before="0" w:after="80" w:line="300" w:lineRule="auto"/>
      </w:pPr>
      <w:r>
        <w:rPr>
          <w:rFonts w:ascii="Calibri" w:hAnsi="Calibri"/>
          <w:color w:val="162236"/>
          <w:sz w:val="22"/>
        </w:rPr>
        <w:t>One descriptive SEO title, one H1 and a short opening that confirms the page subject.</w:t>
      </w:r>
    </w:p>
    <w:p>
      <w:pPr>
        <w:pStyle w:val="ListBullet"/>
        <w:keepLines/>
        <w:spacing w:before="0" w:after="80" w:line="300" w:lineRule="auto"/>
      </w:pPr>
      <w:r>
        <w:rPr>
          <w:rFonts w:ascii="Calibri" w:hAnsi="Calibri"/>
          <w:color w:val="162236"/>
          <w:sz w:val="22"/>
        </w:rPr>
        <w:t>H2s should follow the dentist’s questions: fit, inputs, checks, review, deliverables and next action.</w:t>
      </w:r>
    </w:p>
    <w:p>
      <w:pPr>
        <w:pStyle w:val="ListBullet"/>
        <w:keepLines/>
        <w:spacing w:before="0" w:after="80" w:line="300" w:lineRule="auto"/>
      </w:pPr>
      <w:r>
        <w:rPr>
          <w:rFonts w:ascii="Calibri" w:hAnsi="Calibri"/>
          <w:color w:val="162236"/>
          <w:sz w:val="22"/>
        </w:rPr>
        <w:t>Place relevant FAQs on the solution page where the question occurs; do not create dozens of thin FAQ URLs.</w:t>
      </w:r>
    </w:p>
    <w:p>
      <w:pPr>
        <w:pStyle w:val="ListBullet"/>
        <w:keepLines/>
        <w:spacing w:before="0" w:after="80" w:line="300" w:lineRule="auto"/>
      </w:pPr>
      <w:r>
        <w:rPr>
          <w:rFonts w:ascii="Calibri" w:hAnsi="Calibri"/>
          <w:color w:val="162236"/>
          <w:sz w:val="22"/>
        </w:rPr>
        <w:t>Link each solution to its requirements, relevant evidence, how-it-works page and secure case action.</w:t>
      </w:r>
    </w:p>
    <w:p>
      <w:pPr>
        <w:pStyle w:val="ListBullet"/>
        <w:keepLines/>
        <w:spacing w:before="0" w:after="80" w:line="300" w:lineRule="auto"/>
      </w:pPr>
      <w:r>
        <w:rPr>
          <w:rFonts w:ascii="Calibri" w:hAnsi="Calibri"/>
          <w:color w:val="162236"/>
          <w:sz w:val="22"/>
        </w:rPr>
        <w:t>Use descriptive image filenames, factual alt text and captions that explain the workflow shown.</w:t>
      </w:r>
    </w:p>
    <w:p>
      <w:pPr>
        <w:pStyle w:val="Heading2"/>
        <w:spacing w:before="280" w:after="140" w:line="252" w:lineRule="auto"/>
        <w:keepNext w:val="1"/>
        <w:pageBreakBefore w:val="0"/>
      </w:pPr>
      <w:r>
        <w:rPr>
          <w:rFonts w:ascii="Calibri" w:hAnsi="Calibri"/>
          <w:b/>
          <w:color w:val="2E74B5"/>
          <w:sz w:val="26"/>
        </w:rPr>
        <w:t>Structured data</w:t>
      </w:r>
    </w:p>
    <w:p>
      <w:pPr>
        <w:pStyle w:val="ListBullet"/>
        <w:keepLines/>
        <w:spacing w:before="0" w:after="80" w:line="300" w:lineRule="auto"/>
      </w:pPr>
      <w:r>
        <w:rPr>
          <w:rFonts w:ascii="Calibri" w:hAnsi="Calibri"/>
          <w:color w:val="162236"/>
          <w:sz w:val="22"/>
        </w:rPr>
        <w:t>Organisation and WebSite markup on the site identity layer.</w:t>
      </w:r>
    </w:p>
    <w:p>
      <w:pPr>
        <w:pStyle w:val="ListBullet"/>
        <w:keepLines/>
        <w:spacing w:before="0" w:after="80" w:line="300" w:lineRule="auto"/>
      </w:pPr>
      <w:r>
        <w:rPr>
          <w:rFonts w:ascii="Calibri" w:hAnsi="Calibri"/>
          <w:color w:val="162236"/>
          <w:sz w:val="22"/>
        </w:rPr>
        <w:t>BreadcrumbList on internal public pages.</w:t>
      </w:r>
    </w:p>
    <w:p>
      <w:pPr>
        <w:pStyle w:val="ListBullet"/>
        <w:keepLines/>
        <w:spacing w:before="0" w:after="80" w:line="300" w:lineRule="auto"/>
      </w:pPr>
      <w:r>
        <w:rPr>
          <w:rFonts w:ascii="Calibri" w:hAnsi="Calibri"/>
          <w:color w:val="162236"/>
          <w:sz w:val="22"/>
        </w:rPr>
        <w:t>Service markup only where the visible page accurately describes the service.</w:t>
      </w:r>
    </w:p>
    <w:p>
      <w:pPr>
        <w:pStyle w:val="ListBullet"/>
        <w:keepLines/>
        <w:spacing w:before="0" w:after="80" w:line="300" w:lineRule="auto"/>
      </w:pPr>
      <w:r>
        <w:rPr>
          <w:rFonts w:ascii="Calibri" w:hAnsi="Calibri"/>
          <w:color w:val="162236"/>
          <w:sz w:val="22"/>
        </w:rPr>
        <w:t>FAQPage markup only for visible, genuine FAQs and only where current search guidelines allow it.</w:t>
      </w:r>
    </w:p>
    <w:p>
      <w:pPr>
        <w:pStyle w:val="ListBullet"/>
        <w:keepLines/>
        <w:spacing w:before="0" w:after="80" w:line="300" w:lineRule="auto"/>
      </w:pPr>
      <w:r>
        <w:rPr>
          <w:rFonts w:ascii="Calibri" w:hAnsi="Calibri"/>
          <w:color w:val="162236"/>
          <w:sz w:val="22"/>
        </w:rPr>
        <w:t>Do not mark Image3DConversion as a dental clinic if it does not treat patients.</w:t>
      </w:r>
    </w:p>
    <w:p>
      <w:pPr>
        <w:pStyle w:val="Heading2"/>
        <w:spacing w:before="280" w:after="140" w:line="252" w:lineRule="auto"/>
        <w:keepNext w:val="1"/>
        <w:pageBreakBefore w:val="0"/>
      </w:pPr>
      <w:r>
        <w:rPr>
          <w:rFonts w:ascii="Calibri" w:hAnsi="Calibri"/>
          <w:b/>
          <w:color w:val="2E74B5"/>
          <w:sz w:val="26"/>
        </w:rPr>
        <w:t>Performance and mobile</w:t>
      </w:r>
    </w:p>
    <w:p>
      <w:pPr>
        <w:pStyle w:val="ListBullet"/>
        <w:keepLines/>
        <w:spacing w:before="0" w:after="80" w:line="300" w:lineRule="auto"/>
      </w:pPr>
      <w:r>
        <w:rPr>
          <w:rFonts w:ascii="Calibri" w:hAnsi="Calibri"/>
          <w:color w:val="162236"/>
          <w:sz w:val="22"/>
        </w:rPr>
        <w:t>Design mobile-first; the full decision path and all important text must be present on mobile.</w:t>
      </w:r>
    </w:p>
    <w:p>
      <w:pPr>
        <w:pStyle w:val="ListBullet"/>
        <w:keepLines/>
        <w:spacing w:before="0" w:after="80" w:line="300" w:lineRule="auto"/>
      </w:pPr>
      <w:r>
        <w:rPr>
          <w:rFonts w:ascii="Calibri" w:hAnsi="Calibri"/>
          <w:color w:val="162236"/>
          <w:sz w:val="22"/>
        </w:rPr>
        <w:t>Use responsive WebP or AVIF images, explicit width and height, lazy loading below the fold and restrained video embeds.</w:t>
      </w:r>
    </w:p>
    <w:p>
      <w:pPr>
        <w:pStyle w:val="ListBullet"/>
        <w:keepLines/>
        <w:spacing w:before="0" w:after="80" w:line="300" w:lineRule="auto"/>
      </w:pPr>
      <w:r>
        <w:rPr>
          <w:rFonts w:ascii="Calibri" w:hAnsi="Calibri"/>
          <w:color w:val="162236"/>
          <w:sz w:val="22"/>
        </w:rPr>
        <w:t>Protect Core Web Vitals by limiting animation, third-party scripts and heavy hero media.</w:t>
      </w:r>
    </w:p>
    <w:p>
      <w:pPr>
        <w:pStyle w:val="ListBullet"/>
        <w:keepLines/>
        <w:spacing w:before="0" w:after="80" w:line="300" w:lineRule="auto"/>
      </w:pPr>
      <w:r>
        <w:rPr>
          <w:rFonts w:ascii="Calibri" w:hAnsi="Calibri"/>
          <w:color w:val="162236"/>
          <w:sz w:val="22"/>
        </w:rPr>
        <w:t>Keep the secure portal visually related to the website but operationally optimised for clarity and speed.</w:t>
      </w:r>
    </w:p>
    <w:p>
      <w:pPr>
        <w:pStyle w:val="Heading2"/>
        <w:spacing w:before="280" w:after="140" w:line="252" w:lineRule="auto"/>
        <w:keepNext w:val="1"/>
        <w:pageBreakBefore w:val="0"/>
      </w:pPr>
      <w:r>
        <w:rPr>
          <w:rFonts w:ascii="Calibri" w:hAnsi="Calibri"/>
          <w:b/>
          <w:color w:val="2E74B5"/>
          <w:sz w:val="26"/>
        </w:rPr>
        <w:t>International search</w:t>
      </w:r>
    </w:p>
    <w:p>
      <w:pPr>
        <w:pStyle w:val="ListBullet"/>
        <w:keepLines/>
        <w:spacing w:before="0" w:after="80" w:line="300" w:lineRule="auto"/>
      </w:pPr>
      <w:r>
        <w:rPr>
          <w:rFonts w:ascii="Calibri" w:hAnsi="Calibri"/>
          <w:color w:val="162236"/>
          <w:sz w:val="22"/>
        </w:rPr>
        <w:t>Do not create duplicate country pages that repeat the same English copy.</w:t>
      </w:r>
    </w:p>
    <w:p>
      <w:pPr>
        <w:pStyle w:val="ListBullet"/>
        <w:keepLines/>
        <w:spacing w:before="0" w:after="80" w:line="300" w:lineRule="auto"/>
      </w:pPr>
      <w:r>
        <w:rPr>
          <w:rFonts w:ascii="Calibri" w:hAnsi="Calibri"/>
          <w:color w:val="162236"/>
          <w:sz w:val="22"/>
        </w:rPr>
        <w:t>Create a regional page only when prices, shipping, compliance, contact routes or workflow genuinely differ.</w:t>
      </w:r>
    </w:p>
    <w:p>
      <w:pPr>
        <w:pStyle w:val="ListBullet"/>
        <w:keepLines/>
        <w:spacing w:before="0" w:after="80" w:line="300" w:lineRule="auto"/>
      </w:pPr>
      <w:r>
        <w:rPr>
          <w:rFonts w:ascii="Calibri" w:hAnsi="Calibri"/>
          <w:color w:val="162236"/>
          <w:sz w:val="22"/>
        </w:rPr>
        <w:t>Use hreflang only when distinct regional or language versions exist and can be maintained.</w:t>
      </w:r>
    </w:p>
    <w:p>
      <w:pPr>
        <w:pStyle w:val="ListBullet"/>
        <w:keepLines/>
        <w:spacing w:before="0" w:after="80" w:line="300" w:lineRule="auto"/>
      </w:pPr>
      <w:r>
        <w:rPr>
          <w:rFonts w:ascii="Calibri" w:hAnsi="Calibri"/>
          <w:color w:val="162236"/>
          <w:sz w:val="22"/>
        </w:rPr>
        <w:t>Allow users to choose India or Global workflow terms without hiding core content through automatic geolocation.</w:t>
      </w:r>
    </w:p>
    <w:p>
      <w:pPr>
        <w:pStyle w:val="Heading1"/>
        <w:spacing w:before="360" w:after="200" w:line="252" w:lineRule="auto"/>
        <w:keepNext w:val="1"/>
        <w:pageBreakBefore w:val="0"/>
      </w:pPr>
      <w:r>
        <w:rPr>
          <w:rFonts w:ascii="Calibri" w:hAnsi="Calibri"/>
          <w:b/>
          <w:color w:val="2E74B5"/>
          <w:sz w:val="32"/>
        </w:rPr>
        <w:t>11. A small, credible content programme</w:t>
      </w:r>
    </w:p>
    <w:p>
      <w:pPr>
        <w:spacing w:before="0" w:after="120" w:line="300" w:lineRule="auto"/>
        <w:jc w:val="left"/>
      </w:pPr>
      <w:r>
        <w:rPr>
          <w:rFonts w:ascii="Calibri" w:hAnsi="Calibri"/>
          <w:i w:val="0"/>
          <w:color w:val="162236"/>
          <w:sz w:val="22"/>
        </w:rPr>
        <w:t>The site does not need a content factory. It needs a small set of practical pages that answer questions the case team already receives.</w:t>
      </w:r>
    </w:p>
    <w:p>
      <w:pPr>
        <w:pStyle w:val="Heading2"/>
        <w:spacing w:before="280" w:after="140" w:line="252" w:lineRule="auto"/>
        <w:keepNext w:val="1"/>
        <w:pageBreakBefore w:val="0"/>
      </w:pPr>
      <w:r>
        <w:rPr>
          <w:rFonts w:ascii="Calibri" w:hAnsi="Calibri"/>
          <w:b/>
          <w:color w:val="2E74B5"/>
          <w:sz w:val="26"/>
        </w:rPr>
        <w:t>Workflow Notes, not a blog portal</w:t>
      </w:r>
    </w:p>
    <w:p>
      <w:pPr>
        <w:pStyle w:val="ListBullet"/>
        <w:keepLines/>
        <w:spacing w:before="0" w:after="80" w:line="300" w:lineRule="auto"/>
      </w:pPr>
      <w:r>
        <w:rPr>
          <w:rFonts w:ascii="Calibri" w:hAnsi="Calibri"/>
          <w:color w:val="162236"/>
          <w:sz w:val="22"/>
        </w:rPr>
        <w:t>Publish six to twelve substantial notes per year, only when there is real case experience, a protocol update or a useful explanation.</w:t>
      </w:r>
    </w:p>
    <w:p>
      <w:pPr>
        <w:pStyle w:val="ListBullet"/>
        <w:keepLines/>
        <w:spacing w:before="0" w:after="80" w:line="300" w:lineRule="auto"/>
      </w:pPr>
      <w:r>
        <w:rPr>
          <w:rFonts w:ascii="Calibri" w:hAnsi="Calibri"/>
          <w:color w:val="162236"/>
          <w:sz w:val="22"/>
        </w:rPr>
        <w:t>Each note should have a named author or reviewer, a review date, real images or diagrams where possible and links to the relevant service page.</w:t>
      </w:r>
    </w:p>
    <w:p>
      <w:pPr>
        <w:pStyle w:val="ListBullet"/>
        <w:keepLines/>
        <w:spacing w:before="0" w:after="80" w:line="300" w:lineRule="auto"/>
      </w:pPr>
      <w:r>
        <w:rPr>
          <w:rFonts w:ascii="Calibri" w:hAnsi="Calibri"/>
          <w:color w:val="162236"/>
          <w:sz w:val="22"/>
        </w:rPr>
        <w:t>Do not publish generic trend pieces, rewritten definitions or city-keyword pages without local substance.</w:t>
      </w:r>
    </w:p>
    <w:p>
      <w:pPr>
        <w:pStyle w:val="Heading2"/>
        <w:spacing w:before="280" w:after="140" w:line="252" w:lineRule="auto"/>
        <w:keepNext w:val="1"/>
        <w:pageBreakBefore w:val="0"/>
      </w:pPr>
      <w:r>
        <w:rPr>
          <w:rFonts w:ascii="Calibri" w:hAnsi="Calibri"/>
          <w:b/>
          <w:color w:val="2E74B5"/>
          <w:sz w:val="26"/>
        </w:rPr>
        <w:t>Initial evergreen notes</w:t>
      </w:r>
    </w:p>
    <w:p>
      <w:pPr>
        <w:keepLines/>
        <w:spacing w:before="0" w:after="100" w:line="300" w:lineRule="auto"/>
        <w:numPr>
          <w:ilvl w:val="0"/>
          <w:numId w:val="15"/>
        </w:numPr>
      </w:pPr>
      <w:r>
        <w:rPr>
          <w:rFonts w:ascii="Calibri" w:hAnsi="Calibri"/>
          <w:color w:val="162236"/>
          <w:sz w:val="22"/>
        </w:rPr>
        <w:t>What files are needed before guided implant planning can begin?</w:t>
      </w:r>
    </w:p>
    <w:p>
      <w:pPr>
        <w:keepLines/>
        <w:spacing w:before="0" w:after="100" w:line="300" w:lineRule="auto"/>
        <w:numPr>
          <w:ilvl w:val="0"/>
          <w:numId w:val="15"/>
        </w:numPr>
      </w:pPr>
      <w:r>
        <w:rPr>
          <w:rFonts w:ascii="Calibri" w:hAnsi="Calibri"/>
          <w:color w:val="162236"/>
          <w:sz w:val="22"/>
        </w:rPr>
        <w:t>Why DICOM and intraoral scans fail to align, and what to check before upload.</w:t>
      </w:r>
    </w:p>
    <w:p>
      <w:pPr>
        <w:keepLines/>
        <w:spacing w:before="0" w:after="100" w:line="300" w:lineRule="auto"/>
        <w:numPr>
          <w:ilvl w:val="0"/>
          <w:numId w:val="15"/>
        </w:numPr>
      </w:pPr>
      <w:r>
        <w:rPr>
          <w:rFonts w:ascii="Calibri" w:hAnsi="Calibri"/>
          <w:color w:val="162236"/>
          <w:sz w:val="22"/>
        </w:rPr>
        <w:t>Pilot-guided and fully guided workflows: what changes in the case setup?</w:t>
      </w:r>
    </w:p>
    <w:p>
      <w:pPr>
        <w:keepLines/>
        <w:spacing w:before="0" w:after="100" w:line="300" w:lineRule="auto"/>
        <w:numPr>
          <w:ilvl w:val="0"/>
          <w:numId w:val="15"/>
        </w:numPr>
      </w:pPr>
      <w:r>
        <w:rPr>
          <w:rFonts w:ascii="Calibri" w:hAnsi="Calibri"/>
          <w:color w:val="162236"/>
          <w:sz w:val="22"/>
        </w:rPr>
        <w:t>The approval points in a full-arch stackable workflow.</w:t>
      </w:r>
    </w:p>
    <w:p>
      <w:pPr>
        <w:keepLines/>
        <w:spacing w:before="0" w:after="100" w:line="300" w:lineRule="auto"/>
        <w:numPr>
          <w:ilvl w:val="0"/>
          <w:numId w:val="15"/>
        </w:numPr>
      </w:pPr>
      <w:r>
        <w:rPr>
          <w:rFonts w:ascii="Calibri" w:hAnsi="Calibri"/>
          <w:color w:val="162236"/>
          <w:sz w:val="22"/>
        </w:rPr>
        <w:t>What a design-only STL handoff does and does not include.</w:t>
      </w:r>
    </w:p>
    <w:p>
      <w:pPr>
        <w:keepLines/>
        <w:spacing w:before="0" w:after="100" w:line="300" w:lineRule="auto"/>
        <w:numPr>
          <w:ilvl w:val="0"/>
          <w:numId w:val="15"/>
        </w:numPr>
      </w:pPr>
      <w:r>
        <w:rPr>
          <w:rFonts w:ascii="Calibri" w:hAnsi="Calibri"/>
          <w:color w:val="162236"/>
          <w:sz w:val="22"/>
        </w:rPr>
        <w:t>Planning an immediate provisional: records the restorative team needs before surgery.</w:t>
      </w:r>
    </w:p>
    <w:p>
      <w:pPr>
        <w:keepLines/>
        <w:spacing w:before="0" w:after="100" w:line="300" w:lineRule="auto"/>
        <w:numPr>
          <w:ilvl w:val="0"/>
          <w:numId w:val="15"/>
        </w:numPr>
      </w:pPr>
      <w:r>
        <w:rPr>
          <w:rFonts w:ascii="Calibri" w:hAnsi="Calibri"/>
          <w:color w:val="162236"/>
          <w:sz w:val="22"/>
        </w:rPr>
        <w:t>How implant system and drill-kit information affect guide design.</w:t>
      </w:r>
    </w:p>
    <w:p>
      <w:pPr>
        <w:keepLines/>
        <w:spacing w:before="0" w:after="100" w:line="300" w:lineRule="auto"/>
        <w:numPr>
          <w:ilvl w:val="0"/>
          <w:numId w:val="15"/>
        </w:numPr>
      </w:pPr>
      <w:r>
        <w:rPr>
          <w:rFonts w:ascii="Calibri" w:hAnsi="Calibri"/>
          <w:color w:val="162236"/>
          <w:sz w:val="22"/>
        </w:rPr>
        <w:t>When a complex case should be discussed before full submission.</w:t>
      </w:r>
    </w:p>
    <w:p>
      <w:pPr>
        <w:pStyle w:val="Heading1"/>
        <w:spacing w:before="360" w:after="200" w:line="252" w:lineRule="auto"/>
        <w:keepNext w:val="1"/>
        <w:pageBreakBefore w:val="1"/>
      </w:pPr>
      <w:r>
        <w:rPr>
          <w:rFonts w:ascii="Calibri" w:hAnsi="Calibri"/>
          <w:b/>
          <w:color w:val="2E74B5"/>
          <w:sz w:val="32"/>
        </w:rPr>
        <w:t>12. Legacy content migration</w:t>
      </w:r>
    </w:p>
    <w:p>
      <w:pPr>
        <w:spacing w:before="0" w:after="120" w:line="300" w:lineRule="auto"/>
        <w:jc w:val="left"/>
      </w:pPr>
      <w:r>
        <w:rPr>
          <w:rFonts w:ascii="Calibri" w:hAnsi="Calibri"/>
          <w:i w:val="0"/>
          <w:color w:val="162236"/>
          <w:sz w:val="22"/>
        </w:rPr>
        <w:t>The current domain has search visibility around surgical guides, guided surgery and digital dentistry. Migration must preserve useful equity while removing education and weak duplicate content from the service journey.</w:t>
      </w:r>
    </w:p>
    <w:tbl>
      <w:tblPr>
        <w:tblStyle w:val="TableGrid"/>
        <w:tblW w:type="dxa" w:w="9360"/>
        <w:tblLayout w:type="fixed"/>
        <w:tblLook w:firstColumn="1" w:firstRow="1" w:lastColumn="0" w:lastRow="0" w:noHBand="0" w:noVBand="1" w:val="04A0"/>
        <w:jc w:val="left"/>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2650"/>
        <w:gridCol w:w="2700"/>
        <w:gridCol w:w="1900"/>
        <w:gridCol w:w="2110"/>
      </w:tblGrid>
      <w:tr>
        <w:trPr>
          <w:tblHeader w:val="true"/>
          <w:cantSplit/>
        </w:trPr>
        <w:tc>
          <w:tcPr>
            <w:tcW w:type="dxa" w:w="2650"/>
            <w:tcMar>
              <w:top w:w="80" w:type="dxa"/>
              <w:start w:w="120" w:type="dxa"/>
              <w:bottom w:w="80" w:type="dxa"/>
              <w:end w:w="120" w:type="dxa"/>
            </w:tcMar>
            <w:vAlign w:val="center"/>
            <w:shd w:fill="E8EEF5"/>
          </w:tcPr>
          <w:p>
            <w:pPr>
              <w:spacing w:before="0" w:after="0" w:line="264" w:lineRule="auto"/>
            </w:pPr>
            <w:r>
              <w:rPr>
                <w:rFonts w:ascii="Calibri" w:hAnsi="Calibri"/>
                <w:b/>
                <w:color w:val="162236"/>
                <w:sz w:val="16"/>
              </w:rPr>
              <w:t>Current URL / group</w:t>
            </w:r>
          </w:p>
        </w:tc>
        <w:tc>
          <w:tcPr>
            <w:tcW w:type="dxa" w:w="2700"/>
            <w:tcMar>
              <w:top w:w="80" w:type="dxa"/>
              <w:start w:w="120" w:type="dxa"/>
              <w:bottom w:w="80" w:type="dxa"/>
              <w:end w:w="120" w:type="dxa"/>
            </w:tcMar>
            <w:vAlign w:val="center"/>
            <w:shd w:fill="E8EEF5"/>
          </w:tcPr>
          <w:p>
            <w:pPr>
              <w:spacing w:before="0" w:after="0" w:line="264" w:lineRule="auto"/>
            </w:pPr>
            <w:r>
              <w:rPr>
                <w:rFonts w:ascii="Calibri" w:hAnsi="Calibri"/>
                <w:b/>
                <w:color w:val="162236"/>
                <w:sz w:val="16"/>
              </w:rPr>
              <w:t>Destination</w:t>
            </w:r>
          </w:p>
        </w:tc>
        <w:tc>
          <w:tcPr>
            <w:tcW w:type="dxa" w:w="1900"/>
            <w:tcMar>
              <w:top w:w="80" w:type="dxa"/>
              <w:start w:w="120" w:type="dxa"/>
              <w:bottom w:w="80" w:type="dxa"/>
              <w:end w:w="120" w:type="dxa"/>
            </w:tcMar>
            <w:vAlign w:val="center"/>
            <w:shd w:fill="E8EEF5"/>
          </w:tcPr>
          <w:p>
            <w:pPr>
              <w:spacing w:before="0" w:after="0" w:line="264" w:lineRule="auto"/>
            </w:pPr>
            <w:r>
              <w:rPr>
                <w:rFonts w:ascii="Calibri" w:hAnsi="Calibri"/>
                <w:b/>
                <w:color w:val="162236"/>
                <w:sz w:val="16"/>
              </w:rPr>
              <w:t>Action</w:t>
            </w:r>
          </w:p>
        </w:tc>
        <w:tc>
          <w:tcPr>
            <w:tcW w:type="dxa" w:w="2110"/>
            <w:tcMar>
              <w:top w:w="80" w:type="dxa"/>
              <w:start w:w="120" w:type="dxa"/>
              <w:bottom w:w="80" w:type="dxa"/>
              <w:end w:w="120" w:type="dxa"/>
            </w:tcMar>
            <w:vAlign w:val="center"/>
            <w:shd w:fill="E8EEF5"/>
          </w:tcPr>
          <w:p>
            <w:pPr>
              <w:spacing w:before="0" w:after="0" w:line="264" w:lineRule="auto"/>
            </w:pPr>
            <w:r>
              <w:rPr>
                <w:rFonts w:ascii="Calibri" w:hAnsi="Calibri"/>
                <w:b/>
                <w:color w:val="162236"/>
                <w:sz w:val="16"/>
              </w:rPr>
              <w:t>Reason</w:t>
            </w:r>
          </w:p>
        </w:tc>
      </w:tr>
      <w:tr>
        <w:trPr>
          <w:cantSplit/>
        </w:trPr>
        <w:tc>
          <w:tcPr>
            <w:tcW w:type="dxa" w:w="2650"/>
            <w:vAlign w:val="center"/>
            <w:tcMar>
              <w:top w:w="80" w:type="dxa"/>
              <w:start w:w="120" w:type="dxa"/>
              <w:bottom w:w="80" w:type="dxa"/>
              <w:end w:w="120" w:type="dxa"/>
            </w:tcMar>
          </w:tcPr>
          <w:p>
            <w:pPr>
              <w:spacing w:before="0" w:after="0" w:line="271" w:lineRule="auto"/>
            </w:pPr>
            <w:r>
              <w:rPr>
                <w:rFonts w:ascii="Calibri" w:hAnsi="Calibri"/>
                <w:color w:val="162236"/>
                <w:sz w:val="16"/>
              </w:rPr>
              <w:t>/surgical-guide</w:t>
            </w:r>
          </w:p>
        </w:tc>
        <w:tc>
          <w:tcPr>
            <w:tcW w:type="dxa" w:w="2700"/>
            <w:vAlign w:val="center"/>
            <w:tcMar>
              <w:top w:w="80" w:type="dxa"/>
              <w:start w:w="120" w:type="dxa"/>
              <w:bottom w:w="80" w:type="dxa"/>
              <w:end w:w="120" w:type="dxa"/>
            </w:tcMar>
          </w:tcPr>
          <w:p>
            <w:pPr>
              <w:spacing w:before="0" w:after="0" w:line="271" w:lineRule="auto"/>
            </w:pPr>
            <w:r>
              <w:rPr>
                <w:rFonts w:ascii="Calibri" w:hAnsi="Calibri"/>
                <w:color w:val="162236"/>
                <w:sz w:val="16"/>
              </w:rPr>
              <w:t>/guided-implant-workflow/</w:t>
            </w:r>
          </w:p>
        </w:tc>
        <w:tc>
          <w:tcPr>
            <w:tcW w:type="dxa" w:w="1900"/>
            <w:vAlign w:val="center"/>
            <w:tcMar>
              <w:top w:w="80" w:type="dxa"/>
              <w:start w:w="120" w:type="dxa"/>
              <w:bottom w:w="80" w:type="dxa"/>
              <w:end w:w="120" w:type="dxa"/>
            </w:tcMar>
          </w:tcPr>
          <w:p>
            <w:pPr>
              <w:spacing w:before="0" w:after="0" w:line="271" w:lineRule="auto"/>
            </w:pPr>
            <w:r>
              <w:rPr>
                <w:rFonts w:ascii="Calibri" w:hAnsi="Calibri"/>
                <w:color w:val="162236"/>
                <w:sz w:val="16"/>
              </w:rPr>
              <w:t>Rewrite, then 301</w:t>
            </w:r>
          </w:p>
        </w:tc>
        <w:tc>
          <w:tcPr>
            <w:tcW w:type="dxa" w:w="2110"/>
            <w:vAlign w:val="center"/>
            <w:tcMar>
              <w:top w:w="80" w:type="dxa"/>
              <w:start w:w="120" w:type="dxa"/>
              <w:bottom w:w="80" w:type="dxa"/>
              <w:end w:w="120" w:type="dxa"/>
            </w:tcMar>
          </w:tcPr>
          <w:p>
            <w:pPr>
              <w:spacing w:before="0" w:after="0" w:line="271" w:lineRule="auto"/>
            </w:pPr>
            <w:r>
              <w:rPr>
                <w:rFonts w:ascii="Calibri" w:hAnsi="Calibri"/>
                <w:color w:val="162236"/>
                <w:sz w:val="16"/>
              </w:rPr>
              <w:t>Preserve surgical-guide intent.</w:t>
            </w:r>
          </w:p>
        </w:tc>
      </w:tr>
      <w:tr>
        <w:trPr>
          <w:cantSplit/>
        </w:trPr>
        <w:tc>
          <w:tcPr>
            <w:tcW w:type="dxa" w:w="2650"/>
            <w:vAlign w:val="center"/>
            <w:tcMar>
              <w:top w:w="80" w:type="dxa"/>
              <w:start w:w="120" w:type="dxa"/>
              <w:bottom w:w="80" w:type="dxa"/>
              <w:end w:w="120" w:type="dxa"/>
            </w:tcMar>
          </w:tcPr>
          <w:p>
            <w:pPr>
              <w:spacing w:before="0" w:after="0" w:line="271" w:lineRule="auto"/>
            </w:pPr>
            <w:r>
              <w:rPr>
                <w:rFonts w:ascii="Calibri" w:hAnsi="Calibri"/>
                <w:color w:val="162236"/>
                <w:sz w:val="16"/>
              </w:rPr>
              <w:t>/gallery</w:t>
            </w:r>
          </w:p>
        </w:tc>
        <w:tc>
          <w:tcPr>
            <w:tcW w:type="dxa" w:w="2700"/>
            <w:vAlign w:val="center"/>
            <w:tcMar>
              <w:top w:w="80" w:type="dxa"/>
              <w:start w:w="120" w:type="dxa"/>
              <w:bottom w:w="80" w:type="dxa"/>
              <w:end w:w="120" w:type="dxa"/>
            </w:tcMar>
          </w:tcPr>
          <w:p>
            <w:pPr>
              <w:spacing w:before="0" w:after="0" w:line="271" w:lineRule="auto"/>
            </w:pPr>
            <w:r>
              <w:rPr>
                <w:rFonts w:ascii="Calibri" w:hAnsi="Calibri"/>
                <w:color w:val="162236"/>
                <w:sz w:val="16"/>
              </w:rPr>
              <w:t>/case-evidence/</w:t>
            </w:r>
          </w:p>
        </w:tc>
        <w:tc>
          <w:tcPr>
            <w:tcW w:type="dxa" w:w="1900"/>
            <w:vAlign w:val="center"/>
            <w:tcMar>
              <w:top w:w="80" w:type="dxa"/>
              <w:start w:w="120" w:type="dxa"/>
              <w:bottom w:w="80" w:type="dxa"/>
              <w:end w:w="120" w:type="dxa"/>
            </w:tcMar>
          </w:tcPr>
          <w:p>
            <w:pPr>
              <w:spacing w:before="0" w:after="0" w:line="271" w:lineRule="auto"/>
            </w:pPr>
            <w:r>
              <w:rPr>
                <w:rFonts w:ascii="Calibri" w:hAnsi="Calibri"/>
                <w:color w:val="162236"/>
                <w:sz w:val="16"/>
              </w:rPr>
              <w:t>Rewrite, then 301</w:t>
            </w:r>
          </w:p>
        </w:tc>
        <w:tc>
          <w:tcPr>
            <w:tcW w:type="dxa" w:w="2110"/>
            <w:vAlign w:val="center"/>
            <w:tcMar>
              <w:top w:w="80" w:type="dxa"/>
              <w:start w:w="120" w:type="dxa"/>
              <w:bottom w:w="80" w:type="dxa"/>
              <w:end w:w="120" w:type="dxa"/>
            </w:tcMar>
          </w:tcPr>
          <w:p>
            <w:pPr>
              <w:spacing w:before="0" w:after="0" w:line="271" w:lineRule="auto"/>
            </w:pPr>
            <w:r>
              <w:rPr>
                <w:rFonts w:ascii="Calibri" w:hAnsi="Calibri"/>
                <w:color w:val="162236"/>
                <w:sz w:val="16"/>
              </w:rPr>
              <w:t>Replace accuracy claim with evidence structure.</w:t>
            </w:r>
          </w:p>
        </w:tc>
      </w:tr>
      <w:tr>
        <w:trPr>
          <w:cantSplit/>
        </w:trPr>
        <w:tc>
          <w:tcPr>
            <w:tcW w:type="dxa" w:w="2650"/>
            <w:vAlign w:val="center"/>
            <w:tcMar>
              <w:top w:w="80" w:type="dxa"/>
              <w:start w:w="120" w:type="dxa"/>
              <w:bottom w:w="80" w:type="dxa"/>
              <w:end w:w="120" w:type="dxa"/>
            </w:tcMar>
          </w:tcPr>
          <w:p>
            <w:pPr>
              <w:spacing w:before="0" w:after="0" w:line="271" w:lineRule="auto"/>
            </w:pPr>
            <w:r>
              <w:rPr>
                <w:rFonts w:ascii="Calibri" w:hAnsi="Calibri"/>
                <w:color w:val="162236"/>
                <w:sz w:val="16"/>
              </w:rPr>
              <w:t>/faq</w:t>
            </w:r>
          </w:p>
        </w:tc>
        <w:tc>
          <w:tcPr>
            <w:tcW w:type="dxa" w:w="2700"/>
            <w:vAlign w:val="center"/>
            <w:tcMar>
              <w:top w:w="80" w:type="dxa"/>
              <w:start w:w="120" w:type="dxa"/>
              <w:bottom w:w="80" w:type="dxa"/>
              <w:end w:w="120" w:type="dxa"/>
            </w:tcMar>
          </w:tcPr>
          <w:p>
            <w:pPr>
              <w:spacing w:before="0" w:after="0" w:line="271" w:lineRule="auto"/>
            </w:pPr>
            <w:r>
              <w:rPr>
                <w:rFonts w:ascii="Calibri" w:hAnsi="Calibri"/>
                <w:color w:val="162236"/>
                <w:sz w:val="16"/>
              </w:rPr>
              <w:t>/how-it-works/ and solution FAQs</w:t>
            </w:r>
          </w:p>
        </w:tc>
        <w:tc>
          <w:tcPr>
            <w:tcW w:type="dxa" w:w="1900"/>
            <w:vAlign w:val="center"/>
            <w:tcMar>
              <w:top w:w="80" w:type="dxa"/>
              <w:start w:w="120" w:type="dxa"/>
              <w:bottom w:w="80" w:type="dxa"/>
              <w:end w:w="120" w:type="dxa"/>
            </w:tcMar>
          </w:tcPr>
          <w:p>
            <w:pPr>
              <w:spacing w:before="0" w:after="0" w:line="271" w:lineRule="auto"/>
            </w:pPr>
            <w:r>
              <w:rPr>
                <w:rFonts w:ascii="Calibri" w:hAnsi="Calibri"/>
                <w:color w:val="162236"/>
                <w:sz w:val="16"/>
              </w:rPr>
              <w:t>Consolidate, then 301</w:t>
            </w:r>
          </w:p>
        </w:tc>
        <w:tc>
          <w:tcPr>
            <w:tcW w:type="dxa" w:w="2110"/>
            <w:vAlign w:val="center"/>
            <w:tcMar>
              <w:top w:w="80" w:type="dxa"/>
              <w:start w:w="120" w:type="dxa"/>
              <w:bottom w:w="80" w:type="dxa"/>
              <w:end w:w="120" w:type="dxa"/>
            </w:tcMar>
          </w:tcPr>
          <w:p>
            <w:pPr>
              <w:spacing w:before="0" w:after="0" w:line="271" w:lineRule="auto"/>
            </w:pPr>
            <w:r>
              <w:rPr>
                <w:rFonts w:ascii="Calibri" w:hAnsi="Calibri"/>
                <w:color w:val="162236"/>
                <w:sz w:val="16"/>
              </w:rPr>
              <w:t>Distribute questions to relevant pages.</w:t>
            </w:r>
          </w:p>
        </w:tc>
      </w:tr>
      <w:tr>
        <w:trPr>
          <w:cantSplit/>
        </w:trPr>
        <w:tc>
          <w:tcPr>
            <w:tcW w:type="dxa" w:w="2650"/>
            <w:vAlign w:val="center"/>
            <w:tcMar>
              <w:top w:w="80" w:type="dxa"/>
              <w:start w:w="120" w:type="dxa"/>
              <w:bottom w:w="80" w:type="dxa"/>
              <w:end w:w="120" w:type="dxa"/>
            </w:tcMar>
          </w:tcPr>
          <w:p>
            <w:pPr>
              <w:spacing w:before="0" w:after="0" w:line="271" w:lineRule="auto"/>
            </w:pPr>
            <w:r>
              <w:rPr>
                <w:rFonts w:ascii="Calibri" w:hAnsi="Calibri"/>
                <w:color w:val="162236"/>
                <w:sz w:val="16"/>
              </w:rPr>
              <w:t>/workshop</w:t>
            </w:r>
          </w:p>
        </w:tc>
        <w:tc>
          <w:tcPr>
            <w:tcW w:type="dxa" w:w="2700"/>
            <w:vAlign w:val="center"/>
            <w:tcMar>
              <w:top w:w="80" w:type="dxa"/>
              <w:start w:w="120" w:type="dxa"/>
              <w:bottom w:w="80" w:type="dxa"/>
              <w:end w:w="120" w:type="dxa"/>
            </w:tcMar>
          </w:tcPr>
          <w:p>
            <w:pPr>
              <w:spacing w:before="0" w:after="0" w:line="271" w:lineRule="auto"/>
            </w:pPr>
            <w:r>
              <w:rPr>
                <w:rFonts w:ascii="Calibri" w:hAnsi="Calibri"/>
                <w:color w:val="162236"/>
                <w:sz w:val="16"/>
              </w:rPr>
              <w:t>Relevant PaulSudeep.com / SGE page</w:t>
            </w:r>
          </w:p>
        </w:tc>
        <w:tc>
          <w:tcPr>
            <w:tcW w:type="dxa" w:w="1900"/>
            <w:vAlign w:val="center"/>
            <w:tcMar>
              <w:top w:w="80" w:type="dxa"/>
              <w:start w:w="120" w:type="dxa"/>
              <w:bottom w:w="80" w:type="dxa"/>
              <w:end w:w="120" w:type="dxa"/>
            </w:tcMar>
          </w:tcPr>
          <w:p>
            <w:pPr>
              <w:spacing w:before="0" w:after="0" w:line="271" w:lineRule="auto"/>
            </w:pPr>
            <w:r>
              <w:rPr>
                <w:rFonts w:ascii="Calibri" w:hAnsi="Calibri"/>
                <w:color w:val="162236"/>
                <w:sz w:val="16"/>
              </w:rPr>
              <w:t>301 when destination is live</w:t>
            </w:r>
          </w:p>
        </w:tc>
        <w:tc>
          <w:tcPr>
            <w:tcW w:type="dxa" w:w="2110"/>
            <w:vAlign w:val="center"/>
            <w:tcMar>
              <w:top w:w="80" w:type="dxa"/>
              <w:start w:w="120" w:type="dxa"/>
              <w:bottom w:w="80" w:type="dxa"/>
              <w:end w:w="120" w:type="dxa"/>
            </w:tcMar>
          </w:tcPr>
          <w:p>
            <w:pPr>
              <w:spacing w:before="0" w:after="0" w:line="271" w:lineRule="auto"/>
            </w:pPr>
            <w:r>
              <w:rPr>
                <w:rFonts w:ascii="Calibri" w:hAnsi="Calibri"/>
                <w:color w:val="162236"/>
                <w:sz w:val="16"/>
              </w:rPr>
              <w:t>Remove education from I3DC navigation.</w:t>
            </w:r>
          </w:p>
        </w:tc>
      </w:tr>
      <w:tr>
        <w:trPr>
          <w:cantSplit/>
        </w:trPr>
        <w:tc>
          <w:tcPr>
            <w:tcW w:type="dxa" w:w="2650"/>
            <w:vAlign w:val="center"/>
            <w:tcMar>
              <w:top w:w="80" w:type="dxa"/>
              <w:start w:w="120" w:type="dxa"/>
              <w:bottom w:w="80" w:type="dxa"/>
              <w:end w:w="120" w:type="dxa"/>
            </w:tcMar>
          </w:tcPr>
          <w:p>
            <w:pPr>
              <w:spacing w:before="0" w:after="0" w:line="271" w:lineRule="auto"/>
            </w:pPr>
            <w:r>
              <w:rPr>
                <w:rFonts w:ascii="Calibri" w:hAnsi="Calibri"/>
                <w:color w:val="162236"/>
                <w:sz w:val="16"/>
              </w:rPr>
              <w:t>/online-training</w:t>
            </w:r>
          </w:p>
        </w:tc>
        <w:tc>
          <w:tcPr>
            <w:tcW w:type="dxa" w:w="2700"/>
            <w:vAlign w:val="center"/>
            <w:tcMar>
              <w:top w:w="80" w:type="dxa"/>
              <w:start w:w="120" w:type="dxa"/>
              <w:bottom w:w="80" w:type="dxa"/>
              <w:end w:w="120" w:type="dxa"/>
            </w:tcMar>
          </w:tcPr>
          <w:p>
            <w:pPr>
              <w:spacing w:before="0" w:after="0" w:line="271" w:lineRule="auto"/>
            </w:pPr>
            <w:r>
              <w:rPr>
                <w:rFonts w:ascii="Calibri" w:hAnsi="Calibri"/>
                <w:color w:val="162236"/>
                <w:sz w:val="16"/>
              </w:rPr>
              <w:t>Relevant PaulSudeep.com / SGE page</w:t>
            </w:r>
          </w:p>
        </w:tc>
        <w:tc>
          <w:tcPr>
            <w:tcW w:type="dxa" w:w="1900"/>
            <w:vAlign w:val="center"/>
            <w:tcMar>
              <w:top w:w="80" w:type="dxa"/>
              <w:start w:w="120" w:type="dxa"/>
              <w:bottom w:w="80" w:type="dxa"/>
              <w:end w:w="120" w:type="dxa"/>
            </w:tcMar>
          </w:tcPr>
          <w:p>
            <w:pPr>
              <w:spacing w:before="0" w:after="0" w:line="271" w:lineRule="auto"/>
            </w:pPr>
            <w:r>
              <w:rPr>
                <w:rFonts w:ascii="Calibri" w:hAnsi="Calibri"/>
                <w:color w:val="162236"/>
                <w:sz w:val="16"/>
              </w:rPr>
              <w:t>301 when destination is live</w:t>
            </w:r>
          </w:p>
        </w:tc>
        <w:tc>
          <w:tcPr>
            <w:tcW w:type="dxa" w:w="2110"/>
            <w:vAlign w:val="center"/>
            <w:tcMar>
              <w:top w:w="80" w:type="dxa"/>
              <w:start w:w="120" w:type="dxa"/>
              <w:bottom w:w="80" w:type="dxa"/>
              <w:end w:w="120" w:type="dxa"/>
            </w:tcMar>
          </w:tcPr>
          <w:p>
            <w:pPr>
              <w:spacing w:before="0" w:after="0" w:line="271" w:lineRule="auto"/>
            </w:pPr>
            <w:r>
              <w:rPr>
                <w:rFonts w:ascii="Calibri" w:hAnsi="Calibri"/>
                <w:color w:val="162236"/>
                <w:sz w:val="16"/>
              </w:rPr>
              <w:t>Preserve education intent externally.</w:t>
            </w:r>
          </w:p>
        </w:tc>
      </w:tr>
      <w:tr>
        <w:trPr>
          <w:cantSplit/>
        </w:trPr>
        <w:tc>
          <w:tcPr>
            <w:tcW w:type="dxa" w:w="2650"/>
            <w:vAlign w:val="center"/>
            <w:tcMar>
              <w:top w:w="80" w:type="dxa"/>
              <w:start w:w="120" w:type="dxa"/>
              <w:bottom w:w="80" w:type="dxa"/>
              <w:end w:w="120" w:type="dxa"/>
            </w:tcMar>
          </w:tcPr>
          <w:p>
            <w:pPr>
              <w:spacing w:before="0" w:after="0" w:line="271" w:lineRule="auto"/>
            </w:pPr>
            <w:r>
              <w:rPr>
                <w:rFonts w:ascii="Calibri" w:hAnsi="Calibri"/>
                <w:color w:val="162236"/>
                <w:sz w:val="16"/>
              </w:rPr>
              <w:t>/3-day-guided-surgery-workshop.php</w:t>
            </w:r>
          </w:p>
        </w:tc>
        <w:tc>
          <w:tcPr>
            <w:tcW w:type="dxa" w:w="2700"/>
            <w:vAlign w:val="center"/>
            <w:tcMar>
              <w:top w:w="80" w:type="dxa"/>
              <w:start w:w="120" w:type="dxa"/>
              <w:bottom w:w="80" w:type="dxa"/>
              <w:end w:w="120" w:type="dxa"/>
            </w:tcMar>
          </w:tcPr>
          <w:p>
            <w:pPr>
              <w:spacing w:before="0" w:after="0" w:line="271" w:lineRule="auto"/>
            </w:pPr>
            <w:r>
              <w:rPr>
                <w:rFonts w:ascii="Calibri" w:hAnsi="Calibri"/>
                <w:color w:val="162236"/>
                <w:sz w:val="16"/>
              </w:rPr>
              <w:t>Relevant SGE 3-Day page</w:t>
            </w:r>
          </w:p>
        </w:tc>
        <w:tc>
          <w:tcPr>
            <w:tcW w:type="dxa" w:w="1900"/>
            <w:vAlign w:val="center"/>
            <w:tcMar>
              <w:top w:w="80" w:type="dxa"/>
              <w:start w:w="120" w:type="dxa"/>
              <w:bottom w:w="80" w:type="dxa"/>
              <w:end w:w="120" w:type="dxa"/>
            </w:tcMar>
          </w:tcPr>
          <w:p>
            <w:pPr>
              <w:spacing w:before="0" w:after="0" w:line="271" w:lineRule="auto"/>
            </w:pPr>
            <w:r>
              <w:rPr>
                <w:rFonts w:ascii="Calibri" w:hAnsi="Calibri"/>
                <w:color w:val="162236"/>
                <w:sz w:val="16"/>
              </w:rPr>
              <w:t>301 when destination is live</w:t>
            </w:r>
          </w:p>
        </w:tc>
        <w:tc>
          <w:tcPr>
            <w:tcW w:type="dxa" w:w="2110"/>
            <w:vAlign w:val="center"/>
            <w:tcMar>
              <w:top w:w="80" w:type="dxa"/>
              <w:start w:w="120" w:type="dxa"/>
              <w:bottom w:w="80" w:type="dxa"/>
              <w:end w:w="120" w:type="dxa"/>
            </w:tcMar>
          </w:tcPr>
          <w:p>
            <w:pPr>
              <w:spacing w:before="0" w:after="0" w:line="271" w:lineRule="auto"/>
            </w:pPr>
            <w:r>
              <w:rPr>
                <w:rFonts w:ascii="Calibri" w:hAnsi="Calibri"/>
                <w:color w:val="162236"/>
                <w:sz w:val="16"/>
              </w:rPr>
              <w:t>Do not redirect to an unrelated homepage.</w:t>
            </w:r>
          </w:p>
        </w:tc>
      </w:tr>
      <w:tr>
        <w:trPr>
          <w:cantSplit/>
        </w:trPr>
        <w:tc>
          <w:tcPr>
            <w:tcW w:type="dxa" w:w="2650"/>
            <w:vAlign w:val="center"/>
            <w:tcMar>
              <w:top w:w="80" w:type="dxa"/>
              <w:start w:w="120" w:type="dxa"/>
              <w:bottom w:w="80" w:type="dxa"/>
              <w:end w:w="120" w:type="dxa"/>
            </w:tcMar>
          </w:tcPr>
          <w:p>
            <w:pPr>
              <w:spacing w:before="0" w:after="0" w:line="271" w:lineRule="auto"/>
            </w:pPr>
            <w:r>
              <w:rPr>
                <w:rFonts w:ascii="Calibri" w:hAnsi="Calibri"/>
                <w:color w:val="162236"/>
                <w:sz w:val="16"/>
              </w:rPr>
              <w:t>/blogs</w:t>
            </w:r>
          </w:p>
        </w:tc>
        <w:tc>
          <w:tcPr>
            <w:tcW w:type="dxa" w:w="2700"/>
            <w:vAlign w:val="center"/>
            <w:tcMar>
              <w:top w:w="80" w:type="dxa"/>
              <w:start w:w="120" w:type="dxa"/>
              <w:bottom w:w="80" w:type="dxa"/>
              <w:end w:w="120" w:type="dxa"/>
            </w:tcMar>
          </w:tcPr>
          <w:p>
            <w:pPr>
              <w:spacing w:before="0" w:after="0" w:line="271" w:lineRule="auto"/>
            </w:pPr>
            <w:r>
              <w:rPr>
                <w:rFonts w:ascii="Calibri" w:hAnsi="Calibri"/>
                <w:color w:val="162236"/>
                <w:sz w:val="16"/>
              </w:rPr>
              <w:t>/workflow-notes/</w:t>
            </w:r>
          </w:p>
        </w:tc>
        <w:tc>
          <w:tcPr>
            <w:tcW w:type="dxa" w:w="1900"/>
            <w:vAlign w:val="center"/>
            <w:tcMar>
              <w:top w:w="80" w:type="dxa"/>
              <w:start w:w="120" w:type="dxa"/>
              <w:bottom w:w="80" w:type="dxa"/>
              <w:end w:w="120" w:type="dxa"/>
            </w:tcMar>
          </w:tcPr>
          <w:p>
            <w:pPr>
              <w:spacing w:before="0" w:after="0" w:line="271" w:lineRule="auto"/>
            </w:pPr>
            <w:r>
              <w:rPr>
                <w:rFonts w:ascii="Calibri" w:hAnsi="Calibri"/>
                <w:color w:val="162236"/>
                <w:sz w:val="16"/>
              </w:rPr>
              <w:t>Audit and rebuild</w:t>
            </w:r>
          </w:p>
        </w:tc>
        <w:tc>
          <w:tcPr>
            <w:tcW w:type="dxa" w:w="2110"/>
            <w:vAlign w:val="center"/>
            <w:tcMar>
              <w:top w:w="80" w:type="dxa"/>
              <w:start w:w="120" w:type="dxa"/>
              <w:bottom w:w="80" w:type="dxa"/>
              <w:end w:w="120" w:type="dxa"/>
            </w:tcMar>
          </w:tcPr>
          <w:p>
            <w:pPr>
              <w:spacing w:before="0" w:after="0" w:line="271" w:lineRule="auto"/>
            </w:pPr>
            <w:r>
              <w:rPr>
                <w:rFonts w:ascii="Calibri" w:hAnsi="Calibri"/>
                <w:color w:val="162236"/>
                <w:sz w:val="16"/>
              </w:rPr>
              <w:t>Retain only useful, reviewed resources.</w:t>
            </w:r>
          </w:p>
        </w:tc>
      </w:tr>
      <w:tr>
        <w:trPr>
          <w:cantSplit/>
        </w:trPr>
        <w:tc>
          <w:tcPr>
            <w:tcW w:type="dxa" w:w="2650"/>
            <w:vAlign w:val="center"/>
            <w:tcMar>
              <w:top w:w="80" w:type="dxa"/>
              <w:start w:w="120" w:type="dxa"/>
              <w:bottom w:w="80" w:type="dxa"/>
              <w:end w:w="120" w:type="dxa"/>
            </w:tcMar>
          </w:tcPr>
          <w:p>
            <w:pPr>
              <w:spacing w:before="0" w:after="0" w:line="271" w:lineRule="auto"/>
            </w:pPr>
            <w:r>
              <w:rPr>
                <w:rFonts w:ascii="Calibri" w:hAnsi="Calibri"/>
                <w:color w:val="162236"/>
                <w:sz w:val="16"/>
              </w:rPr>
              <w:t>Overlapping guided-surgery articles</w:t>
            </w:r>
          </w:p>
        </w:tc>
        <w:tc>
          <w:tcPr>
            <w:tcW w:type="dxa" w:w="2700"/>
            <w:vAlign w:val="center"/>
            <w:tcMar>
              <w:top w:w="80" w:type="dxa"/>
              <w:start w:w="120" w:type="dxa"/>
              <w:bottom w:w="80" w:type="dxa"/>
              <w:end w:w="120" w:type="dxa"/>
            </w:tcMar>
          </w:tcPr>
          <w:p>
            <w:pPr>
              <w:spacing w:before="0" w:after="0" w:line="271" w:lineRule="auto"/>
            </w:pPr>
            <w:r>
              <w:rPr>
                <w:rFonts w:ascii="Calibri" w:hAnsi="Calibri"/>
                <w:color w:val="162236"/>
                <w:sz w:val="16"/>
              </w:rPr>
              <w:t>Best pillar page or one retained note</w:t>
            </w:r>
          </w:p>
        </w:tc>
        <w:tc>
          <w:tcPr>
            <w:tcW w:type="dxa" w:w="1900"/>
            <w:vAlign w:val="center"/>
            <w:tcMar>
              <w:top w:w="80" w:type="dxa"/>
              <w:start w:w="120" w:type="dxa"/>
              <w:bottom w:w="80" w:type="dxa"/>
              <w:end w:w="120" w:type="dxa"/>
            </w:tcMar>
          </w:tcPr>
          <w:p>
            <w:pPr>
              <w:spacing w:before="0" w:after="0" w:line="271" w:lineRule="auto"/>
            </w:pPr>
            <w:r>
              <w:rPr>
                <w:rFonts w:ascii="Calibri" w:hAnsi="Calibri"/>
                <w:color w:val="162236"/>
                <w:sz w:val="16"/>
              </w:rPr>
              <w:t>Merge and 301</w:t>
            </w:r>
          </w:p>
        </w:tc>
        <w:tc>
          <w:tcPr>
            <w:tcW w:type="dxa" w:w="2110"/>
            <w:vAlign w:val="center"/>
            <w:tcMar>
              <w:top w:w="80" w:type="dxa"/>
              <w:start w:w="120" w:type="dxa"/>
              <w:bottom w:w="80" w:type="dxa"/>
              <w:end w:w="120" w:type="dxa"/>
            </w:tcMar>
          </w:tcPr>
          <w:p>
            <w:pPr>
              <w:spacing w:before="0" w:after="0" w:line="271" w:lineRule="auto"/>
            </w:pPr>
            <w:r>
              <w:rPr>
                <w:rFonts w:ascii="Calibri" w:hAnsi="Calibri"/>
                <w:color w:val="162236"/>
                <w:sz w:val="16"/>
              </w:rPr>
              <w:t>Prevent cannibalisation.</w:t>
            </w:r>
          </w:p>
        </w:tc>
      </w:tr>
      <w:tr>
        <w:trPr>
          <w:cantSplit/>
        </w:trPr>
        <w:tc>
          <w:tcPr>
            <w:tcW w:type="dxa" w:w="2650"/>
            <w:vAlign w:val="center"/>
            <w:tcMar>
              <w:top w:w="80" w:type="dxa"/>
              <w:start w:w="120" w:type="dxa"/>
              <w:bottom w:w="80" w:type="dxa"/>
              <w:end w:w="120" w:type="dxa"/>
            </w:tcMar>
          </w:tcPr>
          <w:p>
            <w:pPr>
              <w:spacing w:before="0" w:after="0" w:line="271" w:lineRule="auto"/>
            </w:pPr>
            <w:r>
              <w:rPr>
                <w:rFonts w:ascii="Calibri" w:hAnsi="Calibri"/>
                <w:color w:val="162236"/>
                <w:sz w:val="16"/>
              </w:rPr>
              <w:t>Generic digital-dentistry articles</w:t>
            </w:r>
          </w:p>
        </w:tc>
        <w:tc>
          <w:tcPr>
            <w:tcW w:type="dxa" w:w="2700"/>
            <w:vAlign w:val="center"/>
            <w:tcMar>
              <w:top w:w="80" w:type="dxa"/>
              <w:start w:w="120" w:type="dxa"/>
              <w:bottom w:w="80" w:type="dxa"/>
              <w:end w:w="120" w:type="dxa"/>
            </w:tcMar>
          </w:tcPr>
          <w:p>
            <w:pPr>
              <w:spacing w:before="0" w:after="0" w:line="271" w:lineRule="auto"/>
            </w:pPr>
            <w:r>
              <w:rPr>
                <w:rFonts w:ascii="Calibri" w:hAnsi="Calibri"/>
                <w:color w:val="162236"/>
                <w:sz w:val="16"/>
              </w:rPr>
              <w:t>Retain only if unique and useful</w:t>
            </w:r>
          </w:p>
        </w:tc>
        <w:tc>
          <w:tcPr>
            <w:tcW w:type="dxa" w:w="1900"/>
            <w:vAlign w:val="center"/>
            <w:tcMar>
              <w:top w:w="80" w:type="dxa"/>
              <w:start w:w="120" w:type="dxa"/>
              <w:bottom w:w="80" w:type="dxa"/>
              <w:end w:w="120" w:type="dxa"/>
            </w:tcMar>
          </w:tcPr>
          <w:p>
            <w:pPr>
              <w:spacing w:before="0" w:after="0" w:line="271" w:lineRule="auto"/>
            </w:pPr>
            <w:r>
              <w:rPr>
                <w:rFonts w:ascii="Calibri" w:hAnsi="Calibri"/>
                <w:color w:val="162236"/>
                <w:sz w:val="16"/>
              </w:rPr>
              <w:t>Rewrite / merge / retire</w:t>
            </w:r>
          </w:p>
        </w:tc>
        <w:tc>
          <w:tcPr>
            <w:tcW w:type="dxa" w:w="2110"/>
            <w:vAlign w:val="center"/>
            <w:tcMar>
              <w:top w:w="80" w:type="dxa"/>
              <w:start w:w="120" w:type="dxa"/>
              <w:bottom w:w="80" w:type="dxa"/>
              <w:end w:w="120" w:type="dxa"/>
            </w:tcMar>
          </w:tcPr>
          <w:p>
            <w:pPr>
              <w:spacing w:before="0" w:after="0" w:line="271" w:lineRule="auto"/>
            </w:pPr>
            <w:r>
              <w:rPr>
                <w:rFonts w:ascii="Calibri" w:hAnsi="Calibri"/>
                <w:color w:val="162236"/>
                <w:sz w:val="16"/>
              </w:rPr>
              <w:t>Remove mass-produced tone.</w:t>
            </w:r>
          </w:p>
        </w:tc>
      </w:tr>
    </w:tbl>
    <w:p>
      <w:pPr>
        <w:spacing w:after="60"/>
      </w:pPr>
    </w:p>
    <w:p>
      <w:pPr>
        <w:pStyle w:val="Heading2"/>
        <w:spacing w:before="280" w:after="140" w:line="252" w:lineRule="auto"/>
        <w:keepNext w:val="1"/>
        <w:pageBreakBefore w:val="0"/>
      </w:pPr>
      <w:r>
        <w:rPr>
          <w:rFonts w:ascii="Calibri" w:hAnsi="Calibri"/>
          <w:b/>
          <w:color w:val="2E74B5"/>
          <w:sz w:val="26"/>
        </w:rPr>
        <w:t>Migration controls</w:t>
      </w:r>
    </w:p>
    <w:p>
      <w:pPr>
        <w:pStyle w:val="ListBullet"/>
        <w:keepLines/>
        <w:spacing w:before="0" w:after="80" w:line="300" w:lineRule="auto"/>
      </w:pPr>
      <w:r>
        <w:rPr>
          <w:rFonts w:ascii="Calibri" w:hAnsi="Calibri"/>
          <w:color w:val="162236"/>
          <w:sz w:val="22"/>
        </w:rPr>
        <w:t>Export the current URL list, backlinks, organic landing pages, titles, canonicals and index status before changing routes.</w:t>
      </w:r>
    </w:p>
    <w:p>
      <w:pPr>
        <w:pStyle w:val="ListBullet"/>
        <w:keepLines/>
        <w:spacing w:before="0" w:after="80" w:line="300" w:lineRule="auto"/>
      </w:pPr>
      <w:r>
        <w:rPr>
          <w:rFonts w:ascii="Calibri" w:hAnsi="Calibri"/>
          <w:color w:val="162236"/>
          <w:sz w:val="22"/>
        </w:rPr>
        <w:t>Map every valuable URL to the closest relevant new page.</w:t>
      </w:r>
    </w:p>
    <w:p>
      <w:pPr>
        <w:pStyle w:val="ListBullet"/>
        <w:keepLines/>
        <w:spacing w:before="0" w:after="80" w:line="300" w:lineRule="auto"/>
      </w:pPr>
      <w:r>
        <w:rPr>
          <w:rFonts w:ascii="Calibri" w:hAnsi="Calibri"/>
          <w:color w:val="162236"/>
          <w:sz w:val="22"/>
        </w:rPr>
        <w:t>Preserve the live site and live CRM form until the replacement route has passed staging and dummy-record testing.</w:t>
      </w:r>
    </w:p>
    <w:p>
      <w:pPr>
        <w:pStyle w:val="ListBullet"/>
        <w:keepLines/>
        <w:spacing w:before="0" w:after="80" w:line="300" w:lineRule="auto"/>
      </w:pPr>
      <w:r>
        <w:rPr>
          <w:rFonts w:ascii="Calibri" w:hAnsi="Calibri"/>
          <w:color w:val="162236"/>
          <w:sz w:val="22"/>
        </w:rPr>
        <w:t>Launch 301 redirects with the new pages, then monitor 404s, index coverage, rankings and conversion events.</w:t>
      </w:r>
    </w:p>
    <w:p>
      <w:pPr>
        <w:pStyle w:val="ListBullet"/>
        <w:keepLines/>
        <w:spacing w:before="0" w:after="80" w:line="300" w:lineRule="auto"/>
      </w:pPr>
      <w:r>
        <w:rPr>
          <w:rFonts w:ascii="Calibri" w:hAnsi="Calibri"/>
          <w:color w:val="162236"/>
          <w:sz w:val="22"/>
        </w:rPr>
        <w:t>Do not bulk-change dates on old content merely to make it appear fresh.</w:t>
      </w:r>
    </w:p>
    <w:p>
      <w:pPr>
        <w:pStyle w:val="Heading1"/>
        <w:spacing w:before="360" w:after="200" w:line="252" w:lineRule="auto"/>
        <w:keepNext w:val="1"/>
        <w:pageBreakBefore w:val="1"/>
      </w:pPr>
      <w:r>
        <w:rPr>
          <w:rFonts w:ascii="Calibri" w:hAnsi="Calibri"/>
          <w:b/>
          <w:color w:val="2E74B5"/>
          <w:sz w:val="32"/>
        </w:rPr>
        <w:t>13. Measurement and governance</w:t>
      </w:r>
    </w:p>
    <w:p>
      <w:pPr>
        <w:pStyle w:val="Heading2"/>
        <w:spacing w:before="280" w:after="140" w:line="252" w:lineRule="auto"/>
        <w:keepNext w:val="1"/>
        <w:pageBreakBefore w:val="0"/>
      </w:pPr>
      <w:r>
        <w:rPr>
          <w:rFonts w:ascii="Calibri" w:hAnsi="Calibri"/>
          <w:b/>
          <w:color w:val="2E74B5"/>
          <w:sz w:val="26"/>
        </w:rPr>
        <w:t>What success should measure</w:t>
      </w:r>
    </w:p>
    <w:tbl>
      <w:tblPr>
        <w:tblStyle w:val="TableGrid"/>
        <w:tblW w:type="dxa" w:w="9360"/>
        <w:tblLayout w:type="fixed"/>
        <w:tblLook w:firstColumn="1" w:firstRow="1" w:lastColumn="0" w:lastRow="0" w:noHBand="0" w:noVBand="1" w:val="04A0"/>
        <w:jc w:val="left"/>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2300"/>
        <w:gridCol w:w="7060"/>
      </w:tblGrid>
      <w:tr>
        <w:trPr>
          <w:tblHeader w:val="true"/>
          <w:cantSplit/>
        </w:trPr>
        <w:tc>
          <w:tcPr>
            <w:tcW w:type="dxa" w:w="2300"/>
            <w:tcMar>
              <w:top w:w="80" w:type="dxa"/>
              <w:start w:w="120" w:type="dxa"/>
              <w:bottom w:w="80" w:type="dxa"/>
              <w:end w:w="120" w:type="dxa"/>
            </w:tcMar>
            <w:vAlign w:val="center"/>
            <w:shd w:fill="E8EEF5"/>
          </w:tcPr>
          <w:p>
            <w:pPr>
              <w:spacing w:before="0" w:after="0" w:line="264" w:lineRule="auto"/>
            </w:pPr>
            <w:r>
              <w:rPr>
                <w:rFonts w:ascii="Calibri" w:hAnsi="Calibri"/>
                <w:b/>
                <w:color w:val="162236"/>
                <w:sz w:val="18"/>
              </w:rPr>
              <w:t>Layer</w:t>
            </w:r>
          </w:p>
        </w:tc>
        <w:tc>
          <w:tcPr>
            <w:tcW w:type="dxa" w:w="7060"/>
            <w:tcMar>
              <w:top w:w="80" w:type="dxa"/>
              <w:start w:w="120" w:type="dxa"/>
              <w:bottom w:w="80" w:type="dxa"/>
              <w:end w:w="120" w:type="dxa"/>
            </w:tcMar>
            <w:vAlign w:val="center"/>
            <w:shd w:fill="E8EEF5"/>
          </w:tcPr>
          <w:p>
            <w:pPr>
              <w:spacing w:before="0" w:after="0" w:line="264" w:lineRule="auto"/>
            </w:pPr>
            <w:r>
              <w:rPr>
                <w:rFonts w:ascii="Calibri" w:hAnsi="Calibri"/>
                <w:b/>
                <w:color w:val="162236"/>
                <w:sz w:val="18"/>
              </w:rPr>
              <w:t>Measures</w:t>
            </w:r>
          </w:p>
        </w:tc>
      </w:tr>
      <w:tr>
        <w:trPr>
          <w:cantSplit/>
        </w:trPr>
        <w:tc>
          <w:tcPr>
            <w:tcW w:type="dxa" w:w="2300"/>
            <w:vAlign w:val="center"/>
            <w:tcMar>
              <w:top w:w="80" w:type="dxa"/>
              <w:start w:w="120" w:type="dxa"/>
              <w:bottom w:w="80" w:type="dxa"/>
              <w:end w:w="120" w:type="dxa"/>
            </w:tcMar>
          </w:tcPr>
          <w:p>
            <w:pPr>
              <w:spacing w:before="0" w:after="0" w:line="271" w:lineRule="auto"/>
            </w:pPr>
            <w:r>
              <w:rPr>
                <w:rFonts w:ascii="Calibri" w:hAnsi="Calibri"/>
                <w:color w:val="162236"/>
                <w:sz w:val="18"/>
              </w:rPr>
              <w:t>Audience quality</w:t>
            </w:r>
          </w:p>
        </w:tc>
        <w:tc>
          <w:tcPr>
            <w:tcW w:type="dxa" w:w="7060"/>
            <w:vAlign w:val="center"/>
            <w:tcMar>
              <w:top w:w="80" w:type="dxa"/>
              <w:start w:w="120" w:type="dxa"/>
              <w:bottom w:w="80" w:type="dxa"/>
              <w:end w:w="120" w:type="dxa"/>
            </w:tcMar>
          </w:tcPr>
          <w:p>
            <w:pPr>
              <w:spacing w:before="0" w:after="0" w:line="271" w:lineRule="auto"/>
            </w:pPr>
            <w:r>
              <w:rPr>
                <w:rFonts w:ascii="Calibri" w:hAnsi="Calibri"/>
                <w:color w:val="162236"/>
                <w:sz w:val="18"/>
              </w:rPr>
              <w:t>Dental-professional traffic · India / global split · returning practice users</w:t>
            </w:r>
          </w:p>
        </w:tc>
      </w:tr>
      <w:tr>
        <w:trPr>
          <w:cantSplit/>
        </w:trPr>
        <w:tc>
          <w:tcPr>
            <w:tcW w:type="dxa" w:w="2300"/>
            <w:vAlign w:val="center"/>
            <w:tcMar>
              <w:top w:w="80" w:type="dxa"/>
              <w:start w:w="120" w:type="dxa"/>
              <w:bottom w:w="80" w:type="dxa"/>
              <w:end w:w="120" w:type="dxa"/>
            </w:tcMar>
          </w:tcPr>
          <w:p>
            <w:pPr>
              <w:spacing w:before="0" w:after="0" w:line="271" w:lineRule="auto"/>
            </w:pPr>
            <w:r>
              <w:rPr>
                <w:rFonts w:ascii="Calibri" w:hAnsi="Calibri"/>
                <w:color w:val="162236"/>
                <w:sz w:val="18"/>
              </w:rPr>
              <w:t>Commercial intent</w:t>
            </w:r>
          </w:p>
        </w:tc>
        <w:tc>
          <w:tcPr>
            <w:tcW w:type="dxa" w:w="7060"/>
            <w:vAlign w:val="center"/>
            <w:tcMar>
              <w:top w:w="80" w:type="dxa"/>
              <w:start w:w="120" w:type="dxa"/>
              <w:bottom w:w="80" w:type="dxa"/>
              <w:end w:w="120" w:type="dxa"/>
            </w:tcMar>
          </w:tcPr>
          <w:p>
            <w:pPr>
              <w:spacing w:before="0" w:after="0" w:line="271" w:lineRule="auto"/>
            </w:pPr>
            <w:r>
              <w:rPr>
                <w:rFonts w:ascii="Calibri" w:hAnsi="Calibri"/>
                <w:color w:val="162236"/>
                <w:sz w:val="18"/>
              </w:rPr>
              <w:t>Start a Case clicks · Discuss a Case submissions · portal registrations</w:t>
            </w:r>
          </w:p>
        </w:tc>
      </w:tr>
      <w:tr>
        <w:trPr>
          <w:cantSplit/>
        </w:trPr>
        <w:tc>
          <w:tcPr>
            <w:tcW w:type="dxa" w:w="2300"/>
            <w:vAlign w:val="center"/>
            <w:tcMar>
              <w:top w:w="80" w:type="dxa"/>
              <w:start w:w="120" w:type="dxa"/>
              <w:bottom w:w="80" w:type="dxa"/>
              <w:end w:w="120" w:type="dxa"/>
            </w:tcMar>
          </w:tcPr>
          <w:p>
            <w:pPr>
              <w:spacing w:before="0" w:after="0" w:line="271" w:lineRule="auto"/>
            </w:pPr>
            <w:r>
              <w:rPr>
                <w:rFonts w:ascii="Calibri" w:hAnsi="Calibri"/>
                <w:color w:val="162236"/>
                <w:sz w:val="18"/>
              </w:rPr>
              <w:t>Operational conversion</w:t>
            </w:r>
          </w:p>
        </w:tc>
        <w:tc>
          <w:tcPr>
            <w:tcW w:type="dxa" w:w="7060"/>
            <w:vAlign w:val="center"/>
            <w:tcMar>
              <w:top w:w="80" w:type="dxa"/>
              <w:start w:w="120" w:type="dxa"/>
              <w:bottom w:w="80" w:type="dxa"/>
              <w:end w:w="120" w:type="dxa"/>
            </w:tcMar>
          </w:tcPr>
          <w:p>
            <w:pPr>
              <w:spacing w:before="0" w:after="0" w:line="271" w:lineRule="auto"/>
            </w:pPr>
            <w:r>
              <w:rPr>
                <w:rFonts w:ascii="Calibri" w:hAnsi="Calibri"/>
                <w:color w:val="162236"/>
                <w:sz w:val="18"/>
              </w:rPr>
              <w:t>Registration-to-case rate · case submission completion · accepted quotations</w:t>
            </w:r>
          </w:p>
        </w:tc>
      </w:tr>
      <w:tr>
        <w:trPr>
          <w:cantSplit/>
        </w:trPr>
        <w:tc>
          <w:tcPr>
            <w:tcW w:type="dxa" w:w="2300"/>
            <w:vAlign w:val="center"/>
            <w:tcMar>
              <w:top w:w="80" w:type="dxa"/>
              <w:start w:w="120" w:type="dxa"/>
              <w:bottom w:w="80" w:type="dxa"/>
              <w:end w:w="120" w:type="dxa"/>
            </w:tcMar>
          </w:tcPr>
          <w:p>
            <w:pPr>
              <w:spacing w:before="0" w:after="0" w:line="271" w:lineRule="auto"/>
            </w:pPr>
            <w:r>
              <w:rPr>
                <w:rFonts w:ascii="Calibri" w:hAnsi="Calibri"/>
                <w:color w:val="162236"/>
                <w:sz w:val="18"/>
              </w:rPr>
              <w:t>Workflow quality</w:t>
            </w:r>
          </w:p>
        </w:tc>
        <w:tc>
          <w:tcPr>
            <w:tcW w:type="dxa" w:w="7060"/>
            <w:vAlign w:val="center"/>
            <w:tcMar>
              <w:top w:w="80" w:type="dxa"/>
              <w:start w:w="120" w:type="dxa"/>
              <w:bottom w:w="80" w:type="dxa"/>
              <w:end w:w="120" w:type="dxa"/>
            </w:tcMar>
          </w:tcPr>
          <w:p>
            <w:pPr>
              <w:spacing w:before="0" w:after="0" w:line="271" w:lineRule="auto"/>
            </w:pPr>
            <w:r>
              <w:rPr>
                <w:rFonts w:ascii="Calibri" w:hAnsi="Calibri"/>
                <w:color w:val="162236"/>
                <w:sz w:val="18"/>
              </w:rPr>
              <w:t>Missing-data rate · clarification cycles · plan review time · approval turnaround</w:t>
            </w:r>
          </w:p>
        </w:tc>
      </w:tr>
      <w:tr>
        <w:trPr>
          <w:cantSplit/>
        </w:trPr>
        <w:tc>
          <w:tcPr>
            <w:tcW w:type="dxa" w:w="2300"/>
            <w:vAlign w:val="center"/>
            <w:tcMar>
              <w:top w:w="80" w:type="dxa"/>
              <w:start w:w="120" w:type="dxa"/>
              <w:bottom w:w="80" w:type="dxa"/>
              <w:end w:w="120" w:type="dxa"/>
            </w:tcMar>
          </w:tcPr>
          <w:p>
            <w:pPr>
              <w:spacing w:before="0" w:after="0" w:line="271" w:lineRule="auto"/>
            </w:pPr>
            <w:r>
              <w:rPr>
                <w:rFonts w:ascii="Calibri" w:hAnsi="Calibri"/>
                <w:color w:val="162236"/>
                <w:sz w:val="18"/>
              </w:rPr>
              <w:t>SEO</w:t>
            </w:r>
          </w:p>
        </w:tc>
        <w:tc>
          <w:tcPr>
            <w:tcW w:type="dxa" w:w="7060"/>
            <w:vAlign w:val="center"/>
            <w:tcMar>
              <w:top w:w="80" w:type="dxa"/>
              <w:start w:w="120" w:type="dxa"/>
              <w:bottom w:w="80" w:type="dxa"/>
              <w:end w:w="120" w:type="dxa"/>
            </w:tcMar>
          </w:tcPr>
          <w:p>
            <w:pPr>
              <w:spacing w:before="0" w:after="0" w:line="271" w:lineRule="auto"/>
            </w:pPr>
            <w:r>
              <w:rPr>
                <w:rFonts w:ascii="Calibri" w:hAnsi="Calibri"/>
                <w:color w:val="162236"/>
                <w:sz w:val="18"/>
              </w:rPr>
              <w:t>Non-brand clicks · solution-page CTR · indexed pages · assisted case starts</w:t>
            </w:r>
          </w:p>
        </w:tc>
      </w:tr>
      <w:tr>
        <w:trPr>
          <w:cantSplit/>
        </w:trPr>
        <w:tc>
          <w:tcPr>
            <w:tcW w:type="dxa" w:w="2300"/>
            <w:vAlign w:val="center"/>
            <w:tcMar>
              <w:top w:w="80" w:type="dxa"/>
              <w:start w:w="120" w:type="dxa"/>
              <w:bottom w:w="80" w:type="dxa"/>
              <w:end w:w="120" w:type="dxa"/>
            </w:tcMar>
          </w:tcPr>
          <w:p>
            <w:pPr>
              <w:spacing w:before="0" w:after="0" w:line="271" w:lineRule="auto"/>
            </w:pPr>
            <w:r>
              <w:rPr>
                <w:rFonts w:ascii="Calibri" w:hAnsi="Calibri"/>
                <w:color w:val="162236"/>
                <w:sz w:val="18"/>
              </w:rPr>
              <w:t>Trust</w:t>
            </w:r>
          </w:p>
        </w:tc>
        <w:tc>
          <w:tcPr>
            <w:tcW w:type="dxa" w:w="7060"/>
            <w:vAlign w:val="center"/>
            <w:tcMar>
              <w:top w:w="80" w:type="dxa"/>
              <w:start w:w="120" w:type="dxa"/>
              <w:bottom w:w="80" w:type="dxa"/>
              <w:end w:w="120" w:type="dxa"/>
            </w:tcMar>
          </w:tcPr>
          <w:p>
            <w:pPr>
              <w:spacing w:before="0" w:after="0" w:line="271" w:lineRule="auto"/>
            </w:pPr>
            <w:r>
              <w:rPr>
                <w:rFonts w:ascii="Calibri" w:hAnsi="Calibri"/>
                <w:color w:val="162236"/>
                <w:sz w:val="18"/>
              </w:rPr>
              <w:t>Case-evidence views · requirements downloads · evidence-to-case conversion</w:t>
            </w:r>
          </w:p>
        </w:tc>
      </w:tr>
    </w:tbl>
    <w:p>
      <w:pPr>
        <w:spacing w:after="60"/>
      </w:pPr>
    </w:p>
    <w:p>
      <w:pPr>
        <w:pStyle w:val="Heading2"/>
        <w:spacing w:before="280" w:after="140" w:line="252" w:lineRule="auto"/>
        <w:keepNext w:val="1"/>
        <w:pageBreakBefore w:val="0"/>
      </w:pPr>
      <w:r>
        <w:rPr>
          <w:rFonts w:ascii="Calibri" w:hAnsi="Calibri"/>
          <w:b/>
          <w:color w:val="2E74B5"/>
          <w:sz w:val="26"/>
        </w:rPr>
        <w:t>Content approval path</w:t>
      </w:r>
    </w:p>
    <w:p>
      <w:pPr>
        <w:keepLines/>
        <w:spacing w:before="0" w:after="100" w:line="300" w:lineRule="auto"/>
        <w:numPr>
          <w:ilvl w:val="0"/>
          <w:numId w:val="16"/>
        </w:numPr>
      </w:pPr>
      <w:r>
        <w:rPr>
          <w:rFonts w:ascii="Calibri" w:hAnsi="Calibri"/>
          <w:b/>
          <w:color w:val="162236"/>
          <w:sz w:val="22"/>
        </w:rPr>
        <w:t xml:space="preserve">Subject input. </w:t>
      </w:r>
      <w:r>
        <w:rPr>
          <w:rFonts w:ascii="Calibri" w:hAnsi="Calibri"/>
          <w:color w:val="162236"/>
          <w:sz w:val="22"/>
        </w:rPr>
        <w:t>Capture the real workflow from Sudeep Paul, the technical team or case coordinators.</w:t>
      </w:r>
    </w:p>
    <w:p>
      <w:pPr>
        <w:keepLines/>
        <w:spacing w:before="0" w:after="100" w:line="300" w:lineRule="auto"/>
        <w:numPr>
          <w:ilvl w:val="0"/>
          <w:numId w:val="16"/>
        </w:numPr>
      </w:pPr>
      <w:r>
        <w:rPr>
          <w:rFonts w:ascii="Calibri" w:hAnsi="Calibri"/>
          <w:b/>
          <w:color w:val="162236"/>
          <w:sz w:val="22"/>
        </w:rPr>
        <w:t xml:space="preserve">Draft. </w:t>
      </w:r>
      <w:r>
        <w:rPr>
          <w:rFonts w:ascii="Calibri" w:hAnsi="Calibri"/>
          <w:color w:val="162236"/>
          <w:sz w:val="22"/>
        </w:rPr>
        <w:t>Write the page in plain, dentist-centred language.</w:t>
      </w:r>
    </w:p>
    <w:p>
      <w:pPr>
        <w:keepLines/>
        <w:spacing w:before="0" w:after="100" w:line="300" w:lineRule="auto"/>
        <w:numPr>
          <w:ilvl w:val="0"/>
          <w:numId w:val="16"/>
        </w:numPr>
      </w:pPr>
      <w:r>
        <w:rPr>
          <w:rFonts w:ascii="Calibri" w:hAnsi="Calibri"/>
          <w:b/>
          <w:color w:val="162236"/>
          <w:sz w:val="22"/>
        </w:rPr>
        <w:t xml:space="preserve">Technical check. </w:t>
      </w:r>
      <w:r>
        <w:rPr>
          <w:rFonts w:ascii="Calibri" w:hAnsi="Calibri"/>
          <w:color w:val="162236"/>
          <w:sz w:val="22"/>
        </w:rPr>
        <w:t>Validate files, steps, scope, compatibility and deliverables.</w:t>
      </w:r>
    </w:p>
    <w:p>
      <w:pPr>
        <w:keepLines/>
        <w:spacing w:before="0" w:after="100" w:line="300" w:lineRule="auto"/>
        <w:numPr>
          <w:ilvl w:val="0"/>
          <w:numId w:val="16"/>
        </w:numPr>
      </w:pPr>
      <w:r>
        <w:rPr>
          <w:rFonts w:ascii="Calibri" w:hAnsi="Calibri"/>
          <w:b/>
          <w:color w:val="162236"/>
          <w:sz w:val="22"/>
        </w:rPr>
        <w:t xml:space="preserve">Clinical check. </w:t>
      </w:r>
      <w:r>
        <w:rPr>
          <w:rFonts w:ascii="Calibri" w:hAnsi="Calibri"/>
          <w:color w:val="162236"/>
          <w:sz w:val="22"/>
        </w:rPr>
        <w:t>Review clinical statements, limitations and responsibility language.</w:t>
      </w:r>
    </w:p>
    <w:p>
      <w:pPr>
        <w:keepLines/>
        <w:spacing w:before="0" w:after="100" w:line="300" w:lineRule="auto"/>
        <w:numPr>
          <w:ilvl w:val="0"/>
          <w:numId w:val="16"/>
        </w:numPr>
      </w:pPr>
      <w:r>
        <w:rPr>
          <w:rFonts w:ascii="Calibri" w:hAnsi="Calibri"/>
          <w:b/>
          <w:color w:val="162236"/>
          <w:sz w:val="22"/>
        </w:rPr>
        <w:t xml:space="preserve">Claim check. </w:t>
      </w:r>
      <w:r>
        <w:rPr>
          <w:rFonts w:ascii="Calibri" w:hAnsi="Calibri"/>
          <w:color w:val="162236"/>
          <w:sz w:val="22"/>
        </w:rPr>
        <w:t>Verify every number, partner, credential and turnaround statement.</w:t>
      </w:r>
    </w:p>
    <w:p>
      <w:pPr>
        <w:keepLines/>
        <w:spacing w:before="0" w:after="100" w:line="300" w:lineRule="auto"/>
        <w:numPr>
          <w:ilvl w:val="0"/>
          <w:numId w:val="16"/>
        </w:numPr>
      </w:pPr>
      <w:r>
        <w:rPr>
          <w:rFonts w:ascii="Calibri" w:hAnsi="Calibri"/>
          <w:b/>
          <w:color w:val="162236"/>
          <w:sz w:val="22"/>
        </w:rPr>
        <w:t xml:space="preserve">SEO check. </w:t>
      </w:r>
      <w:r>
        <w:rPr>
          <w:rFonts w:ascii="Calibri" w:hAnsi="Calibri"/>
          <w:color w:val="162236"/>
          <w:sz w:val="22"/>
        </w:rPr>
        <w:t>Confirm search intent, title, H1, internal links, image text and canonical route.</w:t>
      </w:r>
    </w:p>
    <w:p>
      <w:pPr>
        <w:keepLines/>
        <w:spacing w:before="0" w:after="100" w:line="300" w:lineRule="auto"/>
        <w:numPr>
          <w:ilvl w:val="0"/>
          <w:numId w:val="16"/>
        </w:numPr>
      </w:pPr>
      <w:r>
        <w:rPr>
          <w:rFonts w:ascii="Calibri" w:hAnsi="Calibri"/>
          <w:b/>
          <w:color w:val="162236"/>
          <w:sz w:val="22"/>
        </w:rPr>
        <w:t xml:space="preserve">Founder approval. </w:t>
      </w:r>
      <w:r>
        <w:rPr>
          <w:rFonts w:ascii="Calibri" w:hAnsi="Calibri"/>
          <w:color w:val="162236"/>
          <w:sz w:val="22"/>
        </w:rPr>
        <w:t>Approve public positioning and material claims before publication.</w:t>
      </w:r>
    </w:p>
    <w:p>
      <w:pPr>
        <w:pStyle w:val="Heading2"/>
        <w:spacing w:before="280" w:after="140" w:line="252" w:lineRule="auto"/>
        <w:keepNext w:val="1"/>
        <w:pageBreakBefore w:val="0"/>
      </w:pPr>
      <w:r>
        <w:rPr>
          <w:rFonts w:ascii="Calibri" w:hAnsi="Calibri"/>
          <w:b/>
          <w:color w:val="2E74B5"/>
          <w:sz w:val="26"/>
        </w:rPr>
        <w:t>Page review record</w:t>
      </w:r>
    </w:p>
    <w:p>
      <w:pPr>
        <w:pStyle w:val="ListBullet"/>
        <w:keepLines/>
        <w:spacing w:before="0" w:after="80" w:line="300" w:lineRule="auto"/>
      </w:pPr>
      <w:r>
        <w:rPr>
          <w:rFonts w:ascii="Calibri" w:hAnsi="Calibri"/>
          <w:color w:val="162236"/>
          <w:sz w:val="22"/>
        </w:rPr>
        <w:t>Page owner</w:t>
      </w:r>
    </w:p>
    <w:p>
      <w:pPr>
        <w:pStyle w:val="ListBullet"/>
        <w:keepLines/>
        <w:spacing w:before="0" w:after="80" w:line="300" w:lineRule="auto"/>
      </w:pPr>
      <w:r>
        <w:rPr>
          <w:rFonts w:ascii="Calibri" w:hAnsi="Calibri"/>
          <w:color w:val="162236"/>
          <w:sz w:val="22"/>
        </w:rPr>
        <w:t>Technical reviewer</w:t>
      </w:r>
    </w:p>
    <w:p>
      <w:pPr>
        <w:pStyle w:val="ListBullet"/>
        <w:keepLines/>
        <w:spacing w:before="0" w:after="80" w:line="300" w:lineRule="auto"/>
      </w:pPr>
      <w:r>
        <w:rPr>
          <w:rFonts w:ascii="Calibri" w:hAnsi="Calibri"/>
          <w:color w:val="162236"/>
          <w:sz w:val="22"/>
        </w:rPr>
        <w:t>Clinical reviewer where applicable</w:t>
      </w:r>
    </w:p>
    <w:p>
      <w:pPr>
        <w:pStyle w:val="ListBullet"/>
        <w:keepLines/>
        <w:spacing w:before="0" w:after="80" w:line="300" w:lineRule="auto"/>
      </w:pPr>
      <w:r>
        <w:rPr>
          <w:rFonts w:ascii="Calibri" w:hAnsi="Calibri"/>
          <w:color w:val="162236"/>
          <w:sz w:val="22"/>
        </w:rPr>
        <w:t>Claim source and as-of date</w:t>
      </w:r>
    </w:p>
    <w:p>
      <w:pPr>
        <w:pStyle w:val="ListBullet"/>
        <w:keepLines/>
        <w:spacing w:before="0" w:after="80" w:line="300" w:lineRule="auto"/>
      </w:pPr>
      <w:r>
        <w:rPr>
          <w:rFonts w:ascii="Calibri" w:hAnsi="Calibri"/>
          <w:color w:val="162236"/>
          <w:sz w:val="22"/>
        </w:rPr>
        <w:t>Last substantive review date</w:t>
      </w:r>
    </w:p>
    <w:p>
      <w:pPr>
        <w:pStyle w:val="ListBullet"/>
        <w:keepLines/>
        <w:spacing w:before="0" w:after="80" w:line="300" w:lineRule="auto"/>
      </w:pPr>
      <w:r>
        <w:rPr>
          <w:rFonts w:ascii="Calibri" w:hAnsi="Calibri"/>
          <w:color w:val="162236"/>
          <w:sz w:val="22"/>
        </w:rPr>
        <w:t>Next scheduled review</w:t>
      </w:r>
    </w:p>
    <w:p>
      <w:pPr>
        <w:pStyle w:val="Heading1"/>
        <w:spacing w:before="360" w:after="200" w:line="252" w:lineRule="auto"/>
        <w:keepNext w:val="1"/>
        <w:pageBreakBefore w:val="1"/>
      </w:pPr>
      <w:r>
        <w:rPr>
          <w:rFonts w:ascii="Calibri" w:hAnsi="Calibri"/>
          <w:b/>
          <w:color w:val="2E74B5"/>
          <w:sz w:val="32"/>
        </w:rPr>
        <w:t>14. Implementation sequence</w:t>
      </w:r>
    </w:p>
    <w:p>
      <w:pPr>
        <w:pStyle w:val="Heading2"/>
        <w:spacing w:before="280" w:after="140" w:line="252" w:lineRule="auto"/>
        <w:keepNext w:val="1"/>
        <w:pageBreakBefore w:val="0"/>
      </w:pPr>
      <w:r>
        <w:rPr>
          <w:rFonts w:ascii="Calibri" w:hAnsi="Calibri"/>
          <w:b/>
          <w:color w:val="2E74B5"/>
          <w:sz w:val="26"/>
        </w:rPr>
        <w:t>Release 1 — establish the service journey</w:t>
      </w:r>
    </w:p>
    <w:p>
      <w:pPr>
        <w:pStyle w:val="ListBullet"/>
        <w:keepLines/>
        <w:spacing w:before="0" w:after="80" w:line="300" w:lineRule="auto"/>
      </w:pPr>
      <w:r>
        <w:rPr>
          <w:rFonts w:ascii="Calibri" w:hAnsi="Calibri"/>
          <w:color w:val="162236"/>
          <w:sz w:val="22"/>
        </w:rPr>
        <w:t>Home</w:t>
      </w:r>
    </w:p>
    <w:p>
      <w:pPr>
        <w:pStyle w:val="ListBullet"/>
        <w:keepLines/>
        <w:spacing w:before="0" w:after="80" w:line="300" w:lineRule="auto"/>
      </w:pPr>
      <w:r>
        <w:rPr>
          <w:rFonts w:ascii="Calibri" w:hAnsi="Calibri"/>
          <w:color w:val="162236"/>
          <w:sz w:val="22"/>
        </w:rPr>
        <w:t>Clinical Workflow Solutions</w:t>
      </w:r>
    </w:p>
    <w:p>
      <w:pPr>
        <w:pStyle w:val="ListBullet"/>
        <w:keepLines/>
        <w:spacing w:before="0" w:after="80" w:line="300" w:lineRule="auto"/>
      </w:pPr>
      <w:r>
        <w:rPr>
          <w:rFonts w:ascii="Calibri" w:hAnsi="Calibri"/>
          <w:color w:val="162236"/>
          <w:sz w:val="22"/>
        </w:rPr>
        <w:t>Guided Implant Workflow</w:t>
      </w:r>
    </w:p>
    <w:p>
      <w:pPr>
        <w:pStyle w:val="ListBullet"/>
        <w:keepLines/>
        <w:spacing w:before="0" w:after="80" w:line="300" w:lineRule="auto"/>
      </w:pPr>
      <w:r>
        <w:rPr>
          <w:rFonts w:ascii="Calibri" w:hAnsi="Calibri"/>
          <w:color w:val="162236"/>
          <w:sz w:val="22"/>
        </w:rPr>
        <w:t>Full-Arch Stackable Workflow</w:t>
      </w:r>
    </w:p>
    <w:p>
      <w:pPr>
        <w:pStyle w:val="ListBullet"/>
        <w:keepLines/>
        <w:spacing w:before="0" w:after="80" w:line="300" w:lineRule="auto"/>
      </w:pPr>
      <w:r>
        <w:rPr>
          <w:rFonts w:ascii="Calibri" w:hAnsi="Calibri"/>
          <w:color w:val="162236"/>
          <w:sz w:val="22"/>
        </w:rPr>
        <w:t>Zygoma &amp; Pterygoid Planning</w:t>
      </w:r>
    </w:p>
    <w:p>
      <w:pPr>
        <w:pStyle w:val="ListBullet"/>
        <w:keepLines/>
        <w:spacing w:before="0" w:after="80" w:line="300" w:lineRule="auto"/>
      </w:pPr>
      <w:r>
        <w:rPr>
          <w:rFonts w:ascii="Calibri" w:hAnsi="Calibri"/>
          <w:color w:val="162236"/>
          <w:sz w:val="22"/>
        </w:rPr>
        <w:t>How It Works</w:t>
      </w:r>
    </w:p>
    <w:p>
      <w:pPr>
        <w:pStyle w:val="ListBullet"/>
        <w:keepLines/>
        <w:spacing w:before="0" w:after="80" w:line="300" w:lineRule="auto"/>
      </w:pPr>
      <w:r>
        <w:rPr>
          <w:rFonts w:ascii="Calibri" w:hAnsi="Calibri"/>
          <w:color w:val="162236"/>
          <w:sz w:val="22"/>
        </w:rPr>
        <w:t>Case Requirements</w:t>
      </w:r>
    </w:p>
    <w:p>
      <w:pPr>
        <w:pStyle w:val="ListBullet"/>
        <w:keepLines/>
        <w:spacing w:before="0" w:after="80" w:line="300" w:lineRule="auto"/>
      </w:pPr>
      <w:r>
        <w:rPr>
          <w:rFonts w:ascii="Calibri" w:hAnsi="Calibri"/>
          <w:color w:val="162236"/>
          <w:sz w:val="22"/>
        </w:rPr>
        <w:t>About</w:t>
      </w:r>
    </w:p>
    <w:p>
      <w:pPr>
        <w:pStyle w:val="ListBullet"/>
        <w:keepLines/>
        <w:spacing w:before="0" w:after="80" w:line="300" w:lineRule="auto"/>
      </w:pPr>
      <w:r>
        <w:rPr>
          <w:rFonts w:ascii="Calibri" w:hAnsi="Calibri"/>
          <w:color w:val="162236"/>
          <w:sz w:val="22"/>
        </w:rPr>
        <w:t>Discuss a Complex Case</w:t>
      </w:r>
    </w:p>
    <w:p>
      <w:pPr>
        <w:pStyle w:val="ListBullet"/>
        <w:keepLines/>
        <w:spacing w:before="0" w:after="80" w:line="300" w:lineRule="auto"/>
      </w:pPr>
      <w:r>
        <w:rPr>
          <w:rFonts w:ascii="Calibri" w:hAnsi="Calibri"/>
          <w:color w:val="162236"/>
          <w:sz w:val="22"/>
        </w:rPr>
        <w:t>Case Portal Gateway</w:t>
      </w:r>
    </w:p>
    <w:p>
      <w:pPr>
        <w:pStyle w:val="ListBullet"/>
        <w:keepLines/>
        <w:spacing w:before="0" w:after="80" w:line="300" w:lineRule="auto"/>
      </w:pPr>
      <w:r>
        <w:rPr>
          <w:rFonts w:ascii="Calibri" w:hAnsi="Calibri"/>
          <w:color w:val="162236"/>
          <w:sz w:val="22"/>
        </w:rPr>
        <w:t>Privacy and Terms</w:t>
      </w:r>
    </w:p>
    <w:p>
      <w:pPr>
        <w:spacing w:before="0" w:after="120" w:line="300" w:lineRule="auto"/>
        <w:jc w:val="left"/>
      </w:pPr>
      <w:r>
        <w:rPr>
          <w:rFonts w:ascii="Calibri" w:hAnsi="Calibri"/>
          <w:i/>
          <w:color w:val="5F6B7A"/>
          <w:sz w:val="22"/>
        </w:rPr>
        <w:t>Release 1 must connect to tested portal and CRM paths without replacing the current live form before approval.</w:t>
      </w:r>
    </w:p>
    <w:p>
      <w:pPr>
        <w:pStyle w:val="Heading2"/>
        <w:spacing w:before="280" w:after="140" w:line="252" w:lineRule="auto"/>
        <w:keepNext w:val="1"/>
        <w:pageBreakBefore w:val="0"/>
      </w:pPr>
      <w:r>
        <w:rPr>
          <w:rFonts w:ascii="Calibri" w:hAnsi="Calibri"/>
          <w:b/>
          <w:color w:val="2E74B5"/>
          <w:sz w:val="26"/>
        </w:rPr>
        <w:t>Release 2 — deepen commercial fit</w:t>
      </w:r>
    </w:p>
    <w:p>
      <w:pPr>
        <w:pStyle w:val="ListBullet"/>
        <w:keepLines/>
        <w:spacing w:before="0" w:after="80" w:line="300" w:lineRule="auto"/>
      </w:pPr>
      <w:r>
        <w:rPr>
          <w:rFonts w:ascii="Calibri" w:hAnsi="Calibri"/>
          <w:color w:val="162236"/>
          <w:sz w:val="22"/>
        </w:rPr>
        <w:t>Immediate-Loading Prosthetic Workflow</w:t>
      </w:r>
    </w:p>
    <w:p>
      <w:pPr>
        <w:pStyle w:val="ListBullet"/>
        <w:keepLines/>
        <w:spacing w:before="0" w:after="80" w:line="300" w:lineRule="auto"/>
      </w:pPr>
      <w:r>
        <w:rPr>
          <w:rFonts w:ascii="Calibri" w:hAnsi="Calibri"/>
          <w:color w:val="162236"/>
          <w:sz w:val="22"/>
        </w:rPr>
        <w:t>Case Data &amp; Diagnostic Preparation</w:t>
      </w:r>
    </w:p>
    <w:p>
      <w:pPr>
        <w:pStyle w:val="ListBullet"/>
        <w:keepLines/>
        <w:spacing w:before="0" w:after="80" w:line="300" w:lineRule="auto"/>
      </w:pPr>
      <w:r>
        <w:rPr>
          <w:rFonts w:ascii="Calibri" w:hAnsi="Calibri"/>
          <w:color w:val="162236"/>
          <w:sz w:val="22"/>
        </w:rPr>
        <w:t>Design-Only Workflow</w:t>
      </w:r>
    </w:p>
    <w:p>
      <w:pPr>
        <w:pStyle w:val="ListBullet"/>
        <w:keepLines/>
        <w:spacing w:before="0" w:after="80" w:line="300" w:lineRule="auto"/>
      </w:pPr>
      <w:r>
        <w:rPr>
          <w:rFonts w:ascii="Calibri" w:hAnsi="Calibri"/>
          <w:color w:val="162236"/>
          <w:sz w:val="22"/>
        </w:rPr>
        <w:t>Design-to-Delivery Workflow</w:t>
      </w:r>
    </w:p>
    <w:p>
      <w:pPr>
        <w:pStyle w:val="ListBullet"/>
        <w:keepLines/>
        <w:spacing w:before="0" w:after="80" w:line="300" w:lineRule="auto"/>
      </w:pPr>
      <w:r>
        <w:rPr>
          <w:rFonts w:ascii="Calibri" w:hAnsi="Calibri"/>
          <w:color w:val="162236"/>
          <w:sz w:val="22"/>
        </w:rPr>
        <w:t>White-Label Workflow Partnership</w:t>
      </w:r>
    </w:p>
    <w:p>
      <w:pPr>
        <w:pStyle w:val="ListBullet"/>
        <w:keepLines/>
        <w:spacing w:before="0" w:after="80" w:line="300" w:lineRule="auto"/>
      </w:pPr>
      <w:r>
        <w:rPr>
          <w:rFonts w:ascii="Calibri" w:hAnsi="Calibri"/>
          <w:color w:val="162236"/>
          <w:sz w:val="22"/>
        </w:rPr>
        <w:t>Expanded Digital Dentistry Solutions</w:t>
      </w:r>
    </w:p>
    <w:p>
      <w:pPr>
        <w:pStyle w:val="ListBullet"/>
        <w:keepLines/>
        <w:spacing w:before="0" w:after="80" w:line="300" w:lineRule="auto"/>
      </w:pPr>
      <w:r>
        <w:rPr>
          <w:rFonts w:ascii="Calibri" w:hAnsi="Calibri"/>
          <w:color w:val="162236"/>
          <w:sz w:val="22"/>
        </w:rPr>
        <w:t>Case Evidence</w:t>
      </w:r>
    </w:p>
    <w:p>
      <w:pPr>
        <w:pStyle w:val="Heading2"/>
        <w:spacing w:before="280" w:after="140" w:line="252" w:lineRule="auto"/>
        <w:keepNext w:val="1"/>
        <w:pageBreakBefore w:val="0"/>
      </w:pPr>
      <w:r>
        <w:rPr>
          <w:rFonts w:ascii="Calibri" w:hAnsi="Calibri"/>
          <w:b/>
          <w:color w:val="2E74B5"/>
          <w:sz w:val="26"/>
        </w:rPr>
        <w:t>Release 3 — consolidate search equity</w:t>
      </w:r>
    </w:p>
    <w:p>
      <w:pPr>
        <w:pStyle w:val="ListBullet"/>
        <w:keepLines/>
        <w:spacing w:before="0" w:after="80" w:line="300" w:lineRule="auto"/>
      </w:pPr>
      <w:r>
        <w:rPr>
          <w:rFonts w:ascii="Calibri" w:hAnsi="Calibri"/>
          <w:color w:val="162236"/>
          <w:sz w:val="22"/>
        </w:rPr>
        <w:t>Audit and redirect legacy service, workshop, training, FAQ, gallery and blog URLs.</w:t>
      </w:r>
    </w:p>
    <w:p>
      <w:pPr>
        <w:pStyle w:val="ListBullet"/>
        <w:keepLines/>
        <w:spacing w:before="0" w:after="80" w:line="300" w:lineRule="auto"/>
      </w:pPr>
      <w:r>
        <w:rPr>
          <w:rFonts w:ascii="Calibri" w:hAnsi="Calibri"/>
          <w:color w:val="162236"/>
          <w:sz w:val="22"/>
        </w:rPr>
        <w:t>Publish the first four reviewed Workflow Notes.</w:t>
      </w:r>
    </w:p>
    <w:p>
      <w:pPr>
        <w:pStyle w:val="ListBullet"/>
        <w:keepLines/>
        <w:spacing w:before="0" w:after="80" w:line="300" w:lineRule="auto"/>
      </w:pPr>
      <w:r>
        <w:rPr>
          <w:rFonts w:ascii="Calibri" w:hAnsi="Calibri"/>
          <w:color w:val="162236"/>
          <w:sz w:val="22"/>
        </w:rPr>
        <w:t>Add verified proof metrics and permitted partner evidence.</w:t>
      </w:r>
    </w:p>
    <w:p>
      <w:pPr>
        <w:pStyle w:val="ListBullet"/>
        <w:keepLines/>
        <w:spacing w:before="0" w:after="80" w:line="300" w:lineRule="auto"/>
      </w:pPr>
      <w:r>
        <w:rPr>
          <w:rFonts w:ascii="Calibri" w:hAnsi="Calibri"/>
          <w:color w:val="162236"/>
          <w:sz w:val="22"/>
        </w:rPr>
        <w:t>Monitor search, portal conversion and missing-data patterns; improve pages from real behaviour.</w:t>
      </w:r>
    </w:p>
    <w:p>
      <w:pPr>
        <w:pStyle w:val="Heading2"/>
        <w:spacing w:before="280" w:after="140" w:line="252" w:lineRule="auto"/>
        <w:keepNext w:val="1"/>
        <w:pageBreakBefore w:val="0"/>
      </w:pPr>
      <w:r>
        <w:rPr>
          <w:rFonts w:ascii="Calibri" w:hAnsi="Calibri"/>
          <w:b/>
          <w:color w:val="2E74B5"/>
          <w:sz w:val="26"/>
        </w:rPr>
        <w:t>Decision gates before copywriting begins</w:t>
      </w:r>
    </w:p>
    <w:tbl>
      <w:tblPr>
        <w:tblStyle w:val="TableGrid"/>
        <w:tblW w:type="dxa" w:w="9360"/>
        <w:tblLayout w:type="fixed"/>
        <w:tblLook w:firstColumn="1" w:firstRow="1" w:lastColumn="0" w:lastRow="0" w:noHBand="0" w:noVBand="1" w:val="04A0"/>
        <w:jc w:val="left"/>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2850"/>
        <w:gridCol w:w="4310"/>
        <w:gridCol w:w="2200"/>
      </w:tblGrid>
      <w:tr>
        <w:trPr>
          <w:tblHeader w:val="true"/>
          <w:cantSplit/>
        </w:trPr>
        <w:tc>
          <w:tcPr>
            <w:tcW w:type="dxa" w:w="2850"/>
            <w:tcMar>
              <w:top w:w="80" w:type="dxa"/>
              <w:start w:w="120" w:type="dxa"/>
              <w:bottom w:w="80" w:type="dxa"/>
              <w:end w:w="120" w:type="dxa"/>
            </w:tcMar>
            <w:vAlign w:val="center"/>
            <w:shd w:fill="E8EEF5"/>
          </w:tcPr>
          <w:p>
            <w:pPr>
              <w:spacing w:before="0" w:after="0" w:line="264" w:lineRule="auto"/>
            </w:pPr>
            <w:r>
              <w:rPr>
                <w:rFonts w:ascii="Calibri" w:hAnsi="Calibri"/>
                <w:b/>
                <w:color w:val="162236"/>
                <w:sz w:val="17"/>
              </w:rPr>
              <w:t>Decision</w:t>
            </w:r>
          </w:p>
        </w:tc>
        <w:tc>
          <w:tcPr>
            <w:tcW w:type="dxa" w:w="4310"/>
            <w:tcMar>
              <w:top w:w="80" w:type="dxa"/>
              <w:start w:w="120" w:type="dxa"/>
              <w:bottom w:w="80" w:type="dxa"/>
              <w:end w:w="120" w:type="dxa"/>
            </w:tcMar>
            <w:vAlign w:val="center"/>
            <w:shd w:fill="E8EEF5"/>
          </w:tcPr>
          <w:p>
            <w:pPr>
              <w:spacing w:before="0" w:after="0" w:line="264" w:lineRule="auto"/>
            </w:pPr>
            <w:r>
              <w:rPr>
                <w:rFonts w:ascii="Calibri" w:hAnsi="Calibri"/>
                <w:b/>
                <w:color w:val="162236"/>
                <w:sz w:val="17"/>
              </w:rPr>
              <w:t>Why it matters</w:t>
            </w:r>
          </w:p>
        </w:tc>
        <w:tc>
          <w:tcPr>
            <w:tcW w:type="dxa" w:w="2200"/>
            <w:tcMar>
              <w:top w:w="80" w:type="dxa"/>
              <w:start w:w="120" w:type="dxa"/>
              <w:bottom w:w="80" w:type="dxa"/>
              <w:end w:w="120" w:type="dxa"/>
            </w:tcMar>
            <w:vAlign w:val="center"/>
            <w:shd w:fill="E8EEF5"/>
          </w:tcPr>
          <w:p>
            <w:pPr>
              <w:spacing w:before="0" w:after="0" w:line="264" w:lineRule="auto"/>
            </w:pPr>
            <w:r>
              <w:rPr>
                <w:rFonts w:ascii="Calibri" w:hAnsi="Calibri"/>
                <w:b/>
                <w:color w:val="162236"/>
                <w:sz w:val="17"/>
              </w:rPr>
              <w:t>Owner</w:t>
            </w:r>
          </w:p>
        </w:tc>
      </w:tr>
      <w:tr>
        <w:trPr>
          <w:cantSplit/>
        </w:trPr>
        <w:tc>
          <w:tcPr>
            <w:tcW w:type="dxa" w:w="2850"/>
            <w:vAlign w:val="center"/>
            <w:tcMar>
              <w:top w:w="80" w:type="dxa"/>
              <w:start w:w="120" w:type="dxa"/>
              <w:bottom w:w="80" w:type="dxa"/>
              <w:end w:w="120" w:type="dxa"/>
            </w:tcMar>
          </w:tcPr>
          <w:p>
            <w:pPr>
              <w:spacing w:before="0" w:after="0" w:line="271" w:lineRule="auto"/>
            </w:pPr>
            <w:r>
              <w:rPr>
                <w:rFonts w:ascii="Calibri" w:hAnsi="Calibri"/>
                <w:color w:val="162236"/>
                <w:sz w:val="17"/>
              </w:rPr>
              <w:t>Final public URL structure</w:t>
            </w:r>
          </w:p>
        </w:tc>
        <w:tc>
          <w:tcPr>
            <w:tcW w:type="dxa" w:w="4310"/>
            <w:vAlign w:val="center"/>
            <w:tcMar>
              <w:top w:w="80" w:type="dxa"/>
              <w:start w:w="120" w:type="dxa"/>
              <w:bottom w:w="80" w:type="dxa"/>
              <w:end w:w="120" w:type="dxa"/>
            </w:tcMar>
          </w:tcPr>
          <w:p>
            <w:pPr>
              <w:spacing w:before="0" w:after="0" w:line="271" w:lineRule="auto"/>
            </w:pPr>
            <w:r>
              <w:rPr>
                <w:rFonts w:ascii="Calibri" w:hAnsi="Calibri"/>
                <w:color w:val="162236"/>
                <w:sz w:val="17"/>
              </w:rPr>
              <w:t>Prevents copy and redirects being built twice.</w:t>
            </w:r>
          </w:p>
        </w:tc>
        <w:tc>
          <w:tcPr>
            <w:tcW w:type="dxa" w:w="2200"/>
            <w:vAlign w:val="center"/>
            <w:tcMar>
              <w:top w:w="80" w:type="dxa"/>
              <w:start w:w="120" w:type="dxa"/>
              <w:bottom w:w="80" w:type="dxa"/>
              <w:end w:w="120" w:type="dxa"/>
            </w:tcMar>
          </w:tcPr>
          <w:p>
            <w:pPr>
              <w:spacing w:before="0" w:after="0" w:line="271" w:lineRule="auto"/>
            </w:pPr>
            <w:r>
              <w:rPr>
                <w:rFonts w:ascii="Calibri" w:hAnsi="Calibri"/>
                <w:color w:val="162236"/>
                <w:sz w:val="17"/>
              </w:rPr>
              <w:t>Founder + web lead</w:t>
            </w:r>
          </w:p>
        </w:tc>
      </w:tr>
      <w:tr>
        <w:trPr>
          <w:cantSplit/>
        </w:trPr>
        <w:tc>
          <w:tcPr>
            <w:tcW w:type="dxa" w:w="2850"/>
            <w:vAlign w:val="center"/>
            <w:tcMar>
              <w:top w:w="80" w:type="dxa"/>
              <w:start w:w="120" w:type="dxa"/>
              <w:bottom w:w="80" w:type="dxa"/>
              <w:end w:w="120" w:type="dxa"/>
            </w:tcMar>
          </w:tcPr>
          <w:p>
            <w:pPr>
              <w:spacing w:before="0" w:after="0" w:line="271" w:lineRule="auto"/>
            </w:pPr>
            <w:r>
              <w:rPr>
                <w:rFonts w:ascii="Calibri" w:hAnsi="Calibri"/>
                <w:color w:val="162236"/>
                <w:sz w:val="17"/>
              </w:rPr>
              <w:t>Portal production URL and login flow</w:t>
            </w:r>
          </w:p>
        </w:tc>
        <w:tc>
          <w:tcPr>
            <w:tcW w:type="dxa" w:w="4310"/>
            <w:vAlign w:val="center"/>
            <w:tcMar>
              <w:top w:w="80" w:type="dxa"/>
              <w:start w:w="120" w:type="dxa"/>
              <w:bottom w:w="80" w:type="dxa"/>
              <w:end w:w="120" w:type="dxa"/>
            </w:tcMar>
          </w:tcPr>
          <w:p>
            <w:pPr>
              <w:spacing w:before="0" w:after="0" w:line="271" w:lineRule="auto"/>
            </w:pPr>
            <w:r>
              <w:rPr>
                <w:rFonts w:ascii="Calibri" w:hAnsi="Calibri"/>
                <w:color w:val="162236"/>
                <w:sz w:val="17"/>
              </w:rPr>
              <w:t>Makes Start a Case and Portal Login accurate.</w:t>
            </w:r>
          </w:p>
        </w:tc>
        <w:tc>
          <w:tcPr>
            <w:tcW w:type="dxa" w:w="2200"/>
            <w:vAlign w:val="center"/>
            <w:tcMar>
              <w:top w:w="80" w:type="dxa"/>
              <w:start w:w="120" w:type="dxa"/>
              <w:bottom w:w="80" w:type="dxa"/>
              <w:end w:w="120" w:type="dxa"/>
            </w:tcMar>
          </w:tcPr>
          <w:p>
            <w:pPr>
              <w:spacing w:before="0" w:after="0" w:line="271" w:lineRule="auto"/>
            </w:pPr>
            <w:r>
              <w:rPr>
                <w:rFonts w:ascii="Calibri" w:hAnsi="Calibri"/>
                <w:color w:val="162236"/>
                <w:sz w:val="17"/>
              </w:rPr>
              <w:t>Portal lead</w:t>
            </w:r>
          </w:p>
        </w:tc>
      </w:tr>
      <w:tr>
        <w:trPr>
          <w:cantSplit/>
        </w:trPr>
        <w:tc>
          <w:tcPr>
            <w:tcW w:type="dxa" w:w="2850"/>
            <w:vAlign w:val="center"/>
            <w:tcMar>
              <w:top w:w="80" w:type="dxa"/>
              <w:start w:w="120" w:type="dxa"/>
              <w:bottom w:w="80" w:type="dxa"/>
              <w:end w:w="120" w:type="dxa"/>
            </w:tcMar>
          </w:tcPr>
          <w:p>
            <w:pPr>
              <w:spacing w:before="0" w:after="0" w:line="271" w:lineRule="auto"/>
            </w:pPr>
            <w:r>
              <w:rPr>
                <w:rFonts w:ascii="Calibri" w:hAnsi="Calibri"/>
                <w:color w:val="162236"/>
                <w:sz w:val="17"/>
              </w:rPr>
              <w:t>Live service availability</w:t>
            </w:r>
          </w:p>
        </w:tc>
        <w:tc>
          <w:tcPr>
            <w:tcW w:type="dxa" w:w="4310"/>
            <w:vAlign w:val="center"/>
            <w:tcMar>
              <w:top w:w="80" w:type="dxa"/>
              <w:start w:w="120" w:type="dxa"/>
              <w:bottom w:w="80" w:type="dxa"/>
              <w:end w:w="120" w:type="dxa"/>
            </w:tcMar>
          </w:tcPr>
          <w:p>
            <w:pPr>
              <w:spacing w:before="0" w:after="0" w:line="271" w:lineRule="auto"/>
            </w:pPr>
            <w:r>
              <w:rPr>
                <w:rFonts w:ascii="Calibri" w:hAnsi="Calibri"/>
                <w:color w:val="162236"/>
                <w:sz w:val="17"/>
              </w:rPr>
              <w:t>Prevents unavailable workflows being published.</w:t>
            </w:r>
          </w:p>
        </w:tc>
        <w:tc>
          <w:tcPr>
            <w:tcW w:type="dxa" w:w="2200"/>
            <w:vAlign w:val="center"/>
            <w:tcMar>
              <w:top w:w="80" w:type="dxa"/>
              <w:start w:w="120" w:type="dxa"/>
              <w:bottom w:w="80" w:type="dxa"/>
              <w:end w:w="120" w:type="dxa"/>
            </w:tcMar>
          </w:tcPr>
          <w:p>
            <w:pPr>
              <w:spacing w:before="0" w:after="0" w:line="271" w:lineRule="auto"/>
            </w:pPr>
            <w:r>
              <w:rPr>
                <w:rFonts w:ascii="Calibri" w:hAnsi="Calibri"/>
                <w:color w:val="162236"/>
                <w:sz w:val="17"/>
              </w:rPr>
              <w:t>Operations</w:t>
            </w:r>
          </w:p>
        </w:tc>
      </w:tr>
      <w:tr>
        <w:trPr>
          <w:cantSplit/>
        </w:trPr>
        <w:tc>
          <w:tcPr>
            <w:tcW w:type="dxa" w:w="2850"/>
            <w:vAlign w:val="center"/>
            <w:tcMar>
              <w:top w:w="80" w:type="dxa"/>
              <w:start w:w="120" w:type="dxa"/>
              <w:bottom w:w="80" w:type="dxa"/>
              <w:end w:w="120" w:type="dxa"/>
            </w:tcMar>
          </w:tcPr>
          <w:p>
            <w:pPr>
              <w:spacing w:before="0" w:after="0" w:line="271" w:lineRule="auto"/>
            </w:pPr>
            <w:r>
              <w:rPr>
                <w:rFonts w:ascii="Calibri" w:hAnsi="Calibri"/>
                <w:color w:val="162236"/>
                <w:sz w:val="17"/>
              </w:rPr>
              <w:t>Proof-point verification</w:t>
            </w:r>
          </w:p>
        </w:tc>
        <w:tc>
          <w:tcPr>
            <w:tcW w:type="dxa" w:w="4310"/>
            <w:vAlign w:val="center"/>
            <w:tcMar>
              <w:top w:w="80" w:type="dxa"/>
              <w:start w:w="120" w:type="dxa"/>
              <w:bottom w:w="80" w:type="dxa"/>
              <w:end w:w="120" w:type="dxa"/>
            </w:tcMar>
          </w:tcPr>
          <w:p>
            <w:pPr>
              <w:spacing w:before="0" w:after="0" w:line="271" w:lineRule="auto"/>
            </w:pPr>
            <w:r>
              <w:rPr>
                <w:rFonts w:ascii="Calibri" w:hAnsi="Calibri"/>
                <w:color w:val="162236"/>
                <w:sz w:val="17"/>
              </w:rPr>
              <w:t>Removes unsupported scale and speed claims.</w:t>
            </w:r>
          </w:p>
        </w:tc>
        <w:tc>
          <w:tcPr>
            <w:tcW w:type="dxa" w:w="2200"/>
            <w:vAlign w:val="center"/>
            <w:tcMar>
              <w:top w:w="80" w:type="dxa"/>
              <w:start w:w="120" w:type="dxa"/>
              <w:bottom w:w="80" w:type="dxa"/>
              <w:end w:w="120" w:type="dxa"/>
            </w:tcMar>
          </w:tcPr>
          <w:p>
            <w:pPr>
              <w:spacing w:before="0" w:after="0" w:line="271" w:lineRule="auto"/>
            </w:pPr>
            <w:r>
              <w:rPr>
                <w:rFonts w:ascii="Calibri" w:hAnsi="Calibri"/>
                <w:color w:val="162236"/>
                <w:sz w:val="17"/>
              </w:rPr>
              <w:t>Founder + data owner</w:t>
            </w:r>
          </w:p>
        </w:tc>
      </w:tr>
      <w:tr>
        <w:trPr>
          <w:cantSplit/>
        </w:trPr>
        <w:tc>
          <w:tcPr>
            <w:tcW w:type="dxa" w:w="2850"/>
            <w:vAlign w:val="center"/>
            <w:tcMar>
              <w:top w:w="80" w:type="dxa"/>
              <w:start w:w="120" w:type="dxa"/>
              <w:bottom w:w="80" w:type="dxa"/>
              <w:end w:w="120" w:type="dxa"/>
            </w:tcMar>
          </w:tcPr>
          <w:p>
            <w:pPr>
              <w:spacing w:before="0" w:after="0" w:line="271" w:lineRule="auto"/>
            </w:pPr>
            <w:r>
              <w:rPr>
                <w:rFonts w:ascii="Calibri" w:hAnsi="Calibri"/>
                <w:color w:val="162236"/>
                <w:sz w:val="17"/>
              </w:rPr>
              <w:t>Clinical reviewer model</w:t>
            </w:r>
          </w:p>
        </w:tc>
        <w:tc>
          <w:tcPr>
            <w:tcW w:type="dxa" w:w="4310"/>
            <w:vAlign w:val="center"/>
            <w:tcMar>
              <w:top w:w="80" w:type="dxa"/>
              <w:start w:w="120" w:type="dxa"/>
              <w:bottom w:w="80" w:type="dxa"/>
              <w:end w:w="120" w:type="dxa"/>
            </w:tcMar>
          </w:tcPr>
          <w:p>
            <w:pPr>
              <w:spacing w:before="0" w:after="0" w:line="271" w:lineRule="auto"/>
            </w:pPr>
            <w:r>
              <w:rPr>
                <w:rFonts w:ascii="Calibri" w:hAnsi="Calibri"/>
                <w:color w:val="162236"/>
                <w:sz w:val="17"/>
              </w:rPr>
              <w:t>Provides accountable review for clinical statements.</w:t>
            </w:r>
          </w:p>
        </w:tc>
        <w:tc>
          <w:tcPr>
            <w:tcW w:type="dxa" w:w="2200"/>
            <w:vAlign w:val="center"/>
            <w:tcMar>
              <w:top w:w="80" w:type="dxa"/>
              <w:start w:w="120" w:type="dxa"/>
              <w:bottom w:w="80" w:type="dxa"/>
              <w:end w:w="120" w:type="dxa"/>
            </w:tcMar>
          </w:tcPr>
          <w:p>
            <w:pPr>
              <w:spacing w:before="0" w:after="0" w:line="271" w:lineRule="auto"/>
            </w:pPr>
            <w:r>
              <w:rPr>
                <w:rFonts w:ascii="Calibri" w:hAnsi="Calibri"/>
                <w:color w:val="162236"/>
                <w:sz w:val="17"/>
              </w:rPr>
              <w:t>Founder</w:t>
            </w:r>
          </w:p>
        </w:tc>
      </w:tr>
      <w:tr>
        <w:trPr>
          <w:cantSplit/>
        </w:trPr>
        <w:tc>
          <w:tcPr>
            <w:tcW w:type="dxa" w:w="2850"/>
            <w:vAlign w:val="center"/>
            <w:tcMar>
              <w:top w:w="80" w:type="dxa"/>
              <w:start w:w="120" w:type="dxa"/>
              <w:bottom w:w="80" w:type="dxa"/>
              <w:end w:w="120" w:type="dxa"/>
            </w:tcMar>
          </w:tcPr>
          <w:p>
            <w:pPr>
              <w:spacing w:before="0" w:after="0" w:line="271" w:lineRule="auto"/>
            </w:pPr>
            <w:r>
              <w:rPr>
                <w:rFonts w:ascii="Calibri" w:hAnsi="Calibri"/>
                <w:color w:val="162236"/>
                <w:sz w:val="17"/>
              </w:rPr>
              <w:t>India / Global commercial differences</w:t>
            </w:r>
          </w:p>
        </w:tc>
        <w:tc>
          <w:tcPr>
            <w:tcW w:type="dxa" w:w="4310"/>
            <w:vAlign w:val="center"/>
            <w:tcMar>
              <w:top w:w="80" w:type="dxa"/>
              <w:start w:w="120" w:type="dxa"/>
              <w:bottom w:w="80" w:type="dxa"/>
              <w:end w:w="120" w:type="dxa"/>
            </w:tcMar>
          </w:tcPr>
          <w:p>
            <w:pPr>
              <w:spacing w:before="0" w:after="0" w:line="271" w:lineRule="auto"/>
            </w:pPr>
            <w:r>
              <w:rPr>
                <w:rFonts w:ascii="Calibri" w:hAnsi="Calibri"/>
                <w:color w:val="162236"/>
                <w:sz w:val="17"/>
              </w:rPr>
              <w:t>Determines whether regional pages are justified.</w:t>
            </w:r>
          </w:p>
        </w:tc>
        <w:tc>
          <w:tcPr>
            <w:tcW w:type="dxa" w:w="2200"/>
            <w:vAlign w:val="center"/>
            <w:tcMar>
              <w:top w:w="80" w:type="dxa"/>
              <w:start w:w="120" w:type="dxa"/>
              <w:bottom w:w="80" w:type="dxa"/>
              <w:end w:w="120" w:type="dxa"/>
            </w:tcMar>
          </w:tcPr>
          <w:p>
            <w:pPr>
              <w:spacing w:before="0" w:after="0" w:line="271" w:lineRule="auto"/>
            </w:pPr>
            <w:r>
              <w:rPr>
                <w:rFonts w:ascii="Calibri" w:hAnsi="Calibri"/>
                <w:color w:val="162236"/>
                <w:sz w:val="17"/>
              </w:rPr>
              <w:t>Commercial lead</w:t>
            </w:r>
          </w:p>
        </w:tc>
      </w:tr>
      <w:tr>
        <w:trPr>
          <w:cantSplit/>
        </w:trPr>
        <w:tc>
          <w:tcPr>
            <w:tcW w:type="dxa" w:w="2850"/>
            <w:vAlign w:val="center"/>
            <w:tcMar>
              <w:top w:w="80" w:type="dxa"/>
              <w:start w:w="120" w:type="dxa"/>
              <w:bottom w:w="80" w:type="dxa"/>
              <w:end w:w="120" w:type="dxa"/>
            </w:tcMar>
          </w:tcPr>
          <w:p>
            <w:pPr>
              <w:spacing w:before="0" w:after="0" w:line="271" w:lineRule="auto"/>
            </w:pPr>
            <w:r>
              <w:rPr>
                <w:rFonts w:ascii="Calibri" w:hAnsi="Calibri"/>
                <w:color w:val="162236"/>
                <w:sz w:val="17"/>
              </w:rPr>
              <w:t>CRM form migration plan</w:t>
            </w:r>
          </w:p>
        </w:tc>
        <w:tc>
          <w:tcPr>
            <w:tcW w:type="dxa" w:w="4310"/>
            <w:vAlign w:val="center"/>
            <w:tcMar>
              <w:top w:w="80" w:type="dxa"/>
              <w:start w:w="120" w:type="dxa"/>
              <w:bottom w:w="80" w:type="dxa"/>
              <w:end w:w="120" w:type="dxa"/>
            </w:tcMar>
          </w:tcPr>
          <w:p>
            <w:pPr>
              <w:spacing w:before="0" w:after="0" w:line="271" w:lineRule="auto"/>
            </w:pPr>
            <w:r>
              <w:rPr>
                <w:rFonts w:ascii="Calibri" w:hAnsi="Calibri"/>
                <w:color w:val="162236"/>
                <w:sz w:val="17"/>
              </w:rPr>
              <w:t>Protects the current live lead flow.</w:t>
            </w:r>
          </w:p>
        </w:tc>
        <w:tc>
          <w:tcPr>
            <w:tcW w:type="dxa" w:w="2200"/>
            <w:vAlign w:val="center"/>
            <w:tcMar>
              <w:top w:w="80" w:type="dxa"/>
              <w:start w:w="120" w:type="dxa"/>
              <w:bottom w:w="80" w:type="dxa"/>
              <w:end w:w="120" w:type="dxa"/>
            </w:tcMar>
          </w:tcPr>
          <w:p>
            <w:pPr>
              <w:spacing w:before="0" w:after="0" w:line="271" w:lineRule="auto"/>
            </w:pPr>
            <w:r>
              <w:rPr>
                <w:rFonts w:ascii="Calibri" w:hAnsi="Calibri"/>
                <w:color w:val="162236"/>
                <w:sz w:val="17"/>
              </w:rPr>
              <w:t>Zoho owner</w:t>
            </w:r>
          </w:p>
        </w:tc>
      </w:tr>
    </w:tbl>
    <w:p>
      <w:pPr>
        <w:spacing w:after="60"/>
      </w:pPr>
    </w:p>
    <w:p>
      <w:pPr>
        <w:pStyle w:val="Heading1"/>
        <w:spacing w:before="360" w:after="200" w:line="252" w:lineRule="auto"/>
        <w:keepNext w:val="1"/>
        <w:pageBreakBefore w:val="0"/>
      </w:pPr>
      <w:r>
        <w:rPr>
          <w:rFonts w:ascii="Calibri" w:hAnsi="Calibri"/>
          <w:b/>
          <w:color w:val="2E74B5"/>
          <w:sz w:val="32"/>
        </w:rPr>
        <w:t>15. Acceptance checklist</w:t>
      </w:r>
    </w:p>
    <w:p>
      <w:pPr>
        <w:pStyle w:val="Heading2"/>
        <w:spacing w:before="280" w:after="140" w:line="252" w:lineRule="auto"/>
        <w:keepNext w:val="1"/>
        <w:pageBreakBefore w:val="0"/>
      </w:pPr>
      <w:r>
        <w:rPr>
          <w:rFonts w:ascii="Calibri" w:hAnsi="Calibri"/>
          <w:b/>
          <w:color w:val="2E74B5"/>
          <w:sz w:val="26"/>
        </w:rPr>
        <w:t>Strategy</w:t>
      </w:r>
    </w:p>
    <w:p>
      <w:pPr>
        <w:pStyle w:val="ListBullet"/>
        <w:keepLines/>
        <w:spacing w:before="0" w:after="80" w:line="300" w:lineRule="auto"/>
      </w:pPr>
      <w:r>
        <w:rPr>
          <w:rFonts w:ascii="Calibri" w:hAnsi="Calibri"/>
          <w:color w:val="162236"/>
          <w:sz w:val="22"/>
        </w:rPr>
        <w:t>The site presents Image3DConversion as a digital workflow partner, not a generic laboratory.</w:t>
      </w:r>
    </w:p>
    <w:p>
      <w:pPr>
        <w:pStyle w:val="ListBullet"/>
        <w:keepLines/>
        <w:spacing w:before="0" w:after="80" w:line="300" w:lineRule="auto"/>
      </w:pPr>
      <w:r>
        <w:rPr>
          <w:rFonts w:ascii="Calibri" w:hAnsi="Calibri"/>
          <w:color w:val="162236"/>
          <w:sz w:val="22"/>
        </w:rPr>
        <w:t>Education is outside the primary Image3DConversion journey.</w:t>
      </w:r>
    </w:p>
    <w:p>
      <w:pPr>
        <w:pStyle w:val="ListBullet"/>
        <w:keepLines/>
        <w:spacing w:before="0" w:after="80" w:line="300" w:lineRule="auto"/>
      </w:pPr>
      <w:r>
        <w:rPr>
          <w:rFonts w:ascii="Calibri" w:hAnsi="Calibri"/>
          <w:color w:val="162236"/>
          <w:sz w:val="22"/>
        </w:rPr>
        <w:t>The dentist remains the clinical decision-maker in all copy.</w:t>
      </w:r>
    </w:p>
    <w:p>
      <w:pPr>
        <w:pStyle w:val="ListBullet"/>
        <w:keepLines/>
        <w:spacing w:before="0" w:after="80" w:line="300" w:lineRule="auto"/>
      </w:pPr>
      <w:r>
        <w:rPr>
          <w:rFonts w:ascii="Calibri" w:hAnsi="Calibri"/>
          <w:color w:val="162236"/>
          <w:sz w:val="22"/>
        </w:rPr>
        <w:t>Guided implantology is visibly dominant over secondary digital services.</w:t>
      </w:r>
    </w:p>
    <w:p>
      <w:pPr>
        <w:pStyle w:val="Heading2"/>
        <w:spacing w:before="280" w:after="140" w:line="252" w:lineRule="auto"/>
        <w:keepNext w:val="1"/>
        <w:pageBreakBefore w:val="0"/>
      </w:pPr>
      <w:r>
        <w:rPr>
          <w:rFonts w:ascii="Calibri" w:hAnsi="Calibri"/>
          <w:b/>
          <w:color w:val="2E74B5"/>
          <w:sz w:val="26"/>
        </w:rPr>
        <w:t>Journey</w:t>
      </w:r>
    </w:p>
    <w:p>
      <w:pPr>
        <w:pStyle w:val="ListBullet"/>
        <w:keepLines/>
        <w:spacing w:before="0" w:after="80" w:line="300" w:lineRule="auto"/>
      </w:pPr>
      <w:r>
        <w:rPr>
          <w:rFonts w:ascii="Calibri" w:hAnsi="Calibri"/>
          <w:color w:val="162236"/>
          <w:sz w:val="22"/>
        </w:rPr>
        <w:t>A new visitor can choose the right workflow within one screen of the homepage.</w:t>
      </w:r>
    </w:p>
    <w:p>
      <w:pPr>
        <w:pStyle w:val="ListBullet"/>
        <w:keepLines/>
        <w:spacing w:before="0" w:after="80" w:line="300" w:lineRule="auto"/>
      </w:pPr>
      <w:r>
        <w:rPr>
          <w:rFonts w:ascii="Calibri" w:hAnsi="Calibri"/>
          <w:color w:val="162236"/>
          <w:sz w:val="22"/>
        </w:rPr>
        <w:t>Every page has one primary action and a relevant secondary route.</w:t>
      </w:r>
    </w:p>
    <w:p>
      <w:pPr>
        <w:pStyle w:val="ListBullet"/>
        <w:keepLines/>
        <w:spacing w:before="0" w:after="80" w:line="300" w:lineRule="auto"/>
      </w:pPr>
      <w:r>
        <w:rPr>
          <w:rFonts w:ascii="Calibri" w:hAnsi="Calibri"/>
          <w:color w:val="162236"/>
          <w:sz w:val="22"/>
        </w:rPr>
        <w:t>Clinical files can be uploaded only after secure login.</w:t>
      </w:r>
    </w:p>
    <w:p>
      <w:pPr>
        <w:pStyle w:val="ListBullet"/>
        <w:keepLines/>
        <w:spacing w:before="0" w:after="80" w:line="300" w:lineRule="auto"/>
      </w:pPr>
      <w:r>
        <w:rPr>
          <w:rFonts w:ascii="Calibri" w:hAnsi="Calibri"/>
          <w:color w:val="162236"/>
          <w:sz w:val="22"/>
        </w:rPr>
        <w:t>A returning user can reach the Case Portal immediately.</w:t>
      </w:r>
    </w:p>
    <w:p>
      <w:pPr>
        <w:pStyle w:val="Heading2"/>
        <w:spacing w:before="280" w:after="140" w:line="252" w:lineRule="auto"/>
        <w:keepNext w:val="1"/>
        <w:pageBreakBefore w:val="0"/>
      </w:pPr>
      <w:r>
        <w:rPr>
          <w:rFonts w:ascii="Calibri" w:hAnsi="Calibri"/>
          <w:b/>
          <w:color w:val="2E74B5"/>
          <w:sz w:val="26"/>
        </w:rPr>
        <w:t>Content</w:t>
      </w:r>
    </w:p>
    <w:p>
      <w:pPr>
        <w:pStyle w:val="ListBullet"/>
        <w:keepLines/>
        <w:spacing w:before="0" w:after="80" w:line="300" w:lineRule="auto"/>
      </w:pPr>
      <w:r>
        <w:rPr>
          <w:rFonts w:ascii="Calibri" w:hAnsi="Calibri"/>
          <w:color w:val="162236"/>
          <w:sz w:val="22"/>
        </w:rPr>
        <w:t>The copy is concise, natural and specific to real Image3DConversion work.</w:t>
      </w:r>
    </w:p>
    <w:p>
      <w:pPr>
        <w:pStyle w:val="ListBullet"/>
        <w:keepLines/>
        <w:spacing w:before="0" w:after="80" w:line="300" w:lineRule="auto"/>
      </w:pPr>
      <w:r>
        <w:rPr>
          <w:rFonts w:ascii="Calibri" w:hAnsi="Calibri"/>
          <w:color w:val="162236"/>
          <w:sz w:val="22"/>
        </w:rPr>
        <w:t>There are no unsupported accuracy, safety, predictability, turnaround or scale claims.</w:t>
      </w:r>
    </w:p>
    <w:p>
      <w:pPr>
        <w:pStyle w:val="ListBullet"/>
        <w:keepLines/>
        <w:spacing w:before="0" w:after="80" w:line="300" w:lineRule="auto"/>
      </w:pPr>
      <w:r>
        <w:rPr>
          <w:rFonts w:ascii="Calibri" w:hAnsi="Calibri"/>
          <w:color w:val="162236"/>
          <w:sz w:val="22"/>
        </w:rPr>
        <w:t>No page uses generic AI-style filler or repetitive keyword paragraphs.</w:t>
      </w:r>
    </w:p>
    <w:p>
      <w:pPr>
        <w:pStyle w:val="ListBullet"/>
        <w:keepLines/>
        <w:spacing w:before="0" w:after="80" w:line="300" w:lineRule="auto"/>
      </w:pPr>
      <w:r>
        <w:rPr>
          <w:rFonts w:ascii="Calibri" w:hAnsi="Calibri"/>
          <w:color w:val="162236"/>
          <w:sz w:val="22"/>
        </w:rPr>
        <w:t>Every case example, testimonial, reviewer and partner is real and permission-cleared.</w:t>
      </w:r>
    </w:p>
    <w:p>
      <w:pPr>
        <w:pStyle w:val="Heading2"/>
        <w:spacing w:before="280" w:after="140" w:line="252" w:lineRule="auto"/>
        <w:keepNext w:val="1"/>
        <w:pageBreakBefore w:val="0"/>
      </w:pPr>
      <w:r>
        <w:rPr>
          <w:rFonts w:ascii="Calibri" w:hAnsi="Calibri"/>
          <w:b/>
          <w:color w:val="2E74B5"/>
          <w:sz w:val="26"/>
        </w:rPr>
        <w:t>SEO and delivery</w:t>
      </w:r>
    </w:p>
    <w:p>
      <w:pPr>
        <w:pStyle w:val="ListBullet"/>
        <w:keepLines/>
        <w:spacing w:before="0" w:after="80" w:line="300" w:lineRule="auto"/>
      </w:pPr>
      <w:r>
        <w:rPr>
          <w:rFonts w:ascii="Calibri" w:hAnsi="Calibri"/>
          <w:color w:val="162236"/>
          <w:sz w:val="22"/>
        </w:rPr>
        <w:t>Each indexable page has a unique title, description, H1, route and search intent.</w:t>
      </w:r>
    </w:p>
    <w:p>
      <w:pPr>
        <w:pStyle w:val="ListBullet"/>
        <w:keepLines/>
        <w:spacing w:before="0" w:after="80" w:line="300" w:lineRule="auto"/>
      </w:pPr>
      <w:r>
        <w:rPr>
          <w:rFonts w:ascii="Calibri" w:hAnsi="Calibri"/>
          <w:color w:val="162236"/>
          <w:sz w:val="22"/>
        </w:rPr>
        <w:t>Legacy URLs have tested 301 mappings.</w:t>
      </w:r>
    </w:p>
    <w:p>
      <w:pPr>
        <w:pStyle w:val="ListBullet"/>
        <w:keepLines/>
        <w:spacing w:before="0" w:after="80" w:line="300" w:lineRule="auto"/>
      </w:pPr>
      <w:r>
        <w:rPr>
          <w:rFonts w:ascii="Calibri" w:hAnsi="Calibri"/>
          <w:color w:val="162236"/>
          <w:sz w:val="22"/>
        </w:rPr>
        <w:t>Portal screens and clinical data are excluded from indexing and protected by access control.</w:t>
      </w:r>
    </w:p>
    <w:p>
      <w:pPr>
        <w:pStyle w:val="ListBullet"/>
        <w:keepLines/>
        <w:spacing w:before="0" w:after="80" w:line="300" w:lineRule="auto"/>
      </w:pPr>
      <w:r>
        <w:rPr>
          <w:rFonts w:ascii="Calibri" w:hAnsi="Calibri"/>
          <w:color w:val="162236"/>
          <w:sz w:val="22"/>
        </w:rPr>
        <w:t>Public pages are mobile-first, crawlable and fast.</w:t>
      </w:r>
    </w:p>
    <w:p>
      <w:pPr>
        <w:pStyle w:val="ListBullet"/>
        <w:keepLines/>
        <w:spacing w:before="0" w:after="80" w:line="300" w:lineRule="auto"/>
      </w:pPr>
      <w:r>
        <w:rPr>
          <w:rFonts w:ascii="Calibri" w:hAnsi="Calibri"/>
          <w:color w:val="162236"/>
          <w:sz w:val="22"/>
        </w:rPr>
        <w:t>Analytics connects website intent to portal case creation without exposing clinical data.</w:t>
      </w:r>
    </w:p>
    <w:p>
      <w:pPr>
        <w:spacing w:before="100" w:after="180" w:line="300" w:lineRule="auto"/>
        <w:ind w:left="202" w:right="144"/>
        <w:shd w:fill="E8EEF5"/>
        <w:pBdr>
          <w:left w:val="single" w:sz="16" w:space="8" w:color="1F4D78"/>
        </w:pBdr>
        <w:keepLines w:val="1"/>
      </w:pPr>
      <w:r>
        <w:rPr>
          <w:rFonts w:ascii="Calibri" w:hAnsi="Calibri"/>
          <w:b/>
          <w:color w:val="1F4D78"/>
          <w:sz w:val="18"/>
        </w:rPr>
        <w:t xml:space="preserve">FINAL DIRECTION  </w:t>
      </w:r>
      <w:r>
        <w:rPr>
          <w:rFonts w:ascii="Calibri" w:hAnsi="Calibri"/>
          <w:b/>
          <w:color w:val="162236"/>
          <w:sz w:val="22"/>
        </w:rPr>
        <w:t>Build a smaller website with stronger pages, clearer evidence and a secure path into the case workflow.</w:t>
      </w:r>
    </w:p>
    <w:p>
      <w:pPr>
        <w:pStyle w:val="Heading1"/>
        <w:spacing w:before="360" w:after="200" w:line="252" w:lineRule="auto"/>
        <w:keepNext w:val="1"/>
        <w:pageBreakBefore w:val="0"/>
      </w:pPr>
      <w:r>
        <w:rPr>
          <w:rFonts w:ascii="Calibri" w:hAnsi="Calibri"/>
          <w:b/>
          <w:color w:val="2E74B5"/>
          <w:sz w:val="32"/>
        </w:rPr>
        <w:t>Source notes</w:t>
      </w:r>
    </w:p>
    <w:p>
      <w:pPr>
        <w:spacing w:before="0" w:after="120" w:line="300" w:lineRule="auto"/>
        <w:jc w:val="left"/>
      </w:pPr>
      <w:r>
        <w:rPr>
          <w:rFonts w:ascii="Calibri" w:hAnsi="Calibri"/>
          <w:i w:val="0"/>
          <w:color w:val="162236"/>
          <w:sz w:val="22"/>
        </w:rPr>
        <w:t>This blueprint preserves approved Image3DConversion decisions and uses the current public site only as a migration baseline. External sources below support the SEO approach; they do not supply the public-facing brand copy.</w:t>
      </w:r>
    </w:p>
    <w:p>
      <w:pPr>
        <w:pStyle w:val="ListBullet"/>
        <w:spacing w:after="100" w:line="288" w:lineRule="auto"/>
      </w:pPr>
      <w:hyperlink r:id="rId11">
        <w:r>
          <w:rPr>
            <w:color w:val="2E74B5"/>
            <w:u w:val="single"/>
          </w:rPr>
          <w:t>Google Search Central — Creating helpful, reliable, people-first content</w:t>
        </w:r>
      </w:hyperlink>
    </w:p>
    <w:p>
      <w:pPr>
        <w:pStyle w:val="ListBullet"/>
        <w:spacing w:after="100" w:line="288" w:lineRule="auto"/>
      </w:pPr>
      <w:hyperlink r:id="rId12">
        <w:r>
          <w:rPr>
            <w:color w:val="2E74B5"/>
            <w:u w:val="single"/>
          </w:rPr>
          <w:t>Google Search Central — SEO Starter Guide</w:t>
        </w:r>
      </w:hyperlink>
    </w:p>
    <w:p>
      <w:pPr>
        <w:pStyle w:val="ListBullet"/>
        <w:spacing w:after="100" w:line="288" w:lineRule="auto"/>
      </w:pPr>
      <w:hyperlink r:id="rId13">
        <w:r>
          <w:rPr>
            <w:color w:val="2E74B5"/>
            <w:u w:val="single"/>
          </w:rPr>
          <w:t>Google Search Central — Influencing title links</w:t>
        </w:r>
      </w:hyperlink>
    </w:p>
    <w:p>
      <w:pPr>
        <w:pStyle w:val="ListBullet"/>
        <w:spacing w:after="100" w:line="288" w:lineRule="auto"/>
      </w:pPr>
      <w:hyperlink r:id="rId14">
        <w:r>
          <w:rPr>
            <w:color w:val="2E74B5"/>
            <w:u w:val="single"/>
          </w:rPr>
          <w:t>Google Search Central — Meta descriptions and snippets</w:t>
        </w:r>
      </w:hyperlink>
    </w:p>
    <w:p>
      <w:pPr>
        <w:pStyle w:val="ListBullet"/>
        <w:spacing w:after="100" w:line="288" w:lineRule="auto"/>
      </w:pPr>
      <w:hyperlink r:id="rId15">
        <w:r>
          <w:rPr>
            <w:color w:val="2E74B5"/>
            <w:u w:val="single"/>
          </w:rPr>
          <w:t>Google Search Central — Mobile-first indexing</w:t>
        </w:r>
      </w:hyperlink>
    </w:p>
    <w:p>
      <w:pPr>
        <w:pStyle w:val="ListBullet"/>
        <w:spacing w:after="100" w:line="288" w:lineRule="auto"/>
      </w:pPr>
      <w:hyperlink r:id="rId16">
        <w:r>
          <w:rPr>
            <w:color w:val="2E74B5"/>
            <w:u w:val="single"/>
          </w:rPr>
          <w:t>Current Image3DConversion public website</w:t>
        </w:r>
      </w:hyperlink>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color w:val="5F6B7A"/>
        <w:sz w:val="17"/>
      </w:rPr>
      <w:t>Private working blueprint  ·  26 July 2026</w:t>
    </w:r>
    <w:r>
      <w:tab/>
    </w:r>
    <w:r>
      <w:rPr>
        <w:rFonts w:ascii="Calibri" w:hAnsi="Calibri"/>
        <w:color w:val="5F6B7A"/>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1F4D78"/>
        <w:sz w:val="17"/>
      </w:rPr>
      <w:t>IMAGE3DCONVERSION</w:t>
    </w:r>
    <w:r>
      <w:rPr>
        <w:rFonts w:ascii="Calibri" w:hAnsi="Calibri"/>
        <w:color w:val="5F6B7A"/>
        <w:sz w:val="17"/>
      </w:rPr>
      <w:t xml:space="preserve">  |  Website Strategy Blueprint · v1.1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decimal"/>
      <w:lvlText w:val="%1."/>
      <w:lvlJc w:val="left"/>
      <w:pPr>
        <w:tabs>
          <w:tab w:val="num" w:pos="540"/>
        </w:tabs>
        <w:ind w:left="540" w:hanging="270"/>
      </w:pPr>
      <w:rPr>
        <w:rFonts w:ascii="Calibri" w:hAnsi="Calibri"/>
      </w:rPr>
    </w:lvl>
  </w:abstractNum>
  <w:abstractNum w:abstractNumId="10">
    <w:multiLevelType w:val="singleLevel"/>
    <w:lvl w:ilvl="0">
      <w:start w:val="1"/>
      <w:numFmt w:val="decimal"/>
      <w:lvlText w:val="%1."/>
      <w:lvlJc w:val="left"/>
      <w:pPr>
        <w:tabs>
          <w:tab w:val="num" w:pos="540"/>
        </w:tabs>
        <w:ind w:left="540" w:hanging="270"/>
      </w:pPr>
      <w:rPr>
        <w:rFonts w:ascii="Calibri" w:hAnsi="Calibri"/>
      </w:rPr>
    </w:lvl>
  </w:abstractNum>
  <w:abstractNum w:abstractNumId="11">
    <w:multiLevelType w:val="singleLevel"/>
    <w:lvl w:ilvl="0">
      <w:start w:val="1"/>
      <w:numFmt w:val="decimal"/>
      <w:lvlText w:val="%1."/>
      <w:lvlJc w:val="left"/>
      <w:pPr>
        <w:tabs>
          <w:tab w:val="num" w:pos="540"/>
        </w:tabs>
        <w:ind w:left="540" w:hanging="270"/>
      </w:pPr>
      <w:rPr>
        <w:rFonts w:ascii="Calibri" w:hAnsi="Calibri"/>
      </w:rPr>
    </w:lvl>
  </w:abstractNum>
  <w:abstractNum w:abstractNumId="12">
    <w:multiLevelType w:val="singleLevel"/>
    <w:lvl w:ilvl="0">
      <w:start w:val="1"/>
      <w:numFmt w:val="decimal"/>
      <w:lvlText w:val="%1."/>
      <w:lvlJc w:val="left"/>
      <w:pPr>
        <w:tabs>
          <w:tab w:val="num" w:pos="540"/>
        </w:tabs>
        <w:ind w:left="540" w:hanging="270"/>
      </w:pPr>
      <w:rPr>
        <w:rFonts w:ascii="Calibri" w:hAnsi="Calibri"/>
      </w:rPr>
    </w:lvl>
  </w:abstractNum>
  <w:abstractNum w:abstractNumId="13">
    <w:multiLevelType w:val="singleLevel"/>
    <w:lvl w:ilvl="0">
      <w:start w:val="1"/>
      <w:numFmt w:val="decimal"/>
      <w:lvlText w:val="%1."/>
      <w:lvlJc w:val="left"/>
      <w:pPr>
        <w:tabs>
          <w:tab w:val="num" w:pos="540"/>
        </w:tabs>
        <w:ind w:left="540" w:hanging="270"/>
      </w:pPr>
      <w:rPr>
        <w:rFonts w:ascii="Calibri" w:hAnsi="Calibri"/>
      </w:rPr>
    </w:lvl>
  </w:abstractNum>
  <w:abstractNum w:abstractNumId="14">
    <w:multiLevelType w:val="singleLevel"/>
    <w:lvl w:ilvl="0">
      <w:start w:val="1"/>
      <w:numFmt w:val="decimal"/>
      <w:lvlText w:val="%1."/>
      <w:lvlJc w:val="left"/>
      <w:pPr>
        <w:tabs>
          <w:tab w:val="num" w:pos="540"/>
        </w:tabs>
        <w:ind w:left="540" w:hanging="270"/>
      </w:pPr>
      <w:rPr>
        <w:rFonts w:ascii="Calibri" w:hAnsi="Calibri"/>
      </w:rPr>
    </w:lvl>
  </w:abstractNum>
  <w:abstractNum w:abstractNumId="15">
    <w:multiLevelType w:val="singleLevel"/>
    <w:lvl w:ilvl="0">
      <w:start w:val="1"/>
      <w:numFmt w:val="decimal"/>
      <w:lvlText w:val="%1."/>
      <w:lvlJc w:val="left"/>
      <w:pPr>
        <w:tabs>
          <w:tab w:val="num" w:pos="540"/>
        </w:tabs>
        <w:ind w:left="540" w:hanging="270"/>
      </w:pPr>
      <w:rPr>
        <w:rFonts w:ascii="Calibri" w:hAnsi="Calibri"/>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6223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color w:val="162236"/>
      <w:sz w:val="22"/>
    </w:rPr>
  </w:style>
  <w:style w:type="paragraph" w:styleId="ListBullet2">
    <w:name w:val="List Bullet 2"/>
    <w:basedOn w:val="Normal"/>
    <w:uiPriority w:val="99"/>
    <w:unhideWhenUsed/>
    <w:rsid w:val="00326F90"/>
    <w:pPr>
      <w:numPr>
        <w:numId w:val="2"/>
      </w:numPr>
      <w:spacing w:after="80" w:line="300" w:lineRule="auto"/>
      <w:ind w:left="1008" w:hanging="259"/>
      <w:contextualSpacing/>
    </w:pPr>
    <w:rPr>
      <w:rFonts w:ascii="Calibri" w:hAnsi="Calibri"/>
      <w:color w:val="162236"/>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color w:val="162236"/>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evelopers.google.com/search/docs/fundamentals/creating-helpful-content" TargetMode="External"/><Relationship Id="rId12" Type="http://schemas.openxmlformats.org/officeDocument/2006/relationships/hyperlink" Target="https://developers.google.com/search/docs/fundamentals/seo-starter-guide" TargetMode="External"/><Relationship Id="rId13" Type="http://schemas.openxmlformats.org/officeDocument/2006/relationships/hyperlink" Target="https://developers.google.com/search/docs/appearance/title-link" TargetMode="External"/><Relationship Id="rId14" Type="http://schemas.openxmlformats.org/officeDocument/2006/relationships/hyperlink" Target="https://developers.google.com/search/docs/appearance/snippet" TargetMode="External"/><Relationship Id="rId15" Type="http://schemas.openxmlformats.org/officeDocument/2006/relationships/hyperlink" Target="https://developers.google.com/search/docs/crawling-indexing/mobile/mobile-sites-mobile-first-indexing" TargetMode="External"/><Relationship Id="rId16" Type="http://schemas.openxmlformats.org/officeDocument/2006/relationships/hyperlink" Target="https://www.image3dconversio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Image3DConversion Website Strategy Blueprint</dc:title>
  <dc:subject>Public website and Case Portal content system</dc:subject>
  <dc:creator>Image3DConversion</dc:creator>
  <cp:keywords>Image3DConversion, website strategy, SEO, digital implant workflow, case portal</cp:keywords>
  <dc:description>generated by python-docx</dc:description>
  <cp:lastModifiedBy/>
  <cp:revision>1</cp:revision>
  <dcterms:created xsi:type="dcterms:W3CDTF">2013-12-23T23:15:00Z</dcterms:created>
  <dcterms:modified xsi:type="dcterms:W3CDTF">2013-12-23T23:15:00Z</dcterms:modified>
  <cp:category/>
</cp:coreProperties>
</file>