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280" w:line="300" w:lineRule="auto"/>
        <w:jc w:val="center"/>
      </w:pPr>
      <w:r>
        <w:rPr>
          <w:rFonts w:ascii="Calibri" w:hAnsi="Calibri"/>
          <w:i w:val="0"/>
          <w:color w:val="2E74B5"/>
          <w:sz w:val="20"/>
        </w:rPr>
        <w:t>WEBSITE + CASE PORTAL</w:t>
      </w:r>
    </w:p>
    <w:p>
      <w:pPr>
        <w:spacing w:after="200"/>
        <w:jc w:val="center"/>
      </w:pPr>
      <w:r>
        <w:rPr>
          <w:rFonts w:ascii="Calibri" w:hAnsi="Calibri"/>
          <w:b/>
          <w:color w:val="162236"/>
          <w:sz w:val="56"/>
        </w:rPr>
        <w:t>Image3DConversion</w:t>
      </w:r>
    </w:p>
    <w:p>
      <w:pPr>
        <w:spacing w:after="280"/>
        <w:jc w:val="center"/>
      </w:pPr>
      <w:r>
        <w:rPr>
          <w:rFonts w:ascii="Calibri" w:hAnsi="Calibri"/>
          <w:b/>
          <w:color w:val="1F4D78"/>
          <w:sz w:val="48"/>
        </w:rPr>
        <w:t>Website Strategy Blueprint</w:t>
      </w:r>
    </w:p>
    <w:p>
      <w:pPr>
        <w:spacing w:before="0" w:after="600" w:line="300" w:lineRule="auto"/>
        <w:jc w:val="center"/>
      </w:pPr>
      <w:r>
        <w:rPr>
          <w:rFonts w:ascii="Calibri" w:hAnsi="Calibri"/>
          <w:i w:val="0"/>
          <w:color w:val="5F6B7A"/>
          <w:sz w:val="26"/>
        </w:rPr>
        <w:t>A concise, search-ready website and portal content system for dentists, practices, laboratories and workflow partners.</w:t>
      </w:r>
    </w:p>
    <w:p>
      <w:pPr>
        <w:spacing w:before="100" w:after="180" w:line="300" w:lineRule="auto"/>
        <w:ind w:left="202" w:right="144"/>
        <w:shd w:fill="E8EEF5"/>
        <w:pBdr>
          <w:left w:val="single" w:sz="16" w:space="8" w:color="1F4D78"/>
        </w:pBdr>
        <w:keepLines w:val="1"/>
      </w:pPr>
      <w:r>
        <w:rPr>
          <w:rFonts w:ascii="Calibri" w:hAnsi="Calibri"/>
          <w:b/>
          <w:color w:val="1F4D78"/>
          <w:sz w:val="18"/>
        </w:rPr>
        <w:t xml:space="preserve">STRATEGIC POSITION  </w:t>
      </w:r>
      <w:r>
        <w:rPr>
          <w:rFonts w:ascii="Calibri" w:hAnsi="Calibri"/>
          <w:b/>
          <w:color w:val="162236"/>
          <w:sz w:val="22"/>
        </w:rPr>
        <w:t>Image3DConversion is the digital workflow partner that begins with the patient smile, defines the aesthetic and prosthetic outcome, and coordinates the functional workflow required to deliver it.</w:t>
      </w:r>
    </w:p>
    <w:p>
      <w:pPr>
        <w:spacing w:before="0" w:after="60" w:line="300" w:lineRule="auto"/>
        <w:jc w:val="center"/>
      </w:pPr>
      <w:r>
        <w:rPr>
          <w:rFonts w:ascii="Calibri" w:hAnsi="Calibri"/>
          <w:i w:val="0"/>
          <w:color w:val="162236"/>
          <w:sz w:val="22"/>
        </w:rPr>
        <w:t>Prepared for Sudeep Paul</w:t>
      </w:r>
    </w:p>
    <w:p>
      <w:pPr>
        <w:spacing w:before="0" w:after="0" w:line="300" w:lineRule="auto"/>
        <w:jc w:val="center"/>
      </w:pPr>
      <w:r>
        <w:rPr>
          <w:rFonts w:ascii="Calibri" w:hAnsi="Calibri"/>
          <w:i w:val="0"/>
          <w:color w:val="5F6B7A"/>
          <w:sz w:val="19"/>
        </w:rPr>
        <w:t>Version 1.2  |  27 July 2026  |  Asia/Kolkata</w:t>
      </w:r>
    </w:p>
    <w:p>
      <w:r>
        <w:br w:type="page"/>
      </w:r>
    </w:p>
    <w:p>
      <w:pPr>
        <w:pStyle w:val="Heading1"/>
        <w:spacing w:before="360" w:after="200" w:line="252" w:lineRule="auto"/>
        <w:keepNext w:val="1"/>
        <w:pageBreakBefore w:val="0"/>
      </w:pPr>
      <w:r>
        <w:rPr>
          <w:rFonts w:ascii="Calibri" w:hAnsi="Calibri"/>
          <w:b/>
          <w:color w:val="2E74B5"/>
          <w:sz w:val="32"/>
        </w:rPr>
        <w:t>Executive decision</w:t>
      </w:r>
    </w:p>
    <w:p>
      <w:pPr>
        <w:spacing w:before="0" w:after="120" w:line="300" w:lineRule="auto"/>
        <w:jc w:val="left"/>
        <w:keepLines w:val="1"/>
      </w:pPr>
      <w:r>
        <w:rPr>
          <w:rFonts w:ascii="Calibri" w:hAnsi="Calibri"/>
          <w:i w:val="0"/>
          <w:color w:val="162236"/>
          <w:sz w:val="22"/>
        </w:rPr>
        <w:t>Image3DConversion should stop reading like a catalogue of digital dental services. It should behave like a clinical workflow company: the dentist selects the treatment objective, understands what data are needed, sees how review and approval work, and enters a secure case environment.</w:t>
      </w:r>
    </w:p>
    <w:p>
      <w:pPr>
        <w:spacing w:before="100" w:after="180" w:line="300" w:lineRule="auto"/>
        <w:ind w:left="202" w:right="144"/>
        <w:shd w:fill="E8EEF5"/>
        <w:pBdr>
          <w:left w:val="single" w:sz="16" w:space="8" w:color="2E74B5"/>
        </w:pBdr>
        <w:keepLines w:val="1"/>
      </w:pPr>
      <w:r>
        <w:rPr>
          <w:rFonts w:ascii="Calibri" w:hAnsi="Calibri"/>
          <w:b/>
          <w:color w:val="2E74B5"/>
          <w:sz w:val="18"/>
        </w:rPr>
        <w:t xml:space="preserve">NORTH STAR  </w:t>
      </w:r>
      <w:r>
        <w:rPr>
          <w:rFonts w:ascii="Calibri" w:hAnsi="Calibri"/>
          <w:b/>
          <w:color w:val="162236"/>
          <w:sz w:val="22"/>
        </w:rPr>
        <w:t>Plan the outcome. Guide the execution.</w:t>
      </w:r>
    </w:p>
    <w:p>
      <w:pPr>
        <w:spacing w:before="100" w:after="180" w:line="300" w:lineRule="auto"/>
        <w:ind w:left="202" w:right="144"/>
        <w:shd w:fill="F4F6F9"/>
        <w:pBdr>
          <w:left w:val="single" w:sz="16" w:space="8" w:color="2E74B5"/>
        </w:pBdr>
        <w:keepLines w:val="1"/>
      </w:pPr>
      <w:r>
        <w:rPr>
          <w:rFonts w:ascii="Calibri" w:hAnsi="Calibri"/>
          <w:b/>
          <w:color w:val="2E74B5"/>
          <w:sz w:val="18"/>
        </w:rPr>
        <w:t xml:space="preserve">FOUNDER-APPROVED EXPERIENCE SEQUENCE · 27 JULY 2026  </w:t>
      </w:r>
      <w:r>
        <w:rPr>
          <w:rFonts w:ascii="Calibri" w:hAnsi="Calibri"/>
          <w:b/>
          <w:color w:val="162236"/>
          <w:sz w:val="22"/>
        </w:rPr>
        <w:t>Patient smile envisioned -&gt; aesthetic and prosthetic outcome defined -&gt; function and biology engineered -&gt; guided execution coordinated -&gt; practice supported across borders.</w:t>
      </w:r>
    </w:p>
    <w:p>
      <w:pPr>
        <w:pStyle w:val="Heading2"/>
        <w:spacing w:before="280" w:after="140" w:line="252" w:lineRule="auto"/>
        <w:keepNext w:val="1"/>
        <w:pageBreakBefore w:val="0"/>
      </w:pPr>
      <w:r>
        <w:rPr>
          <w:rFonts w:ascii="Calibri" w:hAnsi="Calibri"/>
          <w:b/>
          <w:color w:val="2E74B5"/>
          <w:sz w:val="26"/>
        </w:rPr>
        <w:t>The brand split is fixed</w:t>
      </w:r>
    </w:p>
    <w:tbl>
      <w:tblPr>
        <w:tblStyle w:val="TableGrid"/>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300"/>
        <w:gridCol w:w="2700"/>
        <w:gridCol w:w="4360"/>
      </w:tblGrid>
      <w:tr>
        <w:trPr>
          <w:tblHeader w:val="true"/>
          <w:cantSplit/>
        </w:trPr>
        <w:tc>
          <w:tcPr>
            <w:tcW w:type="dxa" w:w="2300"/>
            <w:tcMar>
              <w:top w:w="80" w:type="dxa"/>
              <w:start w:w="120" w:type="dxa"/>
              <w:bottom w:w="80" w:type="dxa"/>
              <w:end w:w="120" w:type="dxa"/>
            </w:tcMar>
            <w:vAlign w:val="center"/>
            <w:shd w:fill="E8EEF5"/>
          </w:tcPr>
          <w:p>
            <w:pPr>
              <w:spacing w:before="0" w:after="0" w:line="264" w:lineRule="auto"/>
            </w:pPr>
            <w:r>
              <w:rPr>
                <w:rFonts w:ascii="Calibri" w:hAnsi="Calibri"/>
                <w:b/>
                <w:color w:val="162236"/>
                <w:sz w:val="18"/>
              </w:rPr>
              <w:t>Experience</w:t>
            </w:r>
          </w:p>
        </w:tc>
        <w:tc>
          <w:tcPr>
            <w:tcW w:type="dxa" w:w="2700"/>
            <w:tcMar>
              <w:top w:w="80" w:type="dxa"/>
              <w:start w:w="120" w:type="dxa"/>
              <w:bottom w:w="80" w:type="dxa"/>
              <w:end w:w="120" w:type="dxa"/>
            </w:tcMar>
            <w:vAlign w:val="center"/>
            <w:shd w:fill="E8EEF5"/>
          </w:tcPr>
          <w:p>
            <w:pPr>
              <w:spacing w:before="0" w:after="0" w:line="264" w:lineRule="auto"/>
            </w:pPr>
            <w:r>
              <w:rPr>
                <w:rFonts w:ascii="Calibri" w:hAnsi="Calibri"/>
                <w:b/>
                <w:color w:val="162236"/>
                <w:sz w:val="18"/>
              </w:rPr>
              <w:t>Primary role</w:t>
            </w:r>
          </w:p>
        </w:tc>
        <w:tc>
          <w:tcPr>
            <w:tcW w:type="dxa" w:w="4360"/>
            <w:tcMar>
              <w:top w:w="80" w:type="dxa"/>
              <w:start w:w="120" w:type="dxa"/>
              <w:bottom w:w="80" w:type="dxa"/>
              <w:end w:w="120" w:type="dxa"/>
            </w:tcMar>
            <w:vAlign w:val="center"/>
            <w:shd w:fill="E8EEF5"/>
          </w:tcPr>
          <w:p>
            <w:pPr>
              <w:spacing w:before="0" w:after="0" w:line="264" w:lineRule="auto"/>
            </w:pPr>
            <w:r>
              <w:rPr>
                <w:rFonts w:ascii="Calibri" w:hAnsi="Calibri"/>
                <w:b/>
                <w:color w:val="162236"/>
                <w:sz w:val="18"/>
              </w:rPr>
              <w:t>What belongs there</w:t>
            </w:r>
          </w:p>
        </w:tc>
      </w:tr>
      <w:tr>
        <w:trPr>
          <w:cantSplit/>
        </w:trPr>
        <w:tc>
          <w:tcPr>
            <w:tcW w:type="dxa" w:w="2300"/>
            <w:vAlign w:val="center"/>
            <w:tcMar>
              <w:top w:w="80" w:type="dxa"/>
              <w:start w:w="120" w:type="dxa"/>
              <w:bottom w:w="80" w:type="dxa"/>
              <w:end w:w="120" w:type="dxa"/>
            </w:tcMar>
          </w:tcPr>
          <w:p>
            <w:pPr>
              <w:spacing w:before="0" w:after="0" w:line="271" w:lineRule="auto"/>
            </w:pPr>
            <w:r>
              <w:rPr>
                <w:rFonts w:ascii="Calibri" w:hAnsi="Calibri"/>
                <w:color w:val="162236"/>
                <w:sz w:val="18"/>
              </w:rPr>
              <w:t>Image3DConversion.com</w:t>
            </w:r>
          </w:p>
        </w:tc>
        <w:tc>
          <w:tcPr>
            <w:tcW w:type="dxa" w:w="2700"/>
            <w:vAlign w:val="center"/>
            <w:tcMar>
              <w:top w:w="80" w:type="dxa"/>
              <w:start w:w="120" w:type="dxa"/>
              <w:bottom w:w="80" w:type="dxa"/>
              <w:end w:w="120" w:type="dxa"/>
            </w:tcMar>
          </w:tcPr>
          <w:p>
            <w:pPr>
              <w:spacing w:before="0" w:after="0" w:line="271" w:lineRule="auto"/>
            </w:pPr>
            <w:r>
              <w:rPr>
                <w:rFonts w:ascii="Calibri" w:hAnsi="Calibri"/>
                <w:color w:val="162236"/>
                <w:sz w:val="18"/>
              </w:rPr>
              <w:t>Clinical service and case-execution ecosystem</w:t>
            </w:r>
          </w:p>
        </w:tc>
        <w:tc>
          <w:tcPr>
            <w:tcW w:type="dxa" w:w="4360"/>
            <w:vAlign w:val="center"/>
            <w:tcMar>
              <w:top w:w="80" w:type="dxa"/>
              <w:start w:w="120" w:type="dxa"/>
              <w:bottom w:w="80" w:type="dxa"/>
              <w:end w:w="120" w:type="dxa"/>
            </w:tcMar>
          </w:tcPr>
          <w:p>
            <w:pPr>
              <w:spacing w:before="0" w:after="0" w:line="271" w:lineRule="auto"/>
            </w:pPr>
            <w:r>
              <w:rPr>
                <w:rFonts w:ascii="Calibri" w:hAnsi="Calibri"/>
                <w:color w:val="162236"/>
                <w:sz w:val="18"/>
              </w:rPr>
              <w:t>Workflow solutions, case evidence, requirements, complex-case consultation and portal entry.</w:t>
            </w:r>
          </w:p>
        </w:tc>
      </w:tr>
      <w:tr>
        <w:trPr>
          <w:cantSplit/>
        </w:trPr>
        <w:tc>
          <w:tcPr>
            <w:tcW w:type="dxa" w:w="2300"/>
            <w:vAlign w:val="center"/>
            <w:tcMar>
              <w:top w:w="80" w:type="dxa"/>
              <w:start w:w="120" w:type="dxa"/>
              <w:bottom w:w="80" w:type="dxa"/>
              <w:end w:w="120" w:type="dxa"/>
            </w:tcMar>
          </w:tcPr>
          <w:p>
            <w:pPr>
              <w:spacing w:before="0" w:after="0" w:line="271" w:lineRule="auto"/>
            </w:pPr>
            <w:r>
              <w:rPr>
                <w:rFonts w:ascii="Calibri" w:hAnsi="Calibri"/>
                <w:color w:val="162236"/>
                <w:sz w:val="18"/>
              </w:rPr>
              <w:t>Image3DConversion Case Portal</w:t>
            </w:r>
          </w:p>
        </w:tc>
        <w:tc>
          <w:tcPr>
            <w:tcW w:type="dxa" w:w="2700"/>
            <w:vAlign w:val="center"/>
            <w:tcMar>
              <w:top w:w="80" w:type="dxa"/>
              <w:start w:w="120" w:type="dxa"/>
              <w:bottom w:w="80" w:type="dxa"/>
              <w:end w:w="120" w:type="dxa"/>
            </w:tcMar>
          </w:tcPr>
          <w:p>
            <w:pPr>
              <w:spacing w:before="0" w:after="0" w:line="271" w:lineRule="auto"/>
            </w:pPr>
            <w:r>
              <w:rPr>
                <w:rFonts w:ascii="Calibri" w:hAnsi="Calibri"/>
                <w:color w:val="162236"/>
                <w:sz w:val="18"/>
              </w:rPr>
              <w:t>Secure operational environment</w:t>
            </w:r>
          </w:p>
        </w:tc>
        <w:tc>
          <w:tcPr>
            <w:tcW w:type="dxa" w:w="4360"/>
            <w:vAlign w:val="center"/>
            <w:tcMar>
              <w:top w:w="80" w:type="dxa"/>
              <w:start w:w="120" w:type="dxa"/>
              <w:bottom w:w="80" w:type="dxa"/>
              <w:end w:w="120" w:type="dxa"/>
            </w:tcMar>
          </w:tcPr>
          <w:p>
            <w:pPr>
              <w:spacing w:before="0" w:after="0" w:line="271" w:lineRule="auto"/>
            </w:pPr>
            <w:r>
              <w:rPr>
                <w:rFonts w:ascii="Calibri" w:hAnsi="Calibri"/>
                <w:color w:val="162236"/>
                <w:sz w:val="18"/>
              </w:rPr>
              <w:t>Practice onboarding, file upload, validation, quotation, plan review, approval, payment, tracking and delivery.</w:t>
            </w:r>
          </w:p>
        </w:tc>
      </w:tr>
      <w:tr>
        <w:trPr>
          <w:cantSplit/>
        </w:trPr>
        <w:tc>
          <w:tcPr>
            <w:tcW w:type="dxa" w:w="2300"/>
            <w:vAlign w:val="center"/>
            <w:tcMar>
              <w:top w:w="80" w:type="dxa"/>
              <w:start w:w="120" w:type="dxa"/>
              <w:bottom w:w="80" w:type="dxa"/>
              <w:end w:w="120" w:type="dxa"/>
            </w:tcMar>
          </w:tcPr>
          <w:p>
            <w:pPr>
              <w:spacing w:before="0" w:after="0" w:line="271" w:lineRule="auto"/>
            </w:pPr>
            <w:r>
              <w:rPr>
                <w:rFonts w:ascii="Calibri" w:hAnsi="Calibri"/>
                <w:color w:val="162236"/>
                <w:sz w:val="18"/>
              </w:rPr>
              <w:t>PaulSudeep.com / SurgiGuideExcellence</w:t>
            </w:r>
          </w:p>
        </w:tc>
        <w:tc>
          <w:tcPr>
            <w:tcW w:type="dxa" w:w="2700"/>
            <w:vAlign w:val="center"/>
            <w:tcMar>
              <w:top w:w="80" w:type="dxa"/>
              <w:start w:w="120" w:type="dxa"/>
              <w:bottom w:w="80" w:type="dxa"/>
              <w:end w:w="120" w:type="dxa"/>
            </w:tcMar>
          </w:tcPr>
          <w:p>
            <w:pPr>
              <w:spacing w:before="0" w:after="0" w:line="271" w:lineRule="auto"/>
            </w:pPr>
            <w:r>
              <w:rPr>
                <w:rFonts w:ascii="Calibri" w:hAnsi="Calibri"/>
                <w:color w:val="162236"/>
                <w:sz w:val="18"/>
              </w:rPr>
              <w:t>Education and mentor ecosystem</w:t>
            </w:r>
          </w:p>
        </w:tc>
        <w:tc>
          <w:tcPr>
            <w:tcW w:type="dxa" w:w="4360"/>
            <w:vAlign w:val="center"/>
            <w:tcMar>
              <w:top w:w="80" w:type="dxa"/>
              <w:start w:w="120" w:type="dxa"/>
              <w:bottom w:w="80" w:type="dxa"/>
              <w:end w:w="120" w:type="dxa"/>
            </w:tcMar>
          </w:tcPr>
          <w:p>
            <w:pPr>
              <w:spacing w:before="0" w:after="0" w:line="271" w:lineRule="auto"/>
            </w:pPr>
            <w:r>
              <w:rPr>
                <w:rFonts w:ascii="Calibri" w:hAnsi="Calibri"/>
                <w:color w:val="162236"/>
                <w:sz w:val="18"/>
              </w:rPr>
              <w:t>Workshops, residencies, lectures, learning content, alumni and professional community.</w:t>
            </w:r>
          </w:p>
        </w:tc>
      </w:tr>
    </w:tbl>
    <w:p>
      <w:pPr>
        <w:spacing w:after="60"/>
      </w:pPr>
    </w:p>
    <w:p>
      <w:pPr>
        <w:spacing w:before="0" w:after="120" w:line="300" w:lineRule="auto"/>
        <w:jc w:val="left"/>
      </w:pPr>
      <w:r>
        <w:rPr>
          <w:rFonts w:ascii="Calibri" w:hAnsi="Calibri"/>
          <w:i w:val="0"/>
          <w:color w:val="162236"/>
          <w:sz w:val="22"/>
        </w:rPr>
        <w:t>Education may be linked from the footer or a restrained “Education” link, but it must leave the Image3DConversion service journey. Workshops and training must not compete with clinical case CTAs.</w:t>
      </w:r>
    </w:p>
    <w:p>
      <w:pPr>
        <w:pStyle w:val="Heading2"/>
        <w:spacing w:before="280" w:after="140" w:line="252" w:lineRule="auto"/>
        <w:keepNext w:val="1"/>
        <w:pageBreakBefore w:val="0"/>
      </w:pPr>
      <w:r>
        <w:rPr>
          <w:rFonts w:ascii="Calibri" w:hAnsi="Calibri"/>
          <w:b/>
          <w:color w:val="2E74B5"/>
          <w:sz w:val="26"/>
        </w:rPr>
        <w:t>Founder-approved colour rule</w:t>
      </w:r>
    </w:p>
    <w:p>
      <w:pPr>
        <w:spacing w:before="100" w:after="180" w:line="300" w:lineRule="auto"/>
        <w:ind w:left="202" w:right="144"/>
        <w:shd w:fill="E8EEF5"/>
        <w:pBdr>
          <w:left w:val="single" w:sz="16" w:space="8" w:color="2E74B5"/>
        </w:pBdr>
        <w:keepLines w:val="1"/>
      </w:pPr>
      <w:r>
        <w:rPr>
          <w:rFonts w:ascii="Calibri" w:hAnsi="Calibri"/>
          <w:b/>
          <w:color w:val="2E74B5"/>
          <w:sz w:val="18"/>
        </w:rPr>
        <w:t xml:space="preserve">BRAND DECISION · 26 JULY 2026  </w:t>
      </w:r>
      <w:r>
        <w:rPr>
          <w:rFonts w:ascii="Calibri" w:hAnsi="Calibri"/>
          <w:b/>
          <w:color w:val="162236"/>
          <w:sz w:val="22"/>
        </w:rPr>
        <w:t>The Image3DConversion website and Case Portal use two brand colours only: the approved Image3DConversion Blue and White.</w:t>
      </w:r>
    </w:p>
    <w:p>
      <w:pPr>
        <w:pStyle w:val="ListBullet"/>
        <w:keepLines/>
        <w:spacing w:before="0" w:after="80" w:line="300" w:lineRule="auto"/>
      </w:pPr>
      <w:r>
        <w:rPr>
          <w:rFonts w:ascii="Calibri" w:hAnsi="Calibri"/>
          <w:b/>
          <w:color w:val="162236"/>
          <w:sz w:val="22"/>
        </w:rPr>
        <w:t xml:space="preserve">White leads. </w:t>
      </w:r>
      <w:r>
        <w:rPr>
          <w:rFonts w:ascii="Calibri" w:hAnsi="Calibri"/>
          <w:color w:val="162236"/>
          <w:sz w:val="22"/>
        </w:rPr>
        <w:t>The public website remains light, spacious and clinical; dark-led layouts are not the default brand expression.</w:t>
      </w:r>
    </w:p>
    <w:p>
      <w:pPr>
        <w:pStyle w:val="ListBullet"/>
        <w:keepLines/>
        <w:spacing w:before="0" w:after="80" w:line="300" w:lineRule="auto"/>
      </w:pPr>
      <w:r>
        <w:rPr>
          <w:rFonts w:ascii="Calibri" w:hAnsi="Calibri"/>
          <w:b/>
          <w:color w:val="162236"/>
          <w:sz w:val="22"/>
        </w:rPr>
        <w:t xml:space="preserve">One master blue. </w:t>
      </w:r>
      <w:r>
        <w:rPr>
          <w:rFonts w:ascii="Calibri" w:hAnsi="Calibri"/>
          <w:color w:val="162236"/>
          <w:sz w:val="22"/>
        </w:rPr>
        <w:t>Buttons, links, headings, linework and branded interface states use the blue extracted from the approved master logo.</w:t>
      </w:r>
    </w:p>
    <w:p>
      <w:pPr>
        <w:pStyle w:val="ListBullet"/>
        <w:keepLines/>
        <w:spacing w:before="0" w:after="80" w:line="300" w:lineRule="auto"/>
      </w:pPr>
      <w:r>
        <w:rPr>
          <w:rFonts w:ascii="Calibri" w:hAnsi="Calibri"/>
          <w:b/>
          <w:color w:val="162236"/>
          <w:sz w:val="22"/>
        </w:rPr>
        <w:t xml:space="preserve">Derived values only. </w:t>
      </w:r>
      <w:r>
        <w:rPr>
          <w:rFonts w:ascii="Calibri" w:hAnsi="Calibri"/>
          <w:color w:val="162236"/>
          <w:sz w:val="22"/>
        </w:rPr>
        <w:t>Pale fields, deeper text values, gradients, transparency and glow must be generated from that same master blue; they are not additional brand colours.</w:t>
      </w:r>
    </w:p>
    <w:p>
      <w:pPr>
        <w:pStyle w:val="ListBullet"/>
        <w:keepLines/>
        <w:spacing w:before="0" w:after="80" w:line="300" w:lineRule="auto"/>
      </w:pPr>
      <w:r>
        <w:rPr>
          <w:rFonts w:ascii="Calibri" w:hAnsi="Calibri"/>
          <w:b/>
          <w:color w:val="162236"/>
          <w:sz w:val="22"/>
        </w:rPr>
        <w:t xml:space="preserve">No decorative third accent. </w:t>
      </w:r>
      <w:r>
        <w:rPr>
          <w:rFonts w:ascii="Calibri" w:hAnsi="Calibri"/>
          <w:color w:val="162236"/>
          <w:sz w:val="22"/>
        </w:rPr>
        <w:t>Lime, neon cyan, gold, purple and unrelated social-media accent colours are excluded from the website and portal identity.</w:t>
      </w:r>
    </w:p>
    <w:p>
      <w:pPr>
        <w:pStyle w:val="ListBullet"/>
        <w:keepLines/>
        <w:spacing w:before="0" w:after="80" w:line="300" w:lineRule="auto"/>
      </w:pPr>
      <w:r>
        <w:rPr>
          <w:rFonts w:ascii="Calibri" w:hAnsi="Calibri"/>
          <w:b/>
          <w:color w:val="162236"/>
          <w:sz w:val="22"/>
        </w:rPr>
        <w:t xml:space="preserve">Functional states stay functional. </w:t>
      </w:r>
      <w:r>
        <w:rPr>
          <w:rFonts w:ascii="Calibri" w:hAnsi="Calibri"/>
          <w:color w:val="162236"/>
          <w:sz w:val="22"/>
        </w:rPr>
        <w:t>Green, amber and red may appear in the Case Portal only when they communicate success, caution or error. They must never become campaign or decorative colours.</w:t>
      </w:r>
    </w:p>
    <w:p>
      <w:pPr>
        <w:pStyle w:val="ListBullet"/>
        <w:keepLines/>
        <w:spacing w:before="0" w:after="80" w:line="300" w:lineRule="auto"/>
      </w:pPr>
      <w:r>
        <w:rPr>
          <w:rFonts w:ascii="Calibri" w:hAnsi="Calibri"/>
          <w:b/>
          <w:color w:val="162236"/>
          <w:sz w:val="22"/>
        </w:rPr>
        <w:t xml:space="preserve">Production token is gated. </w:t>
      </w:r>
      <w:r>
        <w:rPr>
          <w:rFonts w:ascii="Calibri" w:hAnsi="Calibri"/>
          <w:color w:val="162236"/>
          <w:sz w:val="22"/>
        </w:rPr>
        <w:t>The exact master-blue HEX must be sampled from the original vector/logo asset before UI sign-off. #2E74B5 remains a provisional specification token, not the final colour approval.</w:t>
      </w:r>
    </w:p>
    <w:p>
      <w:pPr>
        <w:pStyle w:val="Heading2"/>
        <w:spacing w:before="280" w:after="140" w:line="252" w:lineRule="auto"/>
        <w:keepNext w:val="1"/>
        <w:pageBreakBefore w:val="0"/>
      </w:pPr>
      <w:r>
        <w:rPr>
          <w:rFonts w:ascii="Calibri" w:hAnsi="Calibri"/>
          <w:b/>
          <w:color w:val="2E74B5"/>
          <w:sz w:val="26"/>
        </w:rPr>
        <w:t>What the public site must feel like</w:t>
      </w:r>
    </w:p>
    <w:p>
      <w:pPr>
        <w:pStyle w:val="ListBullet"/>
        <w:keepLines/>
        <w:spacing w:before="0" w:after="80" w:line="300" w:lineRule="auto"/>
      </w:pPr>
      <w:r>
        <w:rPr>
          <w:rFonts w:ascii="Calibri" w:hAnsi="Calibri"/>
          <w:b/>
          <w:color w:val="162236"/>
          <w:sz w:val="22"/>
        </w:rPr>
        <w:t xml:space="preserve">Outcome-led. </w:t>
      </w:r>
      <w:r>
        <w:rPr>
          <w:rFonts w:ascii="Calibri" w:hAnsi="Calibri"/>
          <w:color w:val="162236"/>
          <w:sz w:val="22"/>
        </w:rPr>
        <w:t>The story begins with the patient smile and intended aesthetic result, then reveals the functional, biological, anatomical and surgical decisions that must support it.</w:t>
      </w:r>
    </w:p>
    <w:p>
      <w:pPr>
        <w:pStyle w:val="ListBullet"/>
        <w:keepLines/>
        <w:spacing w:before="0" w:after="80" w:line="300" w:lineRule="auto"/>
      </w:pPr>
      <w:r>
        <w:rPr>
          <w:rFonts w:ascii="Calibri" w:hAnsi="Calibri"/>
          <w:b/>
          <w:color w:val="162236"/>
          <w:sz w:val="22"/>
        </w:rPr>
        <w:t xml:space="preserve">Dentist-centred. </w:t>
      </w:r>
      <w:r>
        <w:rPr>
          <w:rFonts w:ascii="Calibri" w:hAnsi="Calibri"/>
          <w:color w:val="162236"/>
          <w:sz w:val="22"/>
        </w:rPr>
        <w:t>The clinician remains the decision-maker; Image3DConversion coordinates digital execution.</w:t>
      </w:r>
    </w:p>
    <w:p>
      <w:pPr>
        <w:pStyle w:val="ListBullet"/>
        <w:keepLines/>
        <w:spacing w:before="0" w:after="80" w:line="300" w:lineRule="auto"/>
      </w:pPr>
      <w:r>
        <w:rPr>
          <w:rFonts w:ascii="Calibri" w:hAnsi="Calibri"/>
          <w:b/>
          <w:color w:val="162236"/>
          <w:sz w:val="22"/>
        </w:rPr>
        <w:t xml:space="preserve">Clinically literate. </w:t>
      </w:r>
      <w:r>
        <w:rPr>
          <w:rFonts w:ascii="Calibri" w:hAnsi="Calibri"/>
          <w:color w:val="162236"/>
          <w:sz w:val="22"/>
        </w:rPr>
        <w:t>The copy understands data quality, prosthetic objectives, implant systems, approval and production.</w:t>
      </w:r>
    </w:p>
    <w:p>
      <w:pPr>
        <w:pStyle w:val="ListBullet"/>
        <w:keepLines/>
        <w:spacing w:before="0" w:after="80" w:line="300" w:lineRule="auto"/>
      </w:pPr>
      <w:r>
        <w:rPr>
          <w:rFonts w:ascii="Calibri" w:hAnsi="Calibri"/>
          <w:b/>
          <w:color w:val="162236"/>
          <w:sz w:val="22"/>
        </w:rPr>
        <w:t xml:space="preserve">Operationally clear. </w:t>
      </w:r>
      <w:r>
        <w:rPr>
          <w:rFonts w:ascii="Calibri" w:hAnsi="Calibri"/>
          <w:color w:val="162236"/>
          <w:sz w:val="22"/>
        </w:rPr>
        <w:t>Visitors know what to send, what happens next and where responsibility sits.</w:t>
      </w:r>
    </w:p>
    <w:p>
      <w:pPr>
        <w:pStyle w:val="ListBullet"/>
        <w:keepLines/>
        <w:spacing w:before="0" w:after="80" w:line="300" w:lineRule="auto"/>
      </w:pPr>
      <w:r>
        <w:rPr>
          <w:rFonts w:ascii="Calibri" w:hAnsi="Calibri"/>
          <w:b/>
          <w:color w:val="162236"/>
          <w:sz w:val="22"/>
        </w:rPr>
        <w:t xml:space="preserve">Experienced, not boastful. </w:t>
      </w:r>
      <w:r>
        <w:rPr>
          <w:rFonts w:ascii="Calibri" w:hAnsi="Calibri"/>
          <w:color w:val="162236"/>
          <w:sz w:val="22"/>
        </w:rPr>
        <w:t>Evidence comes from real workflows, named reviewers, documented cases and verified figures.</w:t>
      </w:r>
    </w:p>
    <w:p>
      <w:pPr>
        <w:pStyle w:val="ListBullet"/>
        <w:keepLines/>
        <w:spacing w:before="0" w:after="80" w:line="300" w:lineRule="auto"/>
      </w:pPr>
      <w:r>
        <w:rPr>
          <w:rFonts w:ascii="Calibri" w:hAnsi="Calibri"/>
          <w:b/>
          <w:color w:val="162236"/>
          <w:sz w:val="22"/>
        </w:rPr>
        <w:t xml:space="preserve">Concise. </w:t>
      </w:r>
      <w:r>
        <w:rPr>
          <w:rFonts w:ascii="Calibri" w:hAnsi="Calibri"/>
          <w:color w:val="162236"/>
          <w:sz w:val="22"/>
        </w:rPr>
        <w:t>The main website is a guided decision journey, not a reading portal or a software dashboard.</w:t>
      </w:r>
    </w:p>
    <w:p>
      <w:pPr>
        <w:pStyle w:val="ListBullet"/>
        <w:keepLines/>
        <w:spacing w:before="0" w:after="80" w:line="300" w:lineRule="auto"/>
      </w:pPr>
      <w:r>
        <w:rPr>
          <w:rFonts w:ascii="Calibri" w:hAnsi="Calibri"/>
          <w:b/>
          <w:color w:val="162236"/>
          <w:sz w:val="22"/>
        </w:rPr>
        <w:t xml:space="preserve">Globally workable. </w:t>
      </w:r>
      <w:r>
        <w:rPr>
          <w:rFonts w:ascii="Calibri" w:hAnsi="Calibri"/>
          <w:color w:val="162236"/>
          <w:sz w:val="22"/>
        </w:rPr>
        <w:t>International practices see how records, reviews, approvals, production responsibilities and delivery scope can work across teams and borders.</w:t>
      </w:r>
    </w:p>
    <w:p>
      <w:pPr>
        <w:pStyle w:val="Heading2"/>
        <w:spacing w:before="280" w:after="140" w:line="252" w:lineRule="auto"/>
        <w:keepNext w:val="1"/>
        <w:pageBreakBefore w:val="0"/>
      </w:pPr>
      <w:r>
        <w:rPr>
          <w:rFonts w:ascii="Calibri" w:hAnsi="Calibri"/>
          <w:b/>
          <w:color w:val="2E74B5"/>
          <w:sz w:val="26"/>
        </w:rPr>
        <w:t>What it must not become</w:t>
      </w:r>
    </w:p>
    <w:p>
      <w:pPr>
        <w:pStyle w:val="ListBullet"/>
        <w:keepLines/>
        <w:spacing w:before="0" w:after="80" w:line="300" w:lineRule="auto"/>
      </w:pPr>
      <w:r>
        <w:rPr>
          <w:rFonts w:ascii="Calibri" w:hAnsi="Calibri"/>
          <w:color w:val="162236"/>
          <w:sz w:val="22"/>
        </w:rPr>
        <w:t>A generic dental laboratory website.</w:t>
      </w:r>
    </w:p>
    <w:p>
      <w:pPr>
        <w:pStyle w:val="ListBullet"/>
        <w:keepLines/>
        <w:spacing w:before="0" w:after="80" w:line="300" w:lineRule="auto"/>
      </w:pPr>
      <w:r>
        <w:rPr>
          <w:rFonts w:ascii="Calibri" w:hAnsi="Calibri"/>
          <w:color w:val="162236"/>
          <w:sz w:val="22"/>
        </w:rPr>
        <w:t>A software-product website that implies the platform itself makes clinical decisions.</w:t>
      </w:r>
    </w:p>
    <w:p>
      <w:pPr>
        <w:pStyle w:val="ListBullet"/>
        <w:keepLines/>
        <w:spacing w:before="0" w:after="80" w:line="300" w:lineRule="auto"/>
      </w:pPr>
      <w:r>
        <w:rPr>
          <w:rFonts w:ascii="Calibri" w:hAnsi="Calibri"/>
          <w:color w:val="162236"/>
          <w:sz w:val="22"/>
        </w:rPr>
        <w:t>A workshop or education portal.</w:t>
      </w:r>
    </w:p>
    <w:p>
      <w:pPr>
        <w:pStyle w:val="ListBullet"/>
        <w:keepLines/>
        <w:spacing w:before="0" w:after="80" w:line="300" w:lineRule="auto"/>
      </w:pPr>
      <w:r>
        <w:rPr>
          <w:rFonts w:ascii="Calibri" w:hAnsi="Calibri"/>
          <w:color w:val="162236"/>
          <w:sz w:val="22"/>
        </w:rPr>
        <w:t>A large blog built from repetitive search articles.</w:t>
      </w:r>
    </w:p>
    <w:p>
      <w:pPr>
        <w:pStyle w:val="ListBullet"/>
        <w:keepLines/>
        <w:spacing w:before="0" w:after="80" w:line="300" w:lineRule="auto"/>
      </w:pPr>
      <w:r>
        <w:rPr>
          <w:rFonts w:ascii="Calibri" w:hAnsi="Calibri"/>
          <w:color w:val="162236"/>
          <w:sz w:val="22"/>
        </w:rPr>
        <w:t>A claims page using “100% predictable,” “fail-safe,” “99.9% accurate,” or other unsupported language.</w:t>
      </w:r>
    </w:p>
    <w:p>
      <w:pPr>
        <w:pStyle w:val="ListBullet"/>
        <w:keepLines/>
        <w:spacing w:before="0" w:after="80" w:line="300" w:lineRule="auto"/>
      </w:pPr>
      <w:r>
        <w:rPr>
          <w:rFonts w:ascii="Calibri" w:hAnsi="Calibri"/>
          <w:color w:val="162236"/>
          <w:sz w:val="22"/>
        </w:rPr>
        <w:t>A public patient-file submission form.</w:t>
      </w:r>
    </w:p>
    <w:p>
      <w:pPr>
        <w:pStyle w:val="Heading1"/>
        <w:spacing w:before="360" w:after="200" w:line="252" w:lineRule="auto"/>
        <w:keepNext w:val="1"/>
        <w:pageBreakBefore w:val="0"/>
      </w:pPr>
      <w:r>
        <w:rPr>
          <w:rFonts w:ascii="Calibri" w:hAnsi="Calibri"/>
          <w:b/>
          <w:color w:val="2E74B5"/>
          <w:sz w:val="32"/>
        </w:rPr>
        <w:t>1. Brand platform</w:t>
      </w:r>
    </w:p>
    <w:p>
      <w:pPr>
        <w:pStyle w:val="Heading2"/>
        <w:spacing w:before="280" w:after="140" w:line="252" w:lineRule="auto"/>
        <w:keepNext w:val="1"/>
        <w:pageBreakBefore w:val="0"/>
      </w:pPr>
      <w:r>
        <w:rPr>
          <w:rFonts w:ascii="Calibri" w:hAnsi="Calibri"/>
          <w:b/>
          <w:color w:val="2E74B5"/>
          <w:sz w:val="26"/>
        </w:rPr>
        <w:t>Positioning system</w:t>
      </w:r>
    </w:p>
    <w:tbl>
      <w:tblPr>
        <w:tblStyle w:val="TableGrid"/>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200"/>
        <w:gridCol w:w="7160"/>
      </w:tblGrid>
      <w:tr>
        <w:trPr>
          <w:tblHeader w:val="true"/>
          <w:cantSplit/>
        </w:trPr>
        <w:tc>
          <w:tcPr>
            <w:tcW w:type="dxa" w:w="2200"/>
            <w:tcMar>
              <w:top w:w="80" w:type="dxa"/>
              <w:start w:w="120" w:type="dxa"/>
              <w:bottom w:w="80" w:type="dxa"/>
              <w:end w:w="120" w:type="dxa"/>
            </w:tcMar>
            <w:vAlign w:val="center"/>
            <w:shd w:fill="E8EEF5"/>
          </w:tcPr>
          <w:p>
            <w:pPr>
              <w:spacing w:before="0" w:after="0" w:line="264" w:lineRule="auto"/>
            </w:pPr>
            <w:r>
              <w:rPr>
                <w:rFonts w:ascii="Calibri" w:hAnsi="Calibri"/>
                <w:b/>
                <w:color w:val="162236"/>
                <w:sz w:val="18"/>
              </w:rPr>
              <w:t>Element</w:t>
            </w:r>
          </w:p>
        </w:tc>
        <w:tc>
          <w:tcPr>
            <w:tcW w:type="dxa" w:w="7160"/>
            <w:tcMar>
              <w:top w:w="80" w:type="dxa"/>
              <w:start w:w="120" w:type="dxa"/>
              <w:bottom w:w="80" w:type="dxa"/>
              <w:end w:w="120" w:type="dxa"/>
            </w:tcMar>
            <w:vAlign w:val="center"/>
            <w:shd w:fill="E8EEF5"/>
          </w:tcPr>
          <w:p>
            <w:pPr>
              <w:spacing w:before="0" w:after="0" w:line="264" w:lineRule="auto"/>
            </w:pPr>
            <w:r>
              <w:rPr>
                <w:rFonts w:ascii="Calibri" w:hAnsi="Calibri"/>
                <w:b/>
                <w:color w:val="162236"/>
                <w:sz w:val="18"/>
              </w:rPr>
              <w:t>Approved direction</w:t>
            </w:r>
          </w:p>
        </w:tc>
      </w:tr>
      <w:tr>
        <w:trPr>
          <w:cantSplit/>
        </w:trPr>
        <w:tc>
          <w:tcPr>
            <w:tcW w:type="dxa" w:w="2200"/>
            <w:vAlign w:val="center"/>
            <w:tcMar>
              <w:top w:w="80" w:type="dxa"/>
              <w:start w:w="120" w:type="dxa"/>
              <w:bottom w:w="80" w:type="dxa"/>
              <w:end w:w="120" w:type="dxa"/>
            </w:tcMar>
          </w:tcPr>
          <w:p>
            <w:pPr>
              <w:spacing w:before="0" w:after="0" w:line="271" w:lineRule="auto"/>
            </w:pPr>
            <w:r>
              <w:rPr>
                <w:rFonts w:ascii="Calibri" w:hAnsi="Calibri"/>
                <w:color w:val="162236"/>
                <w:sz w:val="18"/>
              </w:rPr>
              <w:t>Brand descriptor</w:t>
            </w:r>
          </w:p>
        </w:tc>
        <w:tc>
          <w:tcPr>
            <w:tcW w:type="dxa" w:w="7160"/>
            <w:vAlign w:val="center"/>
            <w:tcMar>
              <w:top w:w="80" w:type="dxa"/>
              <w:start w:w="120" w:type="dxa"/>
              <w:bottom w:w="80" w:type="dxa"/>
              <w:end w:w="120" w:type="dxa"/>
            </w:tcMar>
          </w:tcPr>
          <w:p>
            <w:pPr>
              <w:spacing w:before="0" w:after="0" w:line="271" w:lineRule="auto"/>
            </w:pPr>
            <w:r>
              <w:rPr>
                <w:rFonts w:ascii="Calibri" w:hAnsi="Calibri"/>
                <w:color w:val="162236"/>
                <w:sz w:val="18"/>
              </w:rPr>
              <w:t>The Digital Workflow Partner for Guided Implantology</w:t>
            </w:r>
          </w:p>
        </w:tc>
      </w:tr>
      <w:tr>
        <w:trPr>
          <w:cantSplit/>
        </w:trPr>
        <w:tc>
          <w:tcPr>
            <w:tcW w:type="dxa" w:w="2200"/>
            <w:vAlign w:val="center"/>
            <w:tcMar>
              <w:top w:w="80" w:type="dxa"/>
              <w:start w:w="120" w:type="dxa"/>
              <w:bottom w:w="80" w:type="dxa"/>
              <w:end w:w="120" w:type="dxa"/>
            </w:tcMar>
          </w:tcPr>
          <w:p>
            <w:pPr>
              <w:spacing w:before="0" w:after="0" w:line="271" w:lineRule="auto"/>
            </w:pPr>
            <w:r>
              <w:rPr>
                <w:rFonts w:ascii="Calibri" w:hAnsi="Calibri"/>
                <w:color w:val="162236"/>
                <w:sz w:val="18"/>
              </w:rPr>
              <w:t>Primary headline</w:t>
            </w:r>
          </w:p>
        </w:tc>
        <w:tc>
          <w:tcPr>
            <w:tcW w:type="dxa" w:w="7160"/>
            <w:vAlign w:val="center"/>
            <w:tcMar>
              <w:top w:w="80" w:type="dxa"/>
              <w:start w:w="120" w:type="dxa"/>
              <w:bottom w:w="80" w:type="dxa"/>
              <w:end w:w="120" w:type="dxa"/>
            </w:tcMar>
          </w:tcPr>
          <w:p>
            <w:pPr>
              <w:spacing w:before="0" w:after="0" w:line="271" w:lineRule="auto"/>
            </w:pPr>
            <w:r>
              <w:rPr>
                <w:rFonts w:ascii="Calibri" w:hAnsi="Calibri"/>
                <w:color w:val="162236"/>
                <w:sz w:val="18"/>
              </w:rPr>
              <w:t>Plan the outcome. Guide the execution.</w:t>
            </w:r>
          </w:p>
        </w:tc>
      </w:tr>
      <w:tr>
        <w:trPr>
          <w:cantSplit/>
        </w:trPr>
        <w:tc>
          <w:tcPr>
            <w:tcW w:type="dxa" w:w="2200"/>
            <w:vAlign w:val="center"/>
            <w:tcMar>
              <w:top w:w="80" w:type="dxa"/>
              <w:start w:w="120" w:type="dxa"/>
              <w:bottom w:w="80" w:type="dxa"/>
              <w:end w:w="120" w:type="dxa"/>
            </w:tcMar>
          </w:tcPr>
          <w:p>
            <w:pPr>
              <w:spacing w:before="0" w:after="0" w:line="271" w:lineRule="auto"/>
            </w:pPr>
            <w:r>
              <w:rPr>
                <w:rFonts w:ascii="Calibri" w:hAnsi="Calibri"/>
                <w:color w:val="162236"/>
                <w:sz w:val="18"/>
              </w:rPr>
              <w:t>Support statement</w:t>
            </w:r>
          </w:p>
        </w:tc>
        <w:tc>
          <w:tcPr>
            <w:tcW w:type="dxa" w:w="7160"/>
            <w:vAlign w:val="center"/>
            <w:tcMar>
              <w:top w:w="80" w:type="dxa"/>
              <w:start w:w="120" w:type="dxa"/>
              <w:bottom w:w="80" w:type="dxa"/>
              <w:end w:w="120" w:type="dxa"/>
            </w:tcMar>
          </w:tcPr>
          <w:p>
            <w:pPr>
              <w:spacing w:before="0" w:after="0" w:line="271" w:lineRule="auto"/>
            </w:pPr>
            <w:r>
              <w:rPr>
                <w:rFonts w:ascii="Calibri" w:hAnsi="Calibri"/>
                <w:color w:val="162236"/>
                <w:sz w:val="18"/>
              </w:rPr>
              <w:t>Begin with the smile the practice intends to restore. Then coordinate aesthetic and prosthetic design with function, biology, anatomy, implant planning, clinician approval and the selected delivery scope.</w:t>
            </w:r>
          </w:p>
        </w:tc>
      </w:tr>
      <w:tr>
        <w:trPr>
          <w:cantSplit/>
        </w:trPr>
        <w:tc>
          <w:tcPr>
            <w:tcW w:type="dxa" w:w="2200"/>
            <w:vAlign w:val="center"/>
            <w:tcMar>
              <w:top w:w="80" w:type="dxa"/>
              <w:start w:w="120" w:type="dxa"/>
              <w:bottom w:w="80" w:type="dxa"/>
              <w:end w:w="120" w:type="dxa"/>
            </w:tcMar>
          </w:tcPr>
          <w:p>
            <w:pPr>
              <w:spacing w:before="0" w:after="0" w:line="271" w:lineRule="auto"/>
            </w:pPr>
            <w:r>
              <w:rPr>
                <w:rFonts w:ascii="Calibri" w:hAnsi="Calibri"/>
                <w:color w:val="162236"/>
                <w:sz w:val="18"/>
              </w:rPr>
              <w:t>Role statement</w:t>
            </w:r>
          </w:p>
        </w:tc>
        <w:tc>
          <w:tcPr>
            <w:tcW w:type="dxa" w:w="7160"/>
            <w:vAlign w:val="center"/>
            <w:tcMar>
              <w:top w:w="80" w:type="dxa"/>
              <w:start w:w="120" w:type="dxa"/>
              <w:bottom w:w="80" w:type="dxa"/>
              <w:end w:w="120" w:type="dxa"/>
            </w:tcMar>
          </w:tcPr>
          <w:p>
            <w:pPr>
              <w:spacing w:before="0" w:after="0" w:line="271" w:lineRule="auto"/>
            </w:pPr>
            <w:r>
              <w:rPr>
                <w:rFonts w:ascii="Calibri" w:hAnsi="Calibri"/>
                <w:color w:val="162236"/>
                <w:sz w:val="18"/>
              </w:rPr>
              <w:t>The dentist retains clinical authority. Image3DConversion manages digital workflow preparation, coordination and execution around the approved plan.</w:t>
            </w:r>
          </w:p>
        </w:tc>
      </w:tr>
      <w:tr>
        <w:trPr>
          <w:cantSplit/>
        </w:trPr>
        <w:tc>
          <w:tcPr>
            <w:tcW w:type="dxa" w:w="2200"/>
            <w:vAlign w:val="center"/>
            <w:tcMar>
              <w:top w:w="80" w:type="dxa"/>
              <w:start w:w="120" w:type="dxa"/>
              <w:bottom w:w="80" w:type="dxa"/>
              <w:end w:w="120" w:type="dxa"/>
            </w:tcMar>
          </w:tcPr>
          <w:p>
            <w:pPr>
              <w:spacing w:before="0" w:after="0" w:line="271" w:lineRule="auto"/>
            </w:pPr>
            <w:r>
              <w:rPr>
                <w:rFonts w:ascii="Calibri" w:hAnsi="Calibri"/>
                <w:color w:val="162236"/>
                <w:sz w:val="18"/>
              </w:rPr>
              <w:t>Internal narrative</w:t>
            </w:r>
          </w:p>
        </w:tc>
        <w:tc>
          <w:tcPr>
            <w:tcW w:type="dxa" w:w="7160"/>
            <w:vAlign w:val="center"/>
            <w:tcMar>
              <w:top w:w="80" w:type="dxa"/>
              <w:start w:w="120" w:type="dxa"/>
              <w:bottom w:w="80" w:type="dxa"/>
              <w:end w:w="120" w:type="dxa"/>
            </w:tcMar>
          </w:tcPr>
          <w:p>
            <w:pPr>
              <w:spacing w:before="0" w:after="0" w:line="271" w:lineRule="auto"/>
            </w:pPr>
            <w:r>
              <w:rPr>
                <w:rFonts w:ascii="Calibri" w:hAnsi="Calibri"/>
                <w:color w:val="162236"/>
                <w:sz w:val="18"/>
              </w:rPr>
              <w:t>Image3DConversion does not merely convert images or manufacture guides. It converts clinical intent into a coordinated digital treatment workflow.</w:t>
            </w:r>
          </w:p>
        </w:tc>
      </w:tr>
    </w:tbl>
    <w:p>
      <w:pPr>
        <w:spacing w:after="60"/>
      </w:pPr>
    </w:p>
    <w:p>
      <w:pPr>
        <w:pStyle w:val="Heading2"/>
        <w:spacing w:before="280" w:after="140" w:line="252" w:lineRule="auto"/>
        <w:keepNext w:val="1"/>
        <w:pageBreakBefore w:val="0"/>
      </w:pPr>
      <w:r>
        <w:rPr>
          <w:rFonts w:ascii="Calibri" w:hAnsi="Calibri"/>
          <w:b/>
          <w:color w:val="2E74B5"/>
          <w:sz w:val="26"/>
        </w:rPr>
        <w:t>The eight differentiators to prove</w:t>
      </w:r>
    </w:p>
    <w:p>
      <w:pPr>
        <w:keepLines/>
        <w:spacing w:before="0" w:after="100" w:line="300" w:lineRule="auto"/>
        <w:numPr>
          <w:ilvl w:val="0"/>
          <w:numId w:val="10"/>
        </w:numPr>
      </w:pPr>
      <w:r>
        <w:rPr>
          <w:rFonts w:ascii="Calibri" w:hAnsi="Calibri"/>
          <w:b/>
          <w:color w:val="162236"/>
          <w:sz w:val="22"/>
        </w:rPr>
        <w:t xml:space="preserve">Smile-led direction. </w:t>
      </w:r>
      <w:r>
        <w:rPr>
          <w:rFonts w:ascii="Calibri" w:hAnsi="Calibri"/>
          <w:color w:val="162236"/>
          <w:sz w:val="22"/>
        </w:rPr>
        <w:t>The visible patient outcome is established before the website introduces technical components.</w:t>
      </w:r>
    </w:p>
    <w:p>
      <w:pPr>
        <w:keepLines/>
        <w:spacing w:before="0" w:after="100" w:line="300" w:lineRule="auto"/>
        <w:numPr>
          <w:ilvl w:val="0"/>
          <w:numId w:val="10"/>
        </w:numPr>
      </w:pPr>
      <w:r>
        <w:rPr>
          <w:rFonts w:ascii="Calibri" w:hAnsi="Calibri"/>
          <w:b/>
          <w:color w:val="162236"/>
          <w:sz w:val="22"/>
        </w:rPr>
        <w:t xml:space="preserve">Aesthetics before mechanics. </w:t>
      </w:r>
      <w:r>
        <w:rPr>
          <w:rFonts w:ascii="Calibri" w:hAnsi="Calibri"/>
          <w:color w:val="162236"/>
          <w:sz w:val="22"/>
        </w:rPr>
        <w:t>Tooth position, smile reference and prosthetic form define the destination; function, biology and anatomy determine how it can be delivered.</w:t>
      </w:r>
    </w:p>
    <w:p>
      <w:pPr>
        <w:keepLines/>
        <w:spacing w:before="0" w:after="100" w:line="300" w:lineRule="auto"/>
        <w:numPr>
          <w:ilvl w:val="0"/>
          <w:numId w:val="10"/>
        </w:numPr>
      </w:pPr>
      <w:r>
        <w:rPr>
          <w:rFonts w:ascii="Calibri" w:hAnsi="Calibri"/>
          <w:b/>
          <w:color w:val="162236"/>
          <w:sz w:val="22"/>
        </w:rPr>
        <w:t xml:space="preserve">Case-specific engineering. </w:t>
      </w:r>
      <w:r>
        <w:rPr>
          <w:rFonts w:ascii="Calibri" w:hAnsi="Calibri"/>
          <w:color w:val="162236"/>
          <w:sz w:val="22"/>
        </w:rPr>
        <w:t>Support type, drilling protocol, implant system and production route are selected for the case rather than presented as one standard template.</w:t>
      </w:r>
    </w:p>
    <w:p>
      <w:pPr>
        <w:keepLines/>
        <w:spacing w:before="0" w:after="100" w:line="300" w:lineRule="auto"/>
        <w:numPr>
          <w:ilvl w:val="0"/>
          <w:numId w:val="10"/>
        </w:numPr>
      </w:pPr>
      <w:r>
        <w:rPr>
          <w:rFonts w:ascii="Calibri" w:hAnsi="Calibri"/>
          <w:b/>
          <w:color w:val="162236"/>
          <w:sz w:val="22"/>
        </w:rPr>
        <w:t xml:space="preserve">Data before design. </w:t>
      </w:r>
      <w:r>
        <w:rPr>
          <w:rFonts w:ascii="Calibri" w:hAnsi="Calibri"/>
          <w:color w:val="162236"/>
          <w:sz w:val="22"/>
        </w:rPr>
        <w:t>DICOM, IOS, denture scans, bite records and reference files are checked before planning begins.</w:t>
      </w:r>
    </w:p>
    <w:p>
      <w:pPr>
        <w:keepLines/>
        <w:spacing w:before="0" w:after="100" w:line="300" w:lineRule="auto"/>
        <w:numPr>
          <w:ilvl w:val="0"/>
          <w:numId w:val="10"/>
        </w:numPr>
      </w:pPr>
      <w:r>
        <w:rPr>
          <w:rFonts w:ascii="Calibri" w:hAnsi="Calibri"/>
          <w:b/>
          <w:color w:val="162236"/>
          <w:sz w:val="22"/>
        </w:rPr>
        <w:t xml:space="preserve">Visible approvals. </w:t>
      </w:r>
      <w:r>
        <w:rPr>
          <w:rFonts w:ascii="Calibri" w:hAnsi="Calibri"/>
          <w:color w:val="162236"/>
          <w:sz w:val="22"/>
        </w:rPr>
        <w:t>The dentist reviews the plan, requests changes where needed and approves the production stage.</w:t>
      </w:r>
    </w:p>
    <w:p>
      <w:pPr>
        <w:keepLines/>
        <w:spacing w:before="0" w:after="100" w:line="300" w:lineRule="auto"/>
        <w:numPr>
          <w:ilvl w:val="0"/>
          <w:numId w:val="10"/>
        </w:numPr>
      </w:pPr>
      <w:r>
        <w:rPr>
          <w:rFonts w:ascii="Calibri" w:hAnsi="Calibri"/>
          <w:b/>
          <w:color w:val="162236"/>
          <w:sz w:val="22"/>
        </w:rPr>
        <w:t xml:space="preserve">Complex-case depth. </w:t>
      </w:r>
      <w:r>
        <w:rPr>
          <w:rFonts w:ascii="Calibri" w:hAnsi="Calibri"/>
          <w:color w:val="162236"/>
          <w:sz w:val="22"/>
        </w:rPr>
        <w:t>Full-arch, immediate-loading, pterygoid and zygomatic workflows are visible as core capabilities, not hidden in a long service list.</w:t>
      </w:r>
    </w:p>
    <w:p>
      <w:pPr>
        <w:keepLines/>
        <w:spacing w:before="0" w:after="100" w:line="300" w:lineRule="auto"/>
        <w:numPr>
          <w:ilvl w:val="0"/>
          <w:numId w:val="10"/>
        </w:numPr>
      </w:pPr>
      <w:r>
        <w:rPr>
          <w:rFonts w:ascii="Calibri" w:hAnsi="Calibri"/>
          <w:b/>
          <w:color w:val="162236"/>
          <w:sz w:val="22"/>
        </w:rPr>
        <w:t xml:space="preserve">Flexible delivery. </w:t>
      </w:r>
      <w:r>
        <w:rPr>
          <w:rFonts w:ascii="Calibri" w:hAnsi="Calibri"/>
          <w:color w:val="162236"/>
          <w:sz w:val="22"/>
        </w:rPr>
        <w:t>Practices can request design-only files, design-to-delivery support or a white-label capacity model.</w:t>
      </w:r>
    </w:p>
    <w:p>
      <w:pPr>
        <w:keepLines/>
        <w:spacing w:before="0" w:after="100" w:line="300" w:lineRule="auto"/>
        <w:numPr>
          <w:ilvl w:val="0"/>
          <w:numId w:val="10"/>
        </w:numPr>
      </w:pPr>
      <w:r>
        <w:rPr>
          <w:rFonts w:ascii="Calibri" w:hAnsi="Calibri"/>
          <w:b/>
          <w:color w:val="162236"/>
          <w:sz w:val="22"/>
        </w:rPr>
        <w:t xml:space="preserve">Cross-border coordination. </w:t>
      </w:r>
      <w:r>
        <w:rPr>
          <w:rFonts w:ascii="Calibri" w:hAnsi="Calibri"/>
          <w:color w:val="162236"/>
          <w:sz w:val="22"/>
        </w:rPr>
        <w:t>Global practices can understand the accepted records, review method, responsibility split, production route and delivery conditions before committing a case.</w:t>
      </w:r>
    </w:p>
    <w:p>
      <w:pPr>
        <w:pStyle w:val="Heading2"/>
        <w:spacing w:before="280" w:after="140" w:line="252" w:lineRule="auto"/>
        <w:keepNext w:val="1"/>
        <w:pageBreakBefore w:val="0"/>
      </w:pPr>
      <w:r>
        <w:rPr>
          <w:rFonts w:ascii="Calibri" w:hAnsi="Calibri"/>
          <w:b/>
          <w:color w:val="2E74B5"/>
          <w:sz w:val="26"/>
        </w:rPr>
        <w:t>Language that sounds like Image3DConversion</w:t>
      </w:r>
    </w:p>
    <w:tbl>
      <w:tblPr>
        <w:tblStyle w:val="TableGrid"/>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4680"/>
        <w:gridCol w:w="4680"/>
      </w:tblGrid>
      <w:tr>
        <w:trPr>
          <w:tblHeader w:val="true"/>
          <w:cantSplit/>
        </w:trPr>
        <w:tc>
          <w:tcPr>
            <w:tcW w:type="dxa" w:w="4680"/>
            <w:tcMar>
              <w:top w:w="80" w:type="dxa"/>
              <w:start w:w="120" w:type="dxa"/>
              <w:bottom w:w="80" w:type="dxa"/>
              <w:end w:w="120" w:type="dxa"/>
            </w:tcMar>
            <w:vAlign w:val="center"/>
            <w:shd w:fill="E8EEF5"/>
          </w:tcPr>
          <w:p>
            <w:pPr>
              <w:spacing w:before="0" w:after="0" w:line="264" w:lineRule="auto"/>
            </w:pPr>
            <w:r>
              <w:rPr>
                <w:rFonts w:ascii="Calibri" w:hAnsi="Calibri"/>
                <w:b/>
                <w:color w:val="162236"/>
                <w:sz w:val="18"/>
              </w:rPr>
              <w:t>Use</w:t>
            </w:r>
          </w:p>
        </w:tc>
        <w:tc>
          <w:tcPr>
            <w:tcW w:type="dxa" w:w="4680"/>
            <w:tcMar>
              <w:top w:w="80" w:type="dxa"/>
              <w:start w:w="120" w:type="dxa"/>
              <w:bottom w:w="80" w:type="dxa"/>
              <w:end w:w="120" w:type="dxa"/>
            </w:tcMar>
            <w:vAlign w:val="center"/>
            <w:shd w:fill="E8EEF5"/>
          </w:tcPr>
          <w:p>
            <w:pPr>
              <w:spacing w:before="0" w:after="0" w:line="264" w:lineRule="auto"/>
            </w:pPr>
            <w:r>
              <w:rPr>
                <w:rFonts w:ascii="Calibri" w:hAnsi="Calibri"/>
                <w:b/>
                <w:color w:val="162236"/>
                <w:sz w:val="18"/>
              </w:rPr>
              <w:t>Avoid</w:t>
            </w:r>
          </w:p>
        </w:tc>
      </w:tr>
      <w:tr>
        <w:trPr>
          <w:cantSplit/>
        </w:trPr>
        <w:tc>
          <w:tcPr>
            <w:tcW w:type="dxa" w:w="4680"/>
            <w:vAlign w:val="center"/>
            <w:tcMar>
              <w:top w:w="80" w:type="dxa"/>
              <w:start w:w="120" w:type="dxa"/>
              <w:bottom w:w="80" w:type="dxa"/>
              <w:end w:w="120" w:type="dxa"/>
            </w:tcMar>
          </w:tcPr>
          <w:p>
            <w:pPr>
              <w:spacing w:before="0" w:after="0" w:line="271" w:lineRule="auto"/>
            </w:pPr>
            <w:r>
              <w:rPr>
                <w:rFonts w:ascii="Calibri" w:hAnsi="Calibri"/>
                <w:color w:val="162236"/>
                <w:sz w:val="18"/>
              </w:rPr>
              <w:t>“Your plan remains under your approval.”</w:t>
            </w:r>
          </w:p>
        </w:tc>
        <w:tc>
          <w:tcPr>
            <w:tcW w:type="dxa" w:w="4680"/>
            <w:vAlign w:val="center"/>
            <w:tcMar>
              <w:top w:w="80" w:type="dxa"/>
              <w:start w:w="120" w:type="dxa"/>
              <w:bottom w:w="80" w:type="dxa"/>
              <w:end w:w="120" w:type="dxa"/>
            </w:tcMar>
          </w:tcPr>
          <w:p>
            <w:pPr>
              <w:spacing w:before="0" w:after="0" w:line="271" w:lineRule="auto"/>
            </w:pPr>
            <w:r>
              <w:rPr>
                <w:rFonts w:ascii="Calibri" w:hAnsi="Calibri"/>
                <w:color w:val="162236"/>
                <w:sz w:val="18"/>
              </w:rPr>
              <w:t>“Our AI creates the perfect treatment plan.”</w:t>
            </w:r>
          </w:p>
        </w:tc>
      </w:tr>
      <w:tr>
        <w:trPr>
          <w:cantSplit/>
        </w:trPr>
        <w:tc>
          <w:tcPr>
            <w:tcW w:type="dxa" w:w="4680"/>
            <w:vAlign w:val="center"/>
            <w:tcMar>
              <w:top w:w="80" w:type="dxa"/>
              <w:start w:w="120" w:type="dxa"/>
              <w:bottom w:w="80" w:type="dxa"/>
              <w:end w:w="120" w:type="dxa"/>
            </w:tcMar>
          </w:tcPr>
          <w:p>
            <w:pPr>
              <w:spacing w:before="0" w:after="0" w:line="271" w:lineRule="auto"/>
            </w:pPr>
            <w:r>
              <w:rPr>
                <w:rFonts w:ascii="Calibri" w:hAnsi="Calibri"/>
                <w:color w:val="162236"/>
                <w:sz w:val="18"/>
              </w:rPr>
              <w:t>“We check whether the files align before planning begins.”</w:t>
            </w:r>
          </w:p>
        </w:tc>
        <w:tc>
          <w:tcPr>
            <w:tcW w:type="dxa" w:w="4680"/>
            <w:vAlign w:val="center"/>
            <w:tcMar>
              <w:top w:w="80" w:type="dxa"/>
              <w:start w:w="120" w:type="dxa"/>
              <w:bottom w:w="80" w:type="dxa"/>
              <w:end w:w="120" w:type="dxa"/>
            </w:tcMar>
          </w:tcPr>
          <w:p>
            <w:pPr>
              <w:spacing w:before="0" w:after="0" w:line="271" w:lineRule="auto"/>
            </w:pPr>
            <w:r>
              <w:rPr>
                <w:rFonts w:ascii="Calibri" w:hAnsi="Calibri"/>
                <w:color w:val="162236"/>
                <w:sz w:val="18"/>
              </w:rPr>
              <w:t>“Seamless integration with cutting-edge technology.”</w:t>
            </w:r>
          </w:p>
        </w:tc>
      </w:tr>
      <w:tr>
        <w:trPr>
          <w:cantSplit/>
        </w:trPr>
        <w:tc>
          <w:tcPr>
            <w:tcW w:type="dxa" w:w="4680"/>
            <w:vAlign w:val="center"/>
            <w:tcMar>
              <w:top w:w="80" w:type="dxa"/>
              <w:start w:w="120" w:type="dxa"/>
              <w:bottom w:w="80" w:type="dxa"/>
              <w:end w:w="120" w:type="dxa"/>
            </w:tcMar>
          </w:tcPr>
          <w:p>
            <w:pPr>
              <w:spacing w:before="0" w:after="0" w:line="271" w:lineRule="auto"/>
            </w:pPr>
            <w:r>
              <w:rPr>
                <w:rFonts w:ascii="Calibri" w:hAnsi="Calibri"/>
                <w:color w:val="162236"/>
                <w:sz w:val="18"/>
              </w:rPr>
              <w:t>“Choose the workflow your case needs.”</w:t>
            </w:r>
          </w:p>
        </w:tc>
        <w:tc>
          <w:tcPr>
            <w:tcW w:type="dxa" w:w="4680"/>
            <w:vAlign w:val="center"/>
            <w:tcMar>
              <w:top w:w="80" w:type="dxa"/>
              <w:start w:w="120" w:type="dxa"/>
              <w:bottom w:w="80" w:type="dxa"/>
              <w:end w:w="120" w:type="dxa"/>
            </w:tcMar>
          </w:tcPr>
          <w:p>
            <w:pPr>
              <w:spacing w:before="0" w:after="0" w:line="271" w:lineRule="auto"/>
            </w:pPr>
            <w:r>
              <w:rPr>
                <w:rFonts w:ascii="Calibri" w:hAnsi="Calibri"/>
                <w:color w:val="162236"/>
                <w:sz w:val="18"/>
              </w:rPr>
              <w:t>“Unlock next-level dentistry.”</w:t>
            </w:r>
          </w:p>
        </w:tc>
      </w:tr>
      <w:tr>
        <w:trPr>
          <w:cantSplit/>
        </w:trPr>
        <w:tc>
          <w:tcPr>
            <w:tcW w:type="dxa" w:w="4680"/>
            <w:vAlign w:val="center"/>
            <w:tcMar>
              <w:top w:w="80" w:type="dxa"/>
              <w:start w:w="120" w:type="dxa"/>
              <w:bottom w:w="80" w:type="dxa"/>
              <w:end w:w="120" w:type="dxa"/>
            </w:tcMar>
          </w:tcPr>
          <w:p>
            <w:pPr>
              <w:spacing w:before="0" w:after="0" w:line="271" w:lineRule="auto"/>
            </w:pPr>
            <w:r>
              <w:rPr>
                <w:rFonts w:ascii="Calibri" w:hAnsi="Calibri"/>
                <w:color w:val="162236"/>
                <w:sz w:val="18"/>
              </w:rPr>
              <w:t>“What your case team checks.”</w:t>
            </w:r>
          </w:p>
        </w:tc>
        <w:tc>
          <w:tcPr>
            <w:tcW w:type="dxa" w:w="4680"/>
            <w:vAlign w:val="center"/>
            <w:tcMar>
              <w:top w:w="80" w:type="dxa"/>
              <w:start w:w="120" w:type="dxa"/>
              <w:bottom w:w="80" w:type="dxa"/>
              <w:end w:w="120" w:type="dxa"/>
            </w:tcMar>
          </w:tcPr>
          <w:p>
            <w:pPr>
              <w:spacing w:before="0" w:after="0" w:line="271" w:lineRule="auto"/>
            </w:pPr>
            <w:r>
              <w:rPr>
                <w:rFonts w:ascii="Calibri" w:hAnsi="Calibri"/>
                <w:color w:val="162236"/>
                <w:sz w:val="18"/>
              </w:rPr>
              <w:t>“Why choose us?” followed by generic claims.</w:t>
            </w:r>
          </w:p>
        </w:tc>
      </w:tr>
      <w:tr>
        <w:trPr>
          <w:cantSplit/>
        </w:trPr>
        <w:tc>
          <w:tcPr>
            <w:tcW w:type="dxa" w:w="4680"/>
            <w:vAlign w:val="center"/>
            <w:tcMar>
              <w:top w:w="80" w:type="dxa"/>
              <w:start w:w="120" w:type="dxa"/>
              <w:bottom w:w="80" w:type="dxa"/>
              <w:end w:w="120" w:type="dxa"/>
            </w:tcMar>
          </w:tcPr>
          <w:p>
            <w:pPr>
              <w:spacing w:before="0" w:after="0" w:line="271" w:lineRule="auto"/>
            </w:pPr>
            <w:r>
              <w:rPr>
                <w:rFonts w:ascii="Calibri" w:hAnsi="Calibri"/>
                <w:color w:val="162236"/>
                <w:sz w:val="18"/>
              </w:rPr>
              <w:t>“Bring us the cases that need more than a template.”</w:t>
            </w:r>
          </w:p>
        </w:tc>
        <w:tc>
          <w:tcPr>
            <w:tcW w:type="dxa" w:w="4680"/>
            <w:vAlign w:val="center"/>
            <w:tcMar>
              <w:top w:w="80" w:type="dxa"/>
              <w:start w:w="120" w:type="dxa"/>
              <w:bottom w:w="80" w:type="dxa"/>
              <w:end w:w="120" w:type="dxa"/>
            </w:tcMar>
          </w:tcPr>
          <w:p>
            <w:pPr>
              <w:spacing w:before="0" w:after="0" w:line="271" w:lineRule="auto"/>
            </w:pPr>
            <w:r>
              <w:rPr>
                <w:rFonts w:ascii="Calibri" w:hAnsi="Calibri"/>
                <w:color w:val="162236"/>
                <w:sz w:val="18"/>
              </w:rPr>
              <w:t>“Revolutionising dentistry one smile at a time.”</w:t>
            </w:r>
          </w:p>
        </w:tc>
      </w:tr>
      <w:tr>
        <w:trPr>
          <w:cantSplit/>
        </w:trPr>
        <w:tc>
          <w:tcPr>
            <w:tcW w:type="dxa" w:w="4680"/>
            <w:vAlign w:val="center"/>
            <w:tcMar>
              <w:top w:w="80" w:type="dxa"/>
              <w:start w:w="120" w:type="dxa"/>
              <w:bottom w:w="80" w:type="dxa"/>
              <w:end w:w="120" w:type="dxa"/>
            </w:tcMar>
          </w:tcPr>
          <w:p>
            <w:pPr>
              <w:spacing w:before="0" w:after="0" w:line="271" w:lineRule="auto"/>
            </w:pPr>
            <w:r>
              <w:rPr>
                <w:rFonts w:ascii="Calibri" w:hAnsi="Calibri"/>
                <w:color w:val="162236"/>
                <w:sz w:val="18"/>
              </w:rPr>
              <w:t>“Begin with the smile. Then engineer what must support it.”</w:t>
            </w:r>
          </w:p>
        </w:tc>
        <w:tc>
          <w:tcPr>
            <w:tcW w:type="dxa" w:w="4680"/>
            <w:vAlign w:val="center"/>
            <w:tcMar>
              <w:top w:w="80" w:type="dxa"/>
              <w:start w:w="120" w:type="dxa"/>
              <w:bottom w:w="80" w:type="dxa"/>
              <w:end w:w="120" w:type="dxa"/>
            </w:tcMar>
          </w:tcPr>
          <w:p>
            <w:pPr>
              <w:spacing w:before="0" w:after="0" w:line="271" w:lineRule="auto"/>
            </w:pPr>
            <w:r>
              <w:rPr>
                <w:rFonts w:ascii="Calibri" w:hAnsi="Calibri"/>
                <w:color w:val="162236"/>
                <w:sz w:val="18"/>
              </w:rPr>
              <w:t>“Beautiful smiles powered by cutting-edge innovation.”</w:t>
            </w:r>
          </w:p>
        </w:tc>
      </w:tr>
      <w:tr>
        <w:trPr>
          <w:cantSplit/>
        </w:trPr>
        <w:tc>
          <w:tcPr>
            <w:tcW w:type="dxa" w:w="4680"/>
            <w:vAlign w:val="center"/>
            <w:tcMar>
              <w:top w:w="80" w:type="dxa"/>
              <w:start w:w="120" w:type="dxa"/>
              <w:bottom w:w="80" w:type="dxa"/>
              <w:end w:w="120" w:type="dxa"/>
            </w:tcMar>
          </w:tcPr>
          <w:p>
            <w:pPr>
              <w:spacing w:before="0" w:after="0" w:line="271" w:lineRule="auto"/>
            </w:pPr>
            <w:r>
              <w:rPr>
                <w:rFonts w:ascii="Calibri" w:hAnsi="Calibri"/>
                <w:color w:val="162236"/>
                <w:sz w:val="18"/>
              </w:rPr>
              <w:t>“Choose local production or coordinated delivery.”</w:t>
            </w:r>
          </w:p>
        </w:tc>
        <w:tc>
          <w:tcPr>
            <w:tcW w:type="dxa" w:w="4680"/>
            <w:vAlign w:val="center"/>
            <w:tcMar>
              <w:top w:w="80" w:type="dxa"/>
              <w:start w:w="120" w:type="dxa"/>
              <w:bottom w:w="80" w:type="dxa"/>
              <w:end w:w="120" w:type="dxa"/>
            </w:tcMar>
          </w:tcPr>
          <w:p>
            <w:pPr>
              <w:spacing w:before="0" w:after="0" w:line="271" w:lineRule="auto"/>
            </w:pPr>
            <w:r>
              <w:rPr>
                <w:rFonts w:ascii="Calibri" w:hAnsi="Calibri"/>
                <w:color w:val="162236"/>
                <w:sz w:val="18"/>
              </w:rPr>
              <w:t>“Serving the whole world seamlessly.”</w:t>
            </w:r>
          </w:p>
        </w:tc>
      </w:tr>
      <w:tr>
        <w:trPr>
          <w:cantSplit/>
        </w:trPr>
        <w:tc>
          <w:tcPr>
            <w:tcW w:type="dxa" w:w="4680"/>
            <w:vAlign w:val="center"/>
            <w:tcMar>
              <w:top w:w="80" w:type="dxa"/>
              <w:start w:w="120" w:type="dxa"/>
              <w:bottom w:w="80" w:type="dxa"/>
              <w:end w:w="120" w:type="dxa"/>
            </w:tcMar>
          </w:tcPr>
          <w:p>
            <w:pPr>
              <w:spacing w:before="0" w:after="0" w:line="271" w:lineRule="auto"/>
            </w:pPr>
            <w:r>
              <w:rPr>
                <w:rFonts w:ascii="Calibri" w:hAnsi="Calibri"/>
                <w:color w:val="162236"/>
                <w:sz w:val="18"/>
              </w:rPr>
              <w:t>“Turnaround begins after complete data and scope confirmation.”</w:t>
            </w:r>
          </w:p>
        </w:tc>
        <w:tc>
          <w:tcPr>
            <w:tcW w:type="dxa" w:w="4680"/>
            <w:vAlign w:val="center"/>
            <w:tcMar>
              <w:top w:w="80" w:type="dxa"/>
              <w:start w:w="120" w:type="dxa"/>
              <w:bottom w:w="80" w:type="dxa"/>
              <w:end w:w="120" w:type="dxa"/>
            </w:tcMar>
          </w:tcPr>
          <w:p>
            <w:pPr>
              <w:spacing w:before="0" w:after="0" w:line="271" w:lineRule="auto"/>
            </w:pPr>
            <w:r>
              <w:rPr>
                <w:rFonts w:ascii="Calibri" w:hAnsi="Calibri"/>
                <w:color w:val="162236"/>
                <w:sz w:val="18"/>
              </w:rPr>
              <w:t>Unqualified promises such as “delivered in 24 hours.”</w:t>
            </w:r>
          </w:p>
        </w:tc>
      </w:tr>
    </w:tbl>
    <w:p>
      <w:pPr>
        <w:spacing w:after="60"/>
      </w:pPr>
    </w:p>
    <w:p>
      <w:pPr>
        <w:pStyle w:val="Heading2"/>
        <w:spacing w:before="280" w:after="140" w:line="252" w:lineRule="auto"/>
        <w:keepNext w:val="1"/>
        <w:pageBreakBefore w:val="0"/>
      </w:pPr>
      <w:r>
        <w:rPr>
          <w:rFonts w:ascii="Calibri" w:hAnsi="Calibri"/>
          <w:b/>
          <w:color w:val="2E74B5"/>
          <w:sz w:val="26"/>
        </w:rPr>
        <w:t>Human-writing standard</w:t>
      </w:r>
    </w:p>
    <w:p>
      <w:pPr>
        <w:pStyle w:val="ListBullet"/>
        <w:keepLines/>
        <w:spacing w:before="0" w:after="80" w:line="300" w:lineRule="auto"/>
      </w:pPr>
      <w:r>
        <w:rPr>
          <w:rFonts w:ascii="Calibri" w:hAnsi="Calibri"/>
          <w:color w:val="162236"/>
          <w:sz w:val="22"/>
        </w:rPr>
        <w:t>One clear idea per section; most sections should be readable in under 20 seconds.</w:t>
      </w:r>
    </w:p>
    <w:p>
      <w:pPr>
        <w:pStyle w:val="ListBullet"/>
        <w:keepLines/>
        <w:spacing w:before="0" w:after="80" w:line="300" w:lineRule="auto"/>
      </w:pPr>
      <w:r>
        <w:rPr>
          <w:rFonts w:ascii="Calibri" w:hAnsi="Calibri"/>
          <w:color w:val="162236"/>
          <w:sz w:val="22"/>
        </w:rPr>
        <w:t>Write from real case questions, validation checks and approval moments, not from a list of target keywords.</w:t>
      </w:r>
    </w:p>
    <w:p>
      <w:pPr>
        <w:pStyle w:val="ListBullet"/>
        <w:keepLines/>
        <w:spacing w:before="0" w:after="80" w:line="300" w:lineRule="auto"/>
      </w:pPr>
      <w:r>
        <w:rPr>
          <w:rFonts w:ascii="Calibri" w:hAnsi="Calibri"/>
          <w:color w:val="162236"/>
          <w:sz w:val="22"/>
        </w:rPr>
        <w:t>Use concrete nouns: CBCT, IOS scan, denture scan, implant library, guide support, approval, STL, production.</w:t>
      </w:r>
    </w:p>
    <w:p>
      <w:pPr>
        <w:pStyle w:val="ListBullet"/>
        <w:keepLines/>
        <w:spacing w:before="0" w:after="80" w:line="300" w:lineRule="auto"/>
      </w:pPr>
      <w:r>
        <w:rPr>
          <w:rFonts w:ascii="Calibri" w:hAnsi="Calibri"/>
          <w:color w:val="162236"/>
          <w:sz w:val="22"/>
        </w:rPr>
        <w:t>Use short sentences where the decision is important. Use technical detail only where it changes what the dentist should do.</w:t>
      </w:r>
    </w:p>
    <w:p>
      <w:pPr>
        <w:pStyle w:val="ListBullet"/>
        <w:keepLines/>
        <w:spacing w:before="0" w:after="80" w:line="300" w:lineRule="auto"/>
      </w:pPr>
      <w:r>
        <w:rPr>
          <w:rFonts w:ascii="Calibri" w:hAnsi="Calibri"/>
          <w:color w:val="162236"/>
          <w:sz w:val="22"/>
        </w:rPr>
        <w:t>No visible AI mannerisms: no inflated opening, three-adjective strings, repetitive summaries, rhetorical filler or identical section patterns across every page.</w:t>
      </w:r>
    </w:p>
    <w:p>
      <w:pPr>
        <w:pStyle w:val="ListBullet"/>
        <w:keepLines/>
        <w:spacing w:before="0" w:after="80" w:line="300" w:lineRule="auto"/>
      </w:pPr>
      <w:r>
        <w:rPr>
          <w:rFonts w:ascii="Calibri" w:hAnsi="Calibri"/>
          <w:color w:val="162236"/>
          <w:sz w:val="22"/>
        </w:rPr>
        <w:t>No invented case story, testimonial, statistic, certification, reviewer or compatibility claim.</w:t>
      </w:r>
    </w:p>
    <w:p>
      <w:pPr>
        <w:pStyle w:val="ListBullet"/>
        <w:keepLines/>
        <w:spacing w:before="0" w:after="80" w:line="300" w:lineRule="auto"/>
      </w:pPr>
      <w:r>
        <w:rPr>
          <w:rFonts w:ascii="Calibri" w:hAnsi="Calibri"/>
          <w:color w:val="162236"/>
          <w:sz w:val="22"/>
        </w:rPr>
        <w:t>Every clinical statement must be reviewed by an appropriately qualified clinical reviewer; every workflow claim must be reviewed by the technical operations team.</w:t>
      </w:r>
    </w:p>
    <w:p>
      <w:pPr>
        <w:pStyle w:val="ListBullet"/>
        <w:keepLines/>
        <w:spacing w:before="0" w:after="80" w:line="300" w:lineRule="auto"/>
      </w:pPr>
      <w:r>
        <w:rPr>
          <w:rFonts w:ascii="Calibri" w:hAnsi="Calibri"/>
          <w:color w:val="162236"/>
          <w:sz w:val="22"/>
        </w:rPr>
        <w:t>AI may assist internal research or organisation, but it must never be the visible author or the source of an unverified clinical claim.</w:t>
      </w:r>
    </w:p>
    <w:p>
      <w:pPr>
        <w:pStyle w:val="Heading1"/>
        <w:spacing w:before="360" w:after="200" w:line="252" w:lineRule="auto"/>
        <w:keepNext w:val="1"/>
        <w:pageBreakBefore w:val="0"/>
      </w:pPr>
      <w:r>
        <w:rPr>
          <w:rFonts w:ascii="Calibri" w:hAnsi="Calibri"/>
          <w:b/>
          <w:color w:val="2E74B5"/>
          <w:sz w:val="32"/>
        </w:rPr>
        <w:t>2. Audience paths</w:t>
      </w:r>
    </w:p>
    <w:p>
      <w:pPr>
        <w:spacing w:before="0" w:after="120" w:line="300" w:lineRule="auto"/>
        <w:jc w:val="left"/>
      </w:pPr>
      <w:r>
        <w:rPr>
          <w:rFonts w:ascii="Calibri" w:hAnsi="Calibri"/>
          <w:i w:val="0"/>
          <w:color w:val="162236"/>
          <w:sz w:val="22"/>
        </w:rPr>
        <w:t>The homepage should not ask a dentist to understand the company structure first. It should help them recognise their case and move to the right workflow.</w:t>
      </w:r>
    </w:p>
    <w:tbl>
      <w:tblPr>
        <w:tblStyle w:val="TableGrid"/>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1700"/>
        <w:gridCol w:w="2700"/>
        <w:gridCol w:w="2900"/>
        <w:gridCol w:w="2060"/>
      </w:tblGrid>
      <w:tr>
        <w:trPr>
          <w:tblHeader w:val="true"/>
          <w:cantSplit/>
        </w:trPr>
        <w:tc>
          <w:tcPr>
            <w:tcW w:type="dxa" w:w="1700"/>
            <w:tcMar>
              <w:top w:w="80" w:type="dxa"/>
              <w:start w:w="120" w:type="dxa"/>
              <w:bottom w:w="80" w:type="dxa"/>
              <w:end w:w="120" w:type="dxa"/>
            </w:tcMar>
            <w:vAlign w:val="center"/>
            <w:shd w:fill="E8EEF5"/>
          </w:tcPr>
          <w:p>
            <w:pPr>
              <w:spacing w:before="0" w:after="0" w:line="264" w:lineRule="auto"/>
            </w:pPr>
            <w:r>
              <w:rPr>
                <w:rFonts w:ascii="Calibri" w:hAnsi="Calibri"/>
                <w:b/>
                <w:color w:val="162236"/>
                <w:sz w:val="17"/>
              </w:rPr>
              <w:t>Visitor</w:t>
            </w:r>
          </w:p>
        </w:tc>
        <w:tc>
          <w:tcPr>
            <w:tcW w:type="dxa" w:w="2700"/>
            <w:tcMar>
              <w:top w:w="80" w:type="dxa"/>
              <w:start w:w="120" w:type="dxa"/>
              <w:bottom w:w="80" w:type="dxa"/>
              <w:end w:w="120" w:type="dxa"/>
            </w:tcMar>
            <w:vAlign w:val="center"/>
            <w:shd w:fill="E8EEF5"/>
          </w:tcPr>
          <w:p>
            <w:pPr>
              <w:spacing w:before="0" w:after="0" w:line="264" w:lineRule="auto"/>
            </w:pPr>
            <w:r>
              <w:rPr>
                <w:rFonts w:ascii="Calibri" w:hAnsi="Calibri"/>
                <w:b/>
                <w:color w:val="162236"/>
                <w:sz w:val="17"/>
              </w:rPr>
              <w:t>Immediate question</w:t>
            </w:r>
          </w:p>
        </w:tc>
        <w:tc>
          <w:tcPr>
            <w:tcW w:type="dxa" w:w="2900"/>
            <w:tcMar>
              <w:top w:w="80" w:type="dxa"/>
              <w:start w:w="120" w:type="dxa"/>
              <w:bottom w:w="80" w:type="dxa"/>
              <w:end w:w="120" w:type="dxa"/>
            </w:tcMar>
            <w:vAlign w:val="center"/>
            <w:shd w:fill="E8EEF5"/>
          </w:tcPr>
          <w:p>
            <w:pPr>
              <w:spacing w:before="0" w:after="0" w:line="264" w:lineRule="auto"/>
            </w:pPr>
            <w:r>
              <w:rPr>
                <w:rFonts w:ascii="Calibri" w:hAnsi="Calibri"/>
                <w:b/>
                <w:color w:val="162236"/>
                <w:sz w:val="17"/>
              </w:rPr>
              <w:t>Best entry path</w:t>
            </w:r>
          </w:p>
        </w:tc>
        <w:tc>
          <w:tcPr>
            <w:tcW w:type="dxa" w:w="2060"/>
            <w:tcMar>
              <w:top w:w="80" w:type="dxa"/>
              <w:start w:w="120" w:type="dxa"/>
              <w:bottom w:w="80" w:type="dxa"/>
              <w:end w:w="120" w:type="dxa"/>
            </w:tcMar>
            <w:vAlign w:val="center"/>
            <w:shd w:fill="E8EEF5"/>
          </w:tcPr>
          <w:p>
            <w:pPr>
              <w:spacing w:before="0" w:after="0" w:line="264" w:lineRule="auto"/>
            </w:pPr>
            <w:r>
              <w:rPr>
                <w:rFonts w:ascii="Calibri" w:hAnsi="Calibri"/>
                <w:b/>
                <w:color w:val="162236"/>
                <w:sz w:val="17"/>
              </w:rPr>
              <w:t>Primary action</w:t>
            </w:r>
          </w:p>
        </w:tc>
      </w:tr>
      <w:tr>
        <w:trPr>
          <w:cantSplit/>
        </w:trPr>
        <w:tc>
          <w:tcPr>
            <w:tcW w:type="dxa" w:w="1700"/>
            <w:vAlign w:val="center"/>
            <w:tcMar>
              <w:top w:w="80" w:type="dxa"/>
              <w:start w:w="120" w:type="dxa"/>
              <w:bottom w:w="80" w:type="dxa"/>
              <w:end w:w="120" w:type="dxa"/>
            </w:tcMar>
          </w:tcPr>
          <w:p>
            <w:pPr>
              <w:spacing w:before="0" w:after="0" w:line="271" w:lineRule="auto"/>
            </w:pPr>
            <w:r>
              <w:rPr>
                <w:rFonts w:ascii="Calibri" w:hAnsi="Calibri"/>
                <w:color w:val="162236"/>
                <w:sz w:val="17"/>
              </w:rPr>
              <w:t>Routine implant clinician</w:t>
            </w:r>
          </w:p>
        </w:tc>
        <w:tc>
          <w:tcPr>
            <w:tcW w:type="dxa" w:w="2700"/>
            <w:vAlign w:val="center"/>
            <w:tcMar>
              <w:top w:w="80" w:type="dxa"/>
              <w:start w:w="120" w:type="dxa"/>
              <w:bottom w:w="80" w:type="dxa"/>
              <w:end w:w="120" w:type="dxa"/>
            </w:tcMar>
          </w:tcPr>
          <w:p>
            <w:pPr>
              <w:spacing w:before="0" w:after="0" w:line="271" w:lineRule="auto"/>
            </w:pPr>
            <w:r>
              <w:rPr>
                <w:rFonts w:ascii="Calibri" w:hAnsi="Calibri"/>
                <w:color w:val="162236"/>
                <w:sz w:val="17"/>
              </w:rPr>
              <w:t>Can you plan and provide the guide for this case?</w:t>
            </w:r>
          </w:p>
        </w:tc>
        <w:tc>
          <w:tcPr>
            <w:tcW w:type="dxa" w:w="2900"/>
            <w:vAlign w:val="center"/>
            <w:tcMar>
              <w:top w:w="80" w:type="dxa"/>
              <w:start w:w="120" w:type="dxa"/>
              <w:bottom w:w="80" w:type="dxa"/>
              <w:end w:w="120" w:type="dxa"/>
            </w:tcMar>
          </w:tcPr>
          <w:p>
            <w:pPr>
              <w:spacing w:before="0" w:after="0" w:line="271" w:lineRule="auto"/>
            </w:pPr>
            <w:r>
              <w:rPr>
                <w:rFonts w:ascii="Calibri" w:hAnsi="Calibri"/>
                <w:color w:val="162236"/>
                <w:sz w:val="17"/>
              </w:rPr>
              <w:t>Guided Implant Workflow</w:t>
            </w:r>
          </w:p>
        </w:tc>
        <w:tc>
          <w:tcPr>
            <w:tcW w:type="dxa" w:w="2060"/>
            <w:vAlign w:val="center"/>
            <w:tcMar>
              <w:top w:w="80" w:type="dxa"/>
              <w:start w:w="120" w:type="dxa"/>
              <w:bottom w:w="80" w:type="dxa"/>
              <w:end w:w="120" w:type="dxa"/>
            </w:tcMar>
          </w:tcPr>
          <w:p>
            <w:pPr>
              <w:spacing w:before="0" w:after="0" w:line="271" w:lineRule="auto"/>
            </w:pPr>
            <w:r>
              <w:rPr>
                <w:rFonts w:ascii="Calibri" w:hAnsi="Calibri"/>
                <w:color w:val="162236"/>
                <w:sz w:val="17"/>
              </w:rPr>
              <w:t>Start a Case</w:t>
            </w:r>
          </w:p>
        </w:tc>
      </w:tr>
      <w:tr>
        <w:trPr>
          <w:cantSplit/>
        </w:trPr>
        <w:tc>
          <w:tcPr>
            <w:tcW w:type="dxa" w:w="1700"/>
            <w:vAlign w:val="center"/>
            <w:tcMar>
              <w:top w:w="80" w:type="dxa"/>
              <w:start w:w="120" w:type="dxa"/>
              <w:bottom w:w="80" w:type="dxa"/>
              <w:end w:w="120" w:type="dxa"/>
            </w:tcMar>
          </w:tcPr>
          <w:p>
            <w:pPr>
              <w:spacing w:before="0" w:after="0" w:line="271" w:lineRule="auto"/>
            </w:pPr>
            <w:r>
              <w:rPr>
                <w:rFonts w:ascii="Calibri" w:hAnsi="Calibri"/>
                <w:color w:val="162236"/>
                <w:sz w:val="17"/>
              </w:rPr>
              <w:t>Full-arch clinician</w:t>
            </w:r>
          </w:p>
        </w:tc>
        <w:tc>
          <w:tcPr>
            <w:tcW w:type="dxa" w:w="2700"/>
            <w:vAlign w:val="center"/>
            <w:tcMar>
              <w:top w:w="80" w:type="dxa"/>
              <w:start w:w="120" w:type="dxa"/>
              <w:bottom w:w="80" w:type="dxa"/>
              <w:end w:w="120" w:type="dxa"/>
            </w:tcMar>
          </w:tcPr>
          <w:p>
            <w:pPr>
              <w:spacing w:before="0" w:after="0" w:line="271" w:lineRule="auto"/>
            </w:pPr>
            <w:r>
              <w:rPr>
                <w:rFonts w:ascii="Calibri" w:hAnsi="Calibri"/>
                <w:color w:val="162236"/>
                <w:sz w:val="17"/>
              </w:rPr>
              <w:t>Can the surgical and provisional sequence be coordinated?</w:t>
            </w:r>
          </w:p>
        </w:tc>
        <w:tc>
          <w:tcPr>
            <w:tcW w:type="dxa" w:w="2900"/>
            <w:vAlign w:val="center"/>
            <w:tcMar>
              <w:top w:w="80" w:type="dxa"/>
              <w:start w:w="120" w:type="dxa"/>
              <w:bottom w:w="80" w:type="dxa"/>
              <w:end w:w="120" w:type="dxa"/>
            </w:tcMar>
          </w:tcPr>
          <w:p>
            <w:pPr>
              <w:spacing w:before="0" w:after="0" w:line="271" w:lineRule="auto"/>
            </w:pPr>
            <w:r>
              <w:rPr>
                <w:rFonts w:ascii="Calibri" w:hAnsi="Calibri"/>
                <w:color w:val="162236"/>
                <w:sz w:val="17"/>
              </w:rPr>
              <w:t>Full-Arch Stackable Workflow</w:t>
            </w:r>
          </w:p>
        </w:tc>
        <w:tc>
          <w:tcPr>
            <w:tcW w:type="dxa" w:w="2060"/>
            <w:vAlign w:val="center"/>
            <w:tcMar>
              <w:top w:w="80" w:type="dxa"/>
              <w:start w:w="120" w:type="dxa"/>
              <w:bottom w:w="80" w:type="dxa"/>
              <w:end w:w="120" w:type="dxa"/>
            </w:tcMar>
          </w:tcPr>
          <w:p>
            <w:pPr>
              <w:spacing w:before="0" w:after="0" w:line="271" w:lineRule="auto"/>
            </w:pPr>
            <w:r>
              <w:rPr>
                <w:rFonts w:ascii="Calibri" w:hAnsi="Calibri"/>
                <w:color w:val="162236"/>
                <w:sz w:val="17"/>
              </w:rPr>
              <w:t>Discuss a Complex Case</w:t>
            </w:r>
          </w:p>
        </w:tc>
      </w:tr>
      <w:tr>
        <w:trPr>
          <w:cantSplit/>
        </w:trPr>
        <w:tc>
          <w:tcPr>
            <w:tcW w:type="dxa" w:w="1700"/>
            <w:vAlign w:val="center"/>
            <w:tcMar>
              <w:top w:w="80" w:type="dxa"/>
              <w:start w:w="120" w:type="dxa"/>
              <w:bottom w:w="80" w:type="dxa"/>
              <w:end w:w="120" w:type="dxa"/>
            </w:tcMar>
          </w:tcPr>
          <w:p>
            <w:pPr>
              <w:spacing w:before="0" w:after="0" w:line="271" w:lineRule="auto"/>
            </w:pPr>
            <w:r>
              <w:rPr>
                <w:rFonts w:ascii="Calibri" w:hAnsi="Calibri"/>
                <w:color w:val="162236"/>
                <w:sz w:val="17"/>
              </w:rPr>
              <w:t>Zygoma / pterygoid clinician</w:t>
            </w:r>
          </w:p>
        </w:tc>
        <w:tc>
          <w:tcPr>
            <w:tcW w:type="dxa" w:w="2700"/>
            <w:vAlign w:val="center"/>
            <w:tcMar>
              <w:top w:w="80" w:type="dxa"/>
              <w:start w:w="120" w:type="dxa"/>
              <w:bottom w:w="80" w:type="dxa"/>
              <w:end w:w="120" w:type="dxa"/>
            </w:tcMar>
          </w:tcPr>
          <w:p>
            <w:pPr>
              <w:spacing w:before="0" w:after="0" w:line="271" w:lineRule="auto"/>
            </w:pPr>
            <w:r>
              <w:rPr>
                <w:rFonts w:ascii="Calibri" w:hAnsi="Calibri"/>
                <w:color w:val="162236"/>
                <w:sz w:val="17"/>
              </w:rPr>
              <w:t>Can this anatomy and prosthetic plan be reviewed as one workflow?</w:t>
            </w:r>
          </w:p>
        </w:tc>
        <w:tc>
          <w:tcPr>
            <w:tcW w:type="dxa" w:w="2900"/>
            <w:vAlign w:val="center"/>
            <w:tcMar>
              <w:top w:w="80" w:type="dxa"/>
              <w:start w:w="120" w:type="dxa"/>
              <w:bottom w:w="80" w:type="dxa"/>
              <w:end w:w="120" w:type="dxa"/>
            </w:tcMar>
          </w:tcPr>
          <w:p>
            <w:pPr>
              <w:spacing w:before="0" w:after="0" w:line="271" w:lineRule="auto"/>
            </w:pPr>
            <w:r>
              <w:rPr>
                <w:rFonts w:ascii="Calibri" w:hAnsi="Calibri"/>
                <w:color w:val="162236"/>
                <w:sz w:val="17"/>
              </w:rPr>
              <w:t>Zygoma &amp; Pterygoid Planning</w:t>
            </w:r>
          </w:p>
        </w:tc>
        <w:tc>
          <w:tcPr>
            <w:tcW w:type="dxa" w:w="2060"/>
            <w:vAlign w:val="center"/>
            <w:tcMar>
              <w:top w:w="80" w:type="dxa"/>
              <w:start w:w="120" w:type="dxa"/>
              <w:bottom w:w="80" w:type="dxa"/>
              <w:end w:w="120" w:type="dxa"/>
            </w:tcMar>
          </w:tcPr>
          <w:p>
            <w:pPr>
              <w:spacing w:before="0" w:after="0" w:line="271" w:lineRule="auto"/>
            </w:pPr>
            <w:r>
              <w:rPr>
                <w:rFonts w:ascii="Calibri" w:hAnsi="Calibri"/>
                <w:color w:val="162236"/>
                <w:sz w:val="17"/>
              </w:rPr>
              <w:t>Discuss a Complex Case</w:t>
            </w:r>
          </w:p>
        </w:tc>
      </w:tr>
      <w:tr>
        <w:trPr>
          <w:cantSplit/>
        </w:trPr>
        <w:tc>
          <w:tcPr>
            <w:tcW w:type="dxa" w:w="1700"/>
            <w:vAlign w:val="center"/>
            <w:tcMar>
              <w:top w:w="80" w:type="dxa"/>
              <w:start w:w="120" w:type="dxa"/>
              <w:bottom w:w="80" w:type="dxa"/>
              <w:end w:w="120" w:type="dxa"/>
            </w:tcMar>
          </w:tcPr>
          <w:p>
            <w:pPr>
              <w:spacing w:before="0" w:after="0" w:line="271" w:lineRule="auto"/>
            </w:pPr>
            <w:r>
              <w:rPr>
                <w:rFonts w:ascii="Calibri" w:hAnsi="Calibri"/>
                <w:color w:val="162236"/>
                <w:sz w:val="17"/>
              </w:rPr>
              <w:t>Immediate-loading practice</w:t>
            </w:r>
          </w:p>
        </w:tc>
        <w:tc>
          <w:tcPr>
            <w:tcW w:type="dxa" w:w="2700"/>
            <w:vAlign w:val="center"/>
            <w:tcMar>
              <w:top w:w="80" w:type="dxa"/>
              <w:start w:w="120" w:type="dxa"/>
              <w:bottom w:w="80" w:type="dxa"/>
              <w:end w:w="120" w:type="dxa"/>
            </w:tcMar>
          </w:tcPr>
          <w:p>
            <w:pPr>
              <w:spacing w:before="0" w:after="0" w:line="271" w:lineRule="auto"/>
            </w:pPr>
            <w:r>
              <w:rPr>
                <w:rFonts w:ascii="Calibri" w:hAnsi="Calibri"/>
                <w:color w:val="162236"/>
                <w:sz w:val="17"/>
              </w:rPr>
              <w:t>Can planning, guide and provisional references stay aligned?</w:t>
            </w:r>
          </w:p>
        </w:tc>
        <w:tc>
          <w:tcPr>
            <w:tcW w:type="dxa" w:w="2900"/>
            <w:vAlign w:val="center"/>
            <w:tcMar>
              <w:top w:w="80" w:type="dxa"/>
              <w:start w:w="120" w:type="dxa"/>
              <w:bottom w:w="80" w:type="dxa"/>
              <w:end w:w="120" w:type="dxa"/>
            </w:tcMar>
          </w:tcPr>
          <w:p>
            <w:pPr>
              <w:spacing w:before="0" w:after="0" w:line="271" w:lineRule="auto"/>
            </w:pPr>
            <w:r>
              <w:rPr>
                <w:rFonts w:ascii="Calibri" w:hAnsi="Calibri"/>
                <w:color w:val="162236"/>
                <w:sz w:val="17"/>
              </w:rPr>
              <w:t>Immediate-Loading Prosthetic Workflow</w:t>
            </w:r>
          </w:p>
        </w:tc>
        <w:tc>
          <w:tcPr>
            <w:tcW w:type="dxa" w:w="2060"/>
            <w:vAlign w:val="center"/>
            <w:tcMar>
              <w:top w:w="80" w:type="dxa"/>
              <w:start w:w="120" w:type="dxa"/>
              <w:bottom w:w="80" w:type="dxa"/>
              <w:end w:w="120" w:type="dxa"/>
            </w:tcMar>
          </w:tcPr>
          <w:p>
            <w:pPr>
              <w:spacing w:before="0" w:after="0" w:line="271" w:lineRule="auto"/>
            </w:pPr>
            <w:r>
              <w:rPr>
                <w:rFonts w:ascii="Calibri" w:hAnsi="Calibri"/>
                <w:color w:val="162236"/>
                <w:sz w:val="17"/>
              </w:rPr>
              <w:t>Review Requirements</w:t>
            </w:r>
          </w:p>
        </w:tc>
      </w:tr>
      <w:tr>
        <w:trPr>
          <w:cantSplit/>
        </w:trPr>
        <w:tc>
          <w:tcPr>
            <w:tcW w:type="dxa" w:w="1700"/>
            <w:vAlign w:val="center"/>
            <w:tcMar>
              <w:top w:w="80" w:type="dxa"/>
              <w:start w:w="120" w:type="dxa"/>
              <w:bottom w:w="80" w:type="dxa"/>
              <w:end w:w="120" w:type="dxa"/>
            </w:tcMar>
          </w:tcPr>
          <w:p>
            <w:pPr>
              <w:spacing w:before="0" w:after="0" w:line="271" w:lineRule="auto"/>
            </w:pPr>
            <w:r>
              <w:rPr>
                <w:rFonts w:ascii="Calibri" w:hAnsi="Calibri"/>
                <w:color w:val="162236"/>
                <w:sz w:val="17"/>
              </w:rPr>
              <w:t>Global implant practice</w:t>
            </w:r>
          </w:p>
        </w:tc>
        <w:tc>
          <w:tcPr>
            <w:tcW w:type="dxa" w:w="2700"/>
            <w:vAlign w:val="center"/>
            <w:tcMar>
              <w:top w:w="80" w:type="dxa"/>
              <w:start w:w="120" w:type="dxa"/>
              <w:bottom w:w="80" w:type="dxa"/>
              <w:end w:w="120" w:type="dxa"/>
            </w:tcMar>
          </w:tcPr>
          <w:p>
            <w:pPr>
              <w:spacing w:before="0" w:after="0" w:line="271" w:lineRule="auto"/>
            </w:pPr>
            <w:r>
              <w:rPr>
                <w:rFonts w:ascii="Calibri" w:hAnsi="Calibri"/>
                <w:color w:val="162236"/>
                <w:sz w:val="17"/>
              </w:rPr>
              <w:t>Can this team fit our clinical, review and production workflow across borders?</w:t>
            </w:r>
          </w:p>
        </w:tc>
        <w:tc>
          <w:tcPr>
            <w:tcW w:type="dxa" w:w="2900"/>
            <w:vAlign w:val="center"/>
            <w:tcMar>
              <w:top w:w="80" w:type="dxa"/>
              <w:start w:w="120" w:type="dxa"/>
              <w:bottom w:w="80" w:type="dxa"/>
              <w:end w:w="120" w:type="dxa"/>
            </w:tcMar>
          </w:tcPr>
          <w:p>
            <w:pPr>
              <w:spacing w:before="0" w:after="0" w:line="271" w:lineRule="auto"/>
            </w:pPr>
            <w:r>
              <w:rPr>
                <w:rFonts w:ascii="Calibri" w:hAnsi="Calibri"/>
                <w:color w:val="162236"/>
                <w:sz w:val="17"/>
              </w:rPr>
              <w:t>Global Practice Workflow</w:t>
            </w:r>
          </w:p>
        </w:tc>
        <w:tc>
          <w:tcPr>
            <w:tcW w:type="dxa" w:w="2060"/>
            <w:vAlign w:val="center"/>
            <w:tcMar>
              <w:top w:w="80" w:type="dxa"/>
              <w:start w:w="120" w:type="dxa"/>
              <w:bottom w:w="80" w:type="dxa"/>
              <w:end w:w="120" w:type="dxa"/>
            </w:tcMar>
          </w:tcPr>
          <w:p>
            <w:pPr>
              <w:spacing w:before="0" w:after="0" w:line="271" w:lineRule="auto"/>
            </w:pPr>
            <w:r>
              <w:rPr>
                <w:rFonts w:ascii="Calibri" w:hAnsi="Calibri"/>
                <w:color w:val="162236"/>
                <w:sz w:val="17"/>
              </w:rPr>
              <w:t>Review Ways to Work</w:t>
            </w:r>
          </w:p>
        </w:tc>
      </w:tr>
      <w:tr>
        <w:trPr>
          <w:cantSplit/>
        </w:trPr>
        <w:tc>
          <w:tcPr>
            <w:tcW w:type="dxa" w:w="1700"/>
            <w:vAlign w:val="center"/>
            <w:tcMar>
              <w:top w:w="80" w:type="dxa"/>
              <w:start w:w="120" w:type="dxa"/>
              <w:bottom w:w="80" w:type="dxa"/>
              <w:end w:w="120" w:type="dxa"/>
            </w:tcMar>
          </w:tcPr>
          <w:p>
            <w:pPr>
              <w:spacing w:before="0" w:after="0" w:line="271" w:lineRule="auto"/>
            </w:pPr>
            <w:r>
              <w:rPr>
                <w:rFonts w:ascii="Calibri" w:hAnsi="Calibri"/>
                <w:color w:val="162236"/>
                <w:sz w:val="17"/>
              </w:rPr>
              <w:t>Lab / DSO / overseas partner</w:t>
            </w:r>
          </w:p>
        </w:tc>
        <w:tc>
          <w:tcPr>
            <w:tcW w:type="dxa" w:w="2700"/>
            <w:vAlign w:val="center"/>
            <w:tcMar>
              <w:top w:w="80" w:type="dxa"/>
              <w:start w:w="120" w:type="dxa"/>
              <w:bottom w:w="80" w:type="dxa"/>
              <w:end w:w="120" w:type="dxa"/>
            </w:tcMar>
          </w:tcPr>
          <w:p>
            <w:pPr>
              <w:spacing w:before="0" w:after="0" w:line="271" w:lineRule="auto"/>
            </w:pPr>
            <w:r>
              <w:rPr>
                <w:rFonts w:ascii="Calibri" w:hAnsi="Calibri"/>
                <w:color w:val="162236"/>
                <w:sz w:val="17"/>
              </w:rPr>
              <w:t>Can you add reliable planning and design capacity behind our brand?</w:t>
            </w:r>
          </w:p>
        </w:tc>
        <w:tc>
          <w:tcPr>
            <w:tcW w:type="dxa" w:w="2900"/>
            <w:vAlign w:val="center"/>
            <w:tcMar>
              <w:top w:w="80" w:type="dxa"/>
              <w:start w:w="120" w:type="dxa"/>
              <w:bottom w:w="80" w:type="dxa"/>
              <w:end w:w="120" w:type="dxa"/>
            </w:tcMar>
          </w:tcPr>
          <w:p>
            <w:pPr>
              <w:spacing w:before="0" w:after="0" w:line="271" w:lineRule="auto"/>
            </w:pPr>
            <w:r>
              <w:rPr>
                <w:rFonts w:ascii="Calibri" w:hAnsi="Calibri"/>
                <w:color w:val="162236"/>
                <w:sz w:val="17"/>
              </w:rPr>
              <w:t>White-Label Workflow Partnership</w:t>
            </w:r>
          </w:p>
        </w:tc>
        <w:tc>
          <w:tcPr>
            <w:tcW w:type="dxa" w:w="2060"/>
            <w:vAlign w:val="center"/>
            <w:tcMar>
              <w:top w:w="80" w:type="dxa"/>
              <w:start w:w="120" w:type="dxa"/>
              <w:bottom w:w="80" w:type="dxa"/>
              <w:end w:w="120" w:type="dxa"/>
            </w:tcMar>
          </w:tcPr>
          <w:p>
            <w:pPr>
              <w:spacing w:before="0" w:after="0" w:line="271" w:lineRule="auto"/>
            </w:pPr>
            <w:r>
              <w:rPr>
                <w:rFonts w:ascii="Calibri" w:hAnsi="Calibri"/>
                <w:color w:val="162236"/>
                <w:sz w:val="17"/>
              </w:rPr>
              <w:t>Request a Workflow Review</w:t>
            </w:r>
          </w:p>
        </w:tc>
      </w:tr>
      <w:tr>
        <w:trPr>
          <w:cantSplit/>
        </w:trPr>
        <w:tc>
          <w:tcPr>
            <w:tcW w:type="dxa" w:w="1700"/>
            <w:vAlign w:val="center"/>
            <w:tcMar>
              <w:top w:w="80" w:type="dxa"/>
              <w:start w:w="120" w:type="dxa"/>
              <w:bottom w:w="80" w:type="dxa"/>
              <w:end w:w="120" w:type="dxa"/>
            </w:tcMar>
          </w:tcPr>
          <w:p>
            <w:pPr>
              <w:spacing w:before="0" w:after="0" w:line="271" w:lineRule="auto"/>
            </w:pPr>
            <w:r>
              <w:rPr>
                <w:rFonts w:ascii="Calibri" w:hAnsi="Calibri"/>
                <w:color w:val="162236"/>
                <w:sz w:val="17"/>
              </w:rPr>
              <w:t>Returning user</w:t>
            </w:r>
          </w:p>
        </w:tc>
        <w:tc>
          <w:tcPr>
            <w:tcW w:type="dxa" w:w="2700"/>
            <w:vAlign w:val="center"/>
            <w:tcMar>
              <w:top w:w="80" w:type="dxa"/>
              <w:start w:w="120" w:type="dxa"/>
              <w:bottom w:w="80" w:type="dxa"/>
              <w:end w:w="120" w:type="dxa"/>
            </w:tcMar>
          </w:tcPr>
          <w:p>
            <w:pPr>
              <w:spacing w:before="0" w:after="0" w:line="271" w:lineRule="auto"/>
            </w:pPr>
            <w:r>
              <w:rPr>
                <w:rFonts w:ascii="Calibri" w:hAnsi="Calibri"/>
                <w:color w:val="162236"/>
                <w:sz w:val="17"/>
              </w:rPr>
              <w:t>Where is my case and what do I need to do?</w:t>
            </w:r>
          </w:p>
        </w:tc>
        <w:tc>
          <w:tcPr>
            <w:tcW w:type="dxa" w:w="2900"/>
            <w:vAlign w:val="center"/>
            <w:tcMar>
              <w:top w:w="80" w:type="dxa"/>
              <w:start w:w="120" w:type="dxa"/>
              <w:bottom w:w="80" w:type="dxa"/>
              <w:end w:w="120" w:type="dxa"/>
            </w:tcMar>
          </w:tcPr>
          <w:p>
            <w:pPr>
              <w:spacing w:before="0" w:after="0" w:line="271" w:lineRule="auto"/>
            </w:pPr>
            <w:r>
              <w:rPr>
                <w:rFonts w:ascii="Calibri" w:hAnsi="Calibri"/>
                <w:color w:val="162236"/>
                <w:sz w:val="17"/>
              </w:rPr>
              <w:t>Case Portal</w:t>
            </w:r>
          </w:p>
        </w:tc>
        <w:tc>
          <w:tcPr>
            <w:tcW w:type="dxa" w:w="2060"/>
            <w:vAlign w:val="center"/>
            <w:tcMar>
              <w:top w:w="80" w:type="dxa"/>
              <w:start w:w="120" w:type="dxa"/>
              <w:bottom w:w="80" w:type="dxa"/>
              <w:end w:w="120" w:type="dxa"/>
            </w:tcMar>
          </w:tcPr>
          <w:p>
            <w:pPr>
              <w:spacing w:before="0" w:after="0" w:line="271" w:lineRule="auto"/>
            </w:pPr>
            <w:r>
              <w:rPr>
                <w:rFonts w:ascii="Calibri" w:hAnsi="Calibri"/>
                <w:color w:val="162236"/>
                <w:sz w:val="17"/>
              </w:rPr>
              <w:t>Open Case Portal</w:t>
            </w:r>
          </w:p>
        </w:tc>
      </w:tr>
      <w:tr>
        <w:trPr>
          <w:cantSplit/>
        </w:trPr>
        <w:tc>
          <w:tcPr>
            <w:tcW w:type="dxa" w:w="1700"/>
            <w:vAlign w:val="center"/>
            <w:tcMar>
              <w:top w:w="80" w:type="dxa"/>
              <w:start w:w="120" w:type="dxa"/>
              <w:bottom w:w="80" w:type="dxa"/>
              <w:end w:w="120" w:type="dxa"/>
            </w:tcMar>
          </w:tcPr>
          <w:p>
            <w:pPr>
              <w:spacing w:before="0" w:after="0" w:line="271" w:lineRule="auto"/>
            </w:pPr>
            <w:r>
              <w:rPr>
                <w:rFonts w:ascii="Calibri" w:hAnsi="Calibri"/>
                <w:color w:val="162236"/>
                <w:sz w:val="17"/>
              </w:rPr>
              <w:t>Patient / general visitor</w:t>
            </w:r>
          </w:p>
        </w:tc>
        <w:tc>
          <w:tcPr>
            <w:tcW w:type="dxa" w:w="2700"/>
            <w:vAlign w:val="center"/>
            <w:tcMar>
              <w:top w:w="80" w:type="dxa"/>
              <w:start w:w="120" w:type="dxa"/>
              <w:bottom w:w="80" w:type="dxa"/>
              <w:end w:w="120" w:type="dxa"/>
            </w:tcMar>
          </w:tcPr>
          <w:p>
            <w:pPr>
              <w:spacing w:before="0" w:after="0" w:line="271" w:lineRule="auto"/>
            </w:pPr>
            <w:r>
              <w:rPr>
                <w:rFonts w:ascii="Calibri" w:hAnsi="Calibri"/>
                <w:color w:val="162236"/>
                <w:sz w:val="17"/>
              </w:rPr>
              <w:t>Can I book treatment here?</w:t>
            </w:r>
          </w:p>
        </w:tc>
        <w:tc>
          <w:tcPr>
            <w:tcW w:type="dxa" w:w="2900"/>
            <w:vAlign w:val="center"/>
            <w:tcMar>
              <w:top w:w="80" w:type="dxa"/>
              <w:start w:w="120" w:type="dxa"/>
              <w:bottom w:w="80" w:type="dxa"/>
              <w:end w:w="120" w:type="dxa"/>
            </w:tcMar>
          </w:tcPr>
          <w:p>
            <w:pPr>
              <w:spacing w:before="0" w:after="0" w:line="271" w:lineRule="auto"/>
            </w:pPr>
            <w:r>
              <w:rPr>
                <w:rFonts w:ascii="Calibri" w:hAnsi="Calibri"/>
                <w:color w:val="162236"/>
                <w:sz w:val="17"/>
              </w:rPr>
              <w:t>Professional-services notice</w:t>
            </w:r>
          </w:p>
        </w:tc>
        <w:tc>
          <w:tcPr>
            <w:tcW w:type="dxa" w:w="2060"/>
            <w:vAlign w:val="center"/>
            <w:tcMar>
              <w:top w:w="80" w:type="dxa"/>
              <w:start w:w="120" w:type="dxa"/>
              <w:bottom w:w="80" w:type="dxa"/>
              <w:end w:w="120" w:type="dxa"/>
            </w:tcMar>
          </w:tcPr>
          <w:p>
            <w:pPr>
              <w:spacing w:before="0" w:after="0" w:line="271" w:lineRule="auto"/>
            </w:pPr>
            <w:r>
              <w:rPr>
                <w:rFonts w:ascii="Calibri" w:hAnsi="Calibri"/>
                <w:color w:val="162236"/>
                <w:sz w:val="17"/>
              </w:rPr>
              <w:t>Contact a treating dentist</w:t>
            </w:r>
          </w:p>
        </w:tc>
      </w:tr>
    </w:tbl>
    <w:p>
      <w:pPr>
        <w:spacing w:after="60"/>
      </w:pPr>
    </w:p>
    <w:p>
      <w:pPr>
        <w:spacing w:before="100" w:after="180" w:line="300" w:lineRule="auto"/>
        <w:ind w:left="202" w:right="144"/>
        <w:shd w:fill="F2F4F7"/>
        <w:pBdr>
          <w:left w:val="single" w:sz="16" w:space="8" w:color="5F6B7A"/>
        </w:pBdr>
        <w:keepLines w:val="1"/>
      </w:pPr>
      <w:r>
        <w:rPr>
          <w:rFonts w:ascii="Calibri" w:hAnsi="Calibri"/>
          <w:b/>
          <w:color w:val="5F6B7A"/>
          <w:sz w:val="18"/>
        </w:rPr>
        <w:t xml:space="preserve">B2B BOUNDARY  </w:t>
      </w:r>
      <w:r>
        <w:rPr>
          <w:rFonts w:ascii="Calibri" w:hAnsi="Calibri"/>
          <w:b/>
          <w:color w:val="162236"/>
          <w:sz w:val="22"/>
        </w:rPr>
        <w:t>Image3DConversion supports dental professionals. It does not diagnose patients or replace the treating clinician’s judgement.</w:t>
      </w:r>
    </w:p>
    <w:p>
      <w:pPr>
        <w:pStyle w:val="Heading1"/>
        <w:spacing w:before="360" w:after="200" w:line="252" w:lineRule="auto"/>
        <w:keepNext w:val="1"/>
        <w:pageBreakBefore w:val="1"/>
      </w:pPr>
      <w:r>
        <w:rPr>
          <w:rFonts w:ascii="Calibri" w:hAnsi="Calibri"/>
          <w:b/>
          <w:color w:val="2E74B5"/>
          <w:sz w:val="32"/>
        </w:rPr>
        <w:t>3. Final sitemap and navigation</w:t>
      </w:r>
    </w:p>
    <w:p>
      <w:pPr>
        <w:pStyle w:val="Heading2"/>
        <w:spacing w:before="280" w:after="140" w:line="252" w:lineRule="auto"/>
        <w:keepNext w:val="1"/>
        <w:pageBreakBefore w:val="0"/>
      </w:pPr>
      <w:r>
        <w:rPr>
          <w:rFonts w:ascii="Calibri" w:hAnsi="Calibri"/>
          <w:b/>
          <w:color w:val="2E74B5"/>
          <w:sz w:val="26"/>
        </w:rPr>
        <w:t>Primary navigation</w:t>
      </w:r>
    </w:p>
    <w:p>
      <w:pPr>
        <w:spacing w:before="0" w:after="120" w:line="300" w:lineRule="auto"/>
        <w:jc w:val="left"/>
      </w:pPr>
      <w:r>
        <w:rPr>
          <w:rFonts w:ascii="Calibri" w:hAnsi="Calibri"/>
          <w:b/>
          <w:color w:val="162236"/>
          <w:sz w:val="22"/>
        </w:rPr>
        <w:t>Solutions</w:t>
      </w:r>
      <w:r>
        <w:rPr>
          <w:rFonts w:ascii="Calibri" w:hAnsi="Calibri"/>
          <w:i w:val="0"/>
          <w:color w:val="162236"/>
          <w:sz w:val="22"/>
        </w:rPr>
        <w:t xml:space="preserve">  |  How It Works  |  Case Evidence  |  About</w:t>
      </w:r>
    </w:p>
    <w:p>
      <w:pPr>
        <w:spacing w:before="0" w:after="120" w:line="300" w:lineRule="auto"/>
        <w:jc w:val="left"/>
      </w:pPr>
      <w:r>
        <w:rPr>
          <w:rFonts w:ascii="Calibri" w:hAnsi="Calibri"/>
          <w:i w:val="0"/>
          <w:color w:val="162236"/>
          <w:sz w:val="22"/>
        </w:rPr>
        <w:t>Persistent actions: “Start a Case” as the primary button, “Discuss a Complex Case” as the secondary action, and “Portal Login” as the returning-user utility link.</w:t>
      </w:r>
    </w:p>
    <w:p>
      <w:pPr>
        <w:pStyle w:val="Heading2"/>
        <w:spacing w:before="280" w:after="140" w:line="252" w:lineRule="auto"/>
        <w:keepNext w:val="1"/>
        <w:pageBreakBefore w:val="0"/>
      </w:pPr>
      <w:r>
        <w:rPr>
          <w:rFonts w:ascii="Calibri" w:hAnsi="Calibri"/>
          <w:b/>
          <w:color w:val="2E74B5"/>
          <w:sz w:val="26"/>
        </w:rPr>
        <w:t>Solutions menu</w:t>
      </w:r>
    </w:p>
    <w:tbl>
      <w:tblPr>
        <w:tblStyle w:val="TableGrid"/>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300"/>
        <w:gridCol w:w="7060"/>
      </w:tblGrid>
      <w:tr>
        <w:trPr>
          <w:tblHeader w:val="true"/>
          <w:cantSplit/>
        </w:trPr>
        <w:tc>
          <w:tcPr>
            <w:tcW w:type="dxa" w:w="2300"/>
            <w:tcMar>
              <w:top w:w="80" w:type="dxa"/>
              <w:start w:w="120" w:type="dxa"/>
              <w:bottom w:w="80" w:type="dxa"/>
              <w:end w:w="120" w:type="dxa"/>
            </w:tcMar>
            <w:vAlign w:val="center"/>
            <w:shd w:fill="E8EEF5"/>
          </w:tcPr>
          <w:p>
            <w:pPr>
              <w:spacing w:before="0" w:after="0" w:line="264" w:lineRule="auto"/>
            </w:pPr>
            <w:r>
              <w:rPr>
                <w:rFonts w:ascii="Calibri" w:hAnsi="Calibri"/>
                <w:b/>
                <w:color w:val="162236"/>
                <w:sz w:val="18"/>
              </w:rPr>
              <w:t>Group</w:t>
            </w:r>
          </w:p>
        </w:tc>
        <w:tc>
          <w:tcPr>
            <w:tcW w:type="dxa" w:w="7060"/>
            <w:tcMar>
              <w:top w:w="80" w:type="dxa"/>
              <w:start w:w="120" w:type="dxa"/>
              <w:bottom w:w="80" w:type="dxa"/>
              <w:end w:w="120" w:type="dxa"/>
            </w:tcMar>
            <w:vAlign w:val="center"/>
            <w:shd w:fill="E8EEF5"/>
          </w:tcPr>
          <w:p>
            <w:pPr>
              <w:spacing w:before="0" w:after="0" w:line="264" w:lineRule="auto"/>
            </w:pPr>
            <w:r>
              <w:rPr>
                <w:rFonts w:ascii="Calibri" w:hAnsi="Calibri"/>
                <w:b/>
                <w:color w:val="162236"/>
                <w:sz w:val="18"/>
              </w:rPr>
              <w:t>Pages</w:t>
            </w:r>
          </w:p>
        </w:tc>
      </w:tr>
      <w:tr>
        <w:trPr>
          <w:cantSplit/>
        </w:trPr>
        <w:tc>
          <w:tcPr>
            <w:tcW w:type="dxa" w:w="2300"/>
            <w:vAlign w:val="center"/>
            <w:tcMar>
              <w:top w:w="80" w:type="dxa"/>
              <w:start w:w="120" w:type="dxa"/>
              <w:bottom w:w="80" w:type="dxa"/>
              <w:end w:w="120" w:type="dxa"/>
            </w:tcMar>
          </w:tcPr>
          <w:p>
            <w:pPr>
              <w:spacing w:before="0" w:after="0" w:line="271" w:lineRule="auto"/>
            </w:pPr>
            <w:r>
              <w:rPr>
                <w:rFonts w:ascii="Calibri" w:hAnsi="Calibri"/>
                <w:color w:val="162236"/>
                <w:sz w:val="18"/>
              </w:rPr>
              <w:t>Implant workflows</w:t>
            </w:r>
          </w:p>
        </w:tc>
        <w:tc>
          <w:tcPr>
            <w:tcW w:type="dxa" w:w="7060"/>
            <w:vAlign w:val="center"/>
            <w:tcMar>
              <w:top w:w="80" w:type="dxa"/>
              <w:start w:w="120" w:type="dxa"/>
              <w:bottom w:w="80" w:type="dxa"/>
              <w:end w:w="120" w:type="dxa"/>
            </w:tcMar>
          </w:tcPr>
          <w:p>
            <w:pPr>
              <w:spacing w:before="0" w:after="0" w:line="271" w:lineRule="auto"/>
            </w:pPr>
            <w:r>
              <w:rPr>
                <w:rFonts w:ascii="Calibri" w:hAnsi="Calibri"/>
                <w:color w:val="162236"/>
                <w:sz w:val="18"/>
              </w:rPr>
              <w:t>Guided Implant Workflow · Full-Arch Stackable Workflow · Zygoma &amp; Pterygoid Planning Workflow · Immediate-Loading Prosthetic Workflow</w:t>
            </w:r>
          </w:p>
        </w:tc>
      </w:tr>
      <w:tr>
        <w:trPr>
          <w:cantSplit/>
        </w:trPr>
        <w:tc>
          <w:tcPr>
            <w:tcW w:type="dxa" w:w="2300"/>
            <w:vAlign w:val="center"/>
            <w:tcMar>
              <w:top w:w="80" w:type="dxa"/>
              <w:start w:w="120" w:type="dxa"/>
              <w:bottom w:w="80" w:type="dxa"/>
              <w:end w:w="120" w:type="dxa"/>
            </w:tcMar>
          </w:tcPr>
          <w:p>
            <w:pPr>
              <w:spacing w:before="0" w:after="0" w:line="271" w:lineRule="auto"/>
            </w:pPr>
            <w:r>
              <w:rPr>
                <w:rFonts w:ascii="Calibri" w:hAnsi="Calibri"/>
                <w:color w:val="162236"/>
                <w:sz w:val="18"/>
              </w:rPr>
              <w:t>Ways to work with us</w:t>
            </w:r>
          </w:p>
        </w:tc>
        <w:tc>
          <w:tcPr>
            <w:tcW w:type="dxa" w:w="7060"/>
            <w:vAlign w:val="center"/>
            <w:tcMar>
              <w:top w:w="80" w:type="dxa"/>
              <w:start w:w="120" w:type="dxa"/>
              <w:bottom w:w="80" w:type="dxa"/>
              <w:end w:w="120" w:type="dxa"/>
            </w:tcMar>
          </w:tcPr>
          <w:p>
            <w:pPr>
              <w:spacing w:before="0" w:after="0" w:line="271" w:lineRule="auto"/>
            </w:pPr>
            <w:r>
              <w:rPr>
                <w:rFonts w:ascii="Calibri" w:hAnsi="Calibri"/>
                <w:color w:val="162236"/>
                <w:sz w:val="18"/>
              </w:rPr>
              <w:t>Case Data &amp; Diagnostic Preparation · Design-Only Workflow · Design-to-Delivery Workflow · White-Label Workflow Partnership</w:t>
            </w:r>
          </w:p>
        </w:tc>
      </w:tr>
      <w:tr>
        <w:trPr>
          <w:cantSplit/>
        </w:trPr>
        <w:tc>
          <w:tcPr>
            <w:tcW w:type="dxa" w:w="2300"/>
            <w:vAlign w:val="center"/>
            <w:tcMar>
              <w:top w:w="80" w:type="dxa"/>
              <w:start w:w="120" w:type="dxa"/>
              <w:bottom w:w="80" w:type="dxa"/>
              <w:end w:w="120" w:type="dxa"/>
            </w:tcMar>
          </w:tcPr>
          <w:p>
            <w:pPr>
              <w:spacing w:before="0" w:after="0" w:line="271" w:lineRule="auto"/>
            </w:pPr>
            <w:r>
              <w:rPr>
                <w:rFonts w:ascii="Calibri" w:hAnsi="Calibri"/>
                <w:color w:val="162236"/>
                <w:sz w:val="18"/>
              </w:rPr>
              <w:t>Additional capability</w:t>
            </w:r>
          </w:p>
        </w:tc>
        <w:tc>
          <w:tcPr>
            <w:tcW w:type="dxa" w:w="7060"/>
            <w:vAlign w:val="center"/>
            <w:tcMar>
              <w:top w:w="80" w:type="dxa"/>
              <w:start w:w="120" w:type="dxa"/>
              <w:bottom w:w="80" w:type="dxa"/>
              <w:end w:w="120" w:type="dxa"/>
            </w:tcMar>
          </w:tcPr>
          <w:p>
            <w:pPr>
              <w:spacing w:before="0" w:after="0" w:line="271" w:lineRule="auto"/>
            </w:pPr>
            <w:r>
              <w:rPr>
                <w:rFonts w:ascii="Calibri" w:hAnsi="Calibri"/>
                <w:color w:val="162236"/>
                <w:sz w:val="18"/>
              </w:rPr>
              <w:t>Expanded Digital Dentistry Solutions</w:t>
            </w:r>
          </w:p>
        </w:tc>
      </w:tr>
    </w:tbl>
    <w:p>
      <w:pPr>
        <w:spacing w:after="60"/>
      </w:pPr>
    </w:p>
    <w:p>
      <w:pPr>
        <w:pStyle w:val="Heading2"/>
        <w:spacing w:before="280" w:after="140" w:line="252" w:lineRule="auto"/>
        <w:keepNext w:val="1"/>
        <w:pageBreakBefore w:val="0"/>
      </w:pPr>
      <w:r>
        <w:rPr>
          <w:rFonts w:ascii="Calibri" w:hAnsi="Calibri"/>
          <w:b/>
          <w:color w:val="2E74B5"/>
          <w:sz w:val="26"/>
        </w:rPr>
        <w:t>Recommended URL inventory</w:t>
      </w:r>
    </w:p>
    <w:tbl>
      <w:tblPr>
        <w:tblStyle w:val="TableGrid"/>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900"/>
        <w:gridCol w:w="2400"/>
        <w:gridCol w:w="1100"/>
        <w:gridCol w:w="2960"/>
      </w:tblGrid>
      <w:tr>
        <w:trPr>
          <w:tblHeader w:val="true"/>
          <w:cantSplit/>
        </w:trPr>
        <w:tc>
          <w:tcPr>
            <w:tcW w:type="dxa" w:w="2900"/>
            <w:tcMar>
              <w:top w:w="80" w:type="dxa"/>
              <w:start w:w="120" w:type="dxa"/>
              <w:bottom w:w="80" w:type="dxa"/>
              <w:end w:w="120" w:type="dxa"/>
            </w:tcMar>
            <w:vAlign w:val="center"/>
            <w:shd w:fill="E8EEF5"/>
          </w:tcPr>
          <w:p>
            <w:pPr>
              <w:spacing w:before="0" w:after="0" w:line="264" w:lineRule="auto"/>
            </w:pPr>
            <w:r>
              <w:rPr>
                <w:rFonts w:ascii="Calibri" w:hAnsi="Calibri"/>
                <w:b/>
                <w:color w:val="162236"/>
                <w:sz w:val="16"/>
              </w:rPr>
              <w:t>Route</w:t>
            </w:r>
          </w:p>
        </w:tc>
        <w:tc>
          <w:tcPr>
            <w:tcW w:type="dxa" w:w="2400"/>
            <w:tcMar>
              <w:top w:w="80" w:type="dxa"/>
              <w:start w:w="120" w:type="dxa"/>
              <w:bottom w:w="80" w:type="dxa"/>
              <w:end w:w="120" w:type="dxa"/>
            </w:tcMar>
            <w:vAlign w:val="center"/>
            <w:shd w:fill="E8EEF5"/>
          </w:tcPr>
          <w:p>
            <w:pPr>
              <w:spacing w:before="0" w:after="0" w:line="264" w:lineRule="auto"/>
            </w:pPr>
            <w:r>
              <w:rPr>
                <w:rFonts w:ascii="Calibri" w:hAnsi="Calibri"/>
                <w:b/>
                <w:color w:val="162236"/>
                <w:sz w:val="16"/>
              </w:rPr>
              <w:t>Page</w:t>
            </w:r>
          </w:p>
        </w:tc>
        <w:tc>
          <w:tcPr>
            <w:tcW w:type="dxa" w:w="1100"/>
            <w:tcMar>
              <w:top w:w="80" w:type="dxa"/>
              <w:start w:w="120" w:type="dxa"/>
              <w:bottom w:w="80" w:type="dxa"/>
              <w:end w:w="120" w:type="dxa"/>
            </w:tcMar>
            <w:vAlign w:val="center"/>
            <w:shd w:fill="E8EEF5"/>
          </w:tcPr>
          <w:p>
            <w:pPr>
              <w:spacing w:before="0" w:after="0" w:line="264" w:lineRule="auto"/>
            </w:pPr>
            <w:r>
              <w:rPr>
                <w:rFonts w:ascii="Calibri" w:hAnsi="Calibri"/>
                <w:b/>
                <w:color w:val="162236"/>
                <w:sz w:val="16"/>
              </w:rPr>
              <w:t>SEO</w:t>
            </w:r>
          </w:p>
        </w:tc>
        <w:tc>
          <w:tcPr>
            <w:tcW w:type="dxa" w:w="2960"/>
            <w:tcMar>
              <w:top w:w="80" w:type="dxa"/>
              <w:start w:w="120" w:type="dxa"/>
              <w:bottom w:w="80" w:type="dxa"/>
              <w:end w:w="120" w:type="dxa"/>
            </w:tcMar>
            <w:vAlign w:val="center"/>
            <w:shd w:fill="E8EEF5"/>
          </w:tcPr>
          <w:p>
            <w:pPr>
              <w:spacing w:before="0" w:after="0" w:line="264" w:lineRule="auto"/>
            </w:pPr>
            <w:r>
              <w:rPr>
                <w:rFonts w:ascii="Calibri" w:hAnsi="Calibri"/>
                <w:b/>
                <w:color w:val="162236"/>
                <w:sz w:val="16"/>
              </w:rPr>
              <w:t>Job</w:t>
            </w:r>
          </w:p>
        </w:tc>
      </w:tr>
      <w:tr>
        <w:trPr>
          <w:cantSplit/>
        </w:trPr>
        <w:tc>
          <w:tcPr>
            <w:tcW w:type="dxa" w:w="2900"/>
            <w:vAlign w:val="center"/>
            <w:tcMar>
              <w:top w:w="80" w:type="dxa"/>
              <w:start w:w="120" w:type="dxa"/>
              <w:bottom w:w="80" w:type="dxa"/>
              <w:end w:w="120" w:type="dxa"/>
            </w:tcMar>
          </w:tcPr>
          <w:p>
            <w:pPr>
              <w:spacing w:before="0" w:after="0" w:line="271" w:lineRule="auto"/>
            </w:pPr>
            <w:r>
              <w:rPr>
                <w:rFonts w:ascii="Calibri" w:hAnsi="Calibri"/>
                <w:color w:val="162236"/>
                <w:sz w:val="16"/>
              </w:rPr>
              <w:t>/</w:t>
            </w:r>
          </w:p>
        </w:tc>
        <w:tc>
          <w:tcPr>
            <w:tcW w:type="dxa" w:w="2400"/>
            <w:vAlign w:val="center"/>
            <w:tcMar>
              <w:top w:w="80" w:type="dxa"/>
              <w:start w:w="120" w:type="dxa"/>
              <w:bottom w:w="80" w:type="dxa"/>
              <w:end w:w="120" w:type="dxa"/>
            </w:tcMar>
          </w:tcPr>
          <w:p>
            <w:pPr>
              <w:spacing w:before="0" w:after="0" w:line="271" w:lineRule="auto"/>
            </w:pPr>
            <w:r>
              <w:rPr>
                <w:rFonts w:ascii="Calibri" w:hAnsi="Calibri"/>
                <w:color w:val="162236"/>
                <w:sz w:val="16"/>
              </w:rPr>
              <w:t>Home</w:t>
            </w:r>
          </w:p>
        </w:tc>
        <w:tc>
          <w:tcPr>
            <w:tcW w:type="dxa" w:w="1100"/>
            <w:vAlign w:val="center"/>
            <w:tcMar>
              <w:top w:w="80" w:type="dxa"/>
              <w:start w:w="120" w:type="dxa"/>
              <w:bottom w:w="80" w:type="dxa"/>
              <w:end w:w="120" w:type="dxa"/>
            </w:tcMar>
          </w:tcPr>
          <w:p>
            <w:pPr>
              <w:spacing w:before="0" w:after="0" w:line="271" w:lineRule="auto"/>
            </w:pPr>
            <w:r>
              <w:rPr>
                <w:rFonts w:ascii="Calibri" w:hAnsi="Calibri"/>
                <w:color w:val="162236"/>
                <w:sz w:val="16"/>
              </w:rPr>
              <w:t>Index</w:t>
            </w:r>
          </w:p>
        </w:tc>
        <w:tc>
          <w:tcPr>
            <w:tcW w:type="dxa" w:w="2960"/>
            <w:vAlign w:val="center"/>
            <w:tcMar>
              <w:top w:w="80" w:type="dxa"/>
              <w:start w:w="120" w:type="dxa"/>
              <w:bottom w:w="80" w:type="dxa"/>
              <w:end w:w="120" w:type="dxa"/>
            </w:tcMar>
          </w:tcPr>
          <w:p>
            <w:pPr>
              <w:spacing w:before="0" w:after="0" w:line="271" w:lineRule="auto"/>
            </w:pPr>
            <w:r>
              <w:rPr>
                <w:rFonts w:ascii="Calibri" w:hAnsi="Calibri"/>
                <w:color w:val="162236"/>
                <w:sz w:val="16"/>
              </w:rPr>
              <w:t>Brand and commercial gateway</w:t>
            </w:r>
          </w:p>
        </w:tc>
      </w:tr>
      <w:tr>
        <w:trPr>
          <w:cantSplit/>
        </w:trPr>
        <w:tc>
          <w:tcPr>
            <w:tcW w:type="dxa" w:w="2900"/>
            <w:vAlign w:val="center"/>
            <w:tcMar>
              <w:top w:w="80" w:type="dxa"/>
              <w:start w:w="120" w:type="dxa"/>
              <w:bottom w:w="80" w:type="dxa"/>
              <w:end w:w="120" w:type="dxa"/>
            </w:tcMar>
          </w:tcPr>
          <w:p>
            <w:pPr>
              <w:spacing w:before="0" w:after="0" w:line="271" w:lineRule="auto"/>
            </w:pPr>
            <w:r>
              <w:rPr>
                <w:rFonts w:ascii="Calibri" w:hAnsi="Calibri"/>
                <w:color w:val="162236"/>
                <w:sz w:val="16"/>
              </w:rPr>
              <w:t>/digital-implant-workflows/</w:t>
            </w:r>
          </w:p>
        </w:tc>
        <w:tc>
          <w:tcPr>
            <w:tcW w:type="dxa" w:w="2400"/>
            <w:vAlign w:val="center"/>
            <w:tcMar>
              <w:top w:w="80" w:type="dxa"/>
              <w:start w:w="120" w:type="dxa"/>
              <w:bottom w:w="80" w:type="dxa"/>
              <w:end w:w="120" w:type="dxa"/>
            </w:tcMar>
          </w:tcPr>
          <w:p>
            <w:pPr>
              <w:spacing w:before="0" w:after="0" w:line="271" w:lineRule="auto"/>
            </w:pPr>
            <w:r>
              <w:rPr>
                <w:rFonts w:ascii="Calibri" w:hAnsi="Calibri"/>
                <w:color w:val="162236"/>
                <w:sz w:val="16"/>
              </w:rPr>
              <w:t>Clinical Workflow Solutions</w:t>
            </w:r>
          </w:p>
        </w:tc>
        <w:tc>
          <w:tcPr>
            <w:tcW w:type="dxa" w:w="1100"/>
            <w:vAlign w:val="center"/>
            <w:tcMar>
              <w:top w:w="80" w:type="dxa"/>
              <w:start w:w="120" w:type="dxa"/>
              <w:bottom w:w="80" w:type="dxa"/>
              <w:end w:w="120" w:type="dxa"/>
            </w:tcMar>
          </w:tcPr>
          <w:p>
            <w:pPr>
              <w:spacing w:before="0" w:after="0" w:line="271" w:lineRule="auto"/>
            </w:pPr>
            <w:r>
              <w:rPr>
                <w:rFonts w:ascii="Calibri" w:hAnsi="Calibri"/>
                <w:color w:val="162236"/>
                <w:sz w:val="16"/>
              </w:rPr>
              <w:t>Index</w:t>
            </w:r>
          </w:p>
        </w:tc>
        <w:tc>
          <w:tcPr>
            <w:tcW w:type="dxa" w:w="2960"/>
            <w:vAlign w:val="center"/>
            <w:tcMar>
              <w:top w:w="80" w:type="dxa"/>
              <w:start w:w="120" w:type="dxa"/>
              <w:bottom w:w="80" w:type="dxa"/>
              <w:end w:w="120" w:type="dxa"/>
            </w:tcMar>
          </w:tcPr>
          <w:p>
            <w:pPr>
              <w:spacing w:before="0" w:after="0" w:line="271" w:lineRule="auto"/>
            </w:pPr>
            <w:r>
              <w:rPr>
                <w:rFonts w:ascii="Calibri" w:hAnsi="Calibri"/>
                <w:color w:val="162236"/>
                <w:sz w:val="16"/>
              </w:rPr>
              <w:t>Solution hub</w:t>
            </w:r>
          </w:p>
        </w:tc>
      </w:tr>
      <w:tr>
        <w:trPr>
          <w:cantSplit/>
        </w:trPr>
        <w:tc>
          <w:tcPr>
            <w:tcW w:type="dxa" w:w="2900"/>
            <w:vAlign w:val="center"/>
            <w:tcMar>
              <w:top w:w="80" w:type="dxa"/>
              <w:start w:w="120" w:type="dxa"/>
              <w:bottom w:w="80" w:type="dxa"/>
              <w:end w:w="120" w:type="dxa"/>
            </w:tcMar>
          </w:tcPr>
          <w:p>
            <w:pPr>
              <w:spacing w:before="0" w:after="0" w:line="271" w:lineRule="auto"/>
            </w:pPr>
            <w:r>
              <w:rPr>
                <w:rFonts w:ascii="Calibri" w:hAnsi="Calibri"/>
                <w:color w:val="162236"/>
                <w:sz w:val="16"/>
              </w:rPr>
              <w:t>/guided-implant-workflow/</w:t>
            </w:r>
          </w:p>
        </w:tc>
        <w:tc>
          <w:tcPr>
            <w:tcW w:type="dxa" w:w="2400"/>
            <w:vAlign w:val="center"/>
            <w:tcMar>
              <w:top w:w="80" w:type="dxa"/>
              <w:start w:w="120" w:type="dxa"/>
              <w:bottom w:w="80" w:type="dxa"/>
              <w:end w:w="120" w:type="dxa"/>
            </w:tcMar>
          </w:tcPr>
          <w:p>
            <w:pPr>
              <w:spacing w:before="0" w:after="0" w:line="271" w:lineRule="auto"/>
            </w:pPr>
            <w:r>
              <w:rPr>
                <w:rFonts w:ascii="Calibri" w:hAnsi="Calibri"/>
                <w:color w:val="162236"/>
                <w:sz w:val="16"/>
              </w:rPr>
              <w:t>Guided Implant Workflow</w:t>
            </w:r>
          </w:p>
        </w:tc>
        <w:tc>
          <w:tcPr>
            <w:tcW w:type="dxa" w:w="1100"/>
            <w:vAlign w:val="center"/>
            <w:tcMar>
              <w:top w:w="80" w:type="dxa"/>
              <w:start w:w="120" w:type="dxa"/>
              <w:bottom w:w="80" w:type="dxa"/>
              <w:end w:w="120" w:type="dxa"/>
            </w:tcMar>
          </w:tcPr>
          <w:p>
            <w:pPr>
              <w:spacing w:before="0" w:after="0" w:line="271" w:lineRule="auto"/>
            </w:pPr>
            <w:r>
              <w:rPr>
                <w:rFonts w:ascii="Calibri" w:hAnsi="Calibri"/>
                <w:color w:val="162236"/>
                <w:sz w:val="16"/>
              </w:rPr>
              <w:t>Index</w:t>
            </w:r>
          </w:p>
        </w:tc>
        <w:tc>
          <w:tcPr>
            <w:tcW w:type="dxa" w:w="2960"/>
            <w:vAlign w:val="center"/>
            <w:tcMar>
              <w:top w:w="80" w:type="dxa"/>
              <w:start w:w="120" w:type="dxa"/>
              <w:bottom w:w="80" w:type="dxa"/>
              <w:end w:w="120" w:type="dxa"/>
            </w:tcMar>
          </w:tcPr>
          <w:p>
            <w:pPr>
              <w:spacing w:before="0" w:after="0" w:line="271" w:lineRule="auto"/>
            </w:pPr>
            <w:r>
              <w:rPr>
                <w:rFonts w:ascii="Calibri" w:hAnsi="Calibri"/>
                <w:color w:val="162236"/>
                <w:sz w:val="16"/>
              </w:rPr>
              <w:t>Routine and multiple implant cases</w:t>
            </w:r>
          </w:p>
        </w:tc>
      </w:tr>
      <w:tr>
        <w:trPr>
          <w:cantSplit/>
        </w:trPr>
        <w:tc>
          <w:tcPr>
            <w:tcW w:type="dxa" w:w="2900"/>
            <w:vAlign w:val="center"/>
            <w:tcMar>
              <w:top w:w="80" w:type="dxa"/>
              <w:start w:w="120" w:type="dxa"/>
              <w:bottom w:w="80" w:type="dxa"/>
              <w:end w:w="120" w:type="dxa"/>
            </w:tcMar>
          </w:tcPr>
          <w:p>
            <w:pPr>
              <w:spacing w:before="0" w:after="0" w:line="271" w:lineRule="auto"/>
            </w:pPr>
            <w:r>
              <w:rPr>
                <w:rFonts w:ascii="Calibri" w:hAnsi="Calibri"/>
                <w:color w:val="162236"/>
                <w:sz w:val="16"/>
              </w:rPr>
              <w:t>/full-arch-stackable-workflow/</w:t>
            </w:r>
          </w:p>
        </w:tc>
        <w:tc>
          <w:tcPr>
            <w:tcW w:type="dxa" w:w="2400"/>
            <w:vAlign w:val="center"/>
            <w:tcMar>
              <w:top w:w="80" w:type="dxa"/>
              <w:start w:w="120" w:type="dxa"/>
              <w:bottom w:w="80" w:type="dxa"/>
              <w:end w:w="120" w:type="dxa"/>
            </w:tcMar>
          </w:tcPr>
          <w:p>
            <w:pPr>
              <w:spacing w:before="0" w:after="0" w:line="271" w:lineRule="auto"/>
            </w:pPr>
            <w:r>
              <w:rPr>
                <w:rFonts w:ascii="Calibri" w:hAnsi="Calibri"/>
                <w:color w:val="162236"/>
                <w:sz w:val="16"/>
              </w:rPr>
              <w:t>Full-Arch Stackable Workflow</w:t>
            </w:r>
          </w:p>
        </w:tc>
        <w:tc>
          <w:tcPr>
            <w:tcW w:type="dxa" w:w="1100"/>
            <w:vAlign w:val="center"/>
            <w:tcMar>
              <w:top w:w="80" w:type="dxa"/>
              <w:start w:w="120" w:type="dxa"/>
              <w:bottom w:w="80" w:type="dxa"/>
              <w:end w:w="120" w:type="dxa"/>
            </w:tcMar>
          </w:tcPr>
          <w:p>
            <w:pPr>
              <w:spacing w:before="0" w:after="0" w:line="271" w:lineRule="auto"/>
            </w:pPr>
            <w:r>
              <w:rPr>
                <w:rFonts w:ascii="Calibri" w:hAnsi="Calibri"/>
                <w:color w:val="162236"/>
                <w:sz w:val="16"/>
              </w:rPr>
              <w:t>Index</w:t>
            </w:r>
          </w:p>
        </w:tc>
        <w:tc>
          <w:tcPr>
            <w:tcW w:type="dxa" w:w="2960"/>
            <w:vAlign w:val="center"/>
            <w:tcMar>
              <w:top w:w="80" w:type="dxa"/>
              <w:start w:w="120" w:type="dxa"/>
              <w:bottom w:w="80" w:type="dxa"/>
              <w:end w:w="120" w:type="dxa"/>
            </w:tcMar>
          </w:tcPr>
          <w:p>
            <w:pPr>
              <w:spacing w:before="0" w:after="0" w:line="271" w:lineRule="auto"/>
            </w:pPr>
            <w:r>
              <w:rPr>
                <w:rFonts w:ascii="Calibri" w:hAnsi="Calibri"/>
                <w:color w:val="162236"/>
                <w:sz w:val="16"/>
              </w:rPr>
              <w:t>Full-arch and sequential guides</w:t>
            </w:r>
          </w:p>
        </w:tc>
      </w:tr>
      <w:tr>
        <w:trPr>
          <w:cantSplit/>
        </w:trPr>
        <w:tc>
          <w:tcPr>
            <w:tcW w:type="dxa" w:w="2900"/>
            <w:vAlign w:val="center"/>
            <w:tcMar>
              <w:top w:w="80" w:type="dxa"/>
              <w:start w:w="120" w:type="dxa"/>
              <w:bottom w:w="80" w:type="dxa"/>
              <w:end w:w="120" w:type="dxa"/>
            </w:tcMar>
          </w:tcPr>
          <w:p>
            <w:pPr>
              <w:spacing w:before="0" w:after="0" w:line="271" w:lineRule="auto"/>
            </w:pPr>
            <w:r>
              <w:rPr>
                <w:rFonts w:ascii="Calibri" w:hAnsi="Calibri"/>
                <w:color w:val="162236"/>
                <w:sz w:val="16"/>
              </w:rPr>
              <w:t>/zygoma-pterygoid-planning/</w:t>
            </w:r>
          </w:p>
        </w:tc>
        <w:tc>
          <w:tcPr>
            <w:tcW w:type="dxa" w:w="2400"/>
            <w:vAlign w:val="center"/>
            <w:tcMar>
              <w:top w:w="80" w:type="dxa"/>
              <w:start w:w="120" w:type="dxa"/>
              <w:bottom w:w="80" w:type="dxa"/>
              <w:end w:w="120" w:type="dxa"/>
            </w:tcMar>
          </w:tcPr>
          <w:p>
            <w:pPr>
              <w:spacing w:before="0" w:after="0" w:line="271" w:lineRule="auto"/>
            </w:pPr>
            <w:r>
              <w:rPr>
                <w:rFonts w:ascii="Calibri" w:hAnsi="Calibri"/>
                <w:color w:val="162236"/>
                <w:sz w:val="16"/>
              </w:rPr>
              <w:t>Zygoma &amp; Pterygoid Planning</w:t>
            </w:r>
          </w:p>
        </w:tc>
        <w:tc>
          <w:tcPr>
            <w:tcW w:type="dxa" w:w="1100"/>
            <w:vAlign w:val="center"/>
            <w:tcMar>
              <w:top w:w="80" w:type="dxa"/>
              <w:start w:w="120" w:type="dxa"/>
              <w:bottom w:w="80" w:type="dxa"/>
              <w:end w:w="120" w:type="dxa"/>
            </w:tcMar>
          </w:tcPr>
          <w:p>
            <w:pPr>
              <w:spacing w:before="0" w:after="0" w:line="271" w:lineRule="auto"/>
            </w:pPr>
            <w:r>
              <w:rPr>
                <w:rFonts w:ascii="Calibri" w:hAnsi="Calibri"/>
                <w:color w:val="162236"/>
                <w:sz w:val="16"/>
              </w:rPr>
              <w:t>Index</w:t>
            </w:r>
          </w:p>
        </w:tc>
        <w:tc>
          <w:tcPr>
            <w:tcW w:type="dxa" w:w="2960"/>
            <w:vAlign w:val="center"/>
            <w:tcMar>
              <w:top w:w="80" w:type="dxa"/>
              <w:start w:w="120" w:type="dxa"/>
              <w:bottom w:w="80" w:type="dxa"/>
              <w:end w:w="120" w:type="dxa"/>
            </w:tcMar>
          </w:tcPr>
          <w:p>
            <w:pPr>
              <w:spacing w:before="0" w:after="0" w:line="271" w:lineRule="auto"/>
            </w:pPr>
            <w:r>
              <w:rPr>
                <w:rFonts w:ascii="Calibri" w:hAnsi="Calibri"/>
                <w:color w:val="162236"/>
                <w:sz w:val="16"/>
              </w:rPr>
              <w:t>Advanced anchorage cases</w:t>
            </w:r>
          </w:p>
        </w:tc>
      </w:tr>
      <w:tr>
        <w:trPr>
          <w:cantSplit/>
        </w:trPr>
        <w:tc>
          <w:tcPr>
            <w:tcW w:type="dxa" w:w="2900"/>
            <w:vAlign w:val="center"/>
            <w:tcMar>
              <w:top w:w="80" w:type="dxa"/>
              <w:start w:w="120" w:type="dxa"/>
              <w:bottom w:w="80" w:type="dxa"/>
              <w:end w:w="120" w:type="dxa"/>
            </w:tcMar>
          </w:tcPr>
          <w:p>
            <w:pPr>
              <w:spacing w:before="0" w:after="0" w:line="271" w:lineRule="auto"/>
            </w:pPr>
            <w:r>
              <w:rPr>
                <w:rFonts w:ascii="Calibri" w:hAnsi="Calibri"/>
                <w:color w:val="162236"/>
                <w:sz w:val="16"/>
              </w:rPr>
              <w:t>/immediate-loading-workflow/</w:t>
            </w:r>
          </w:p>
        </w:tc>
        <w:tc>
          <w:tcPr>
            <w:tcW w:type="dxa" w:w="2400"/>
            <w:vAlign w:val="center"/>
            <w:tcMar>
              <w:top w:w="80" w:type="dxa"/>
              <w:start w:w="120" w:type="dxa"/>
              <w:bottom w:w="80" w:type="dxa"/>
              <w:end w:w="120" w:type="dxa"/>
            </w:tcMar>
          </w:tcPr>
          <w:p>
            <w:pPr>
              <w:spacing w:before="0" w:after="0" w:line="271" w:lineRule="auto"/>
            </w:pPr>
            <w:r>
              <w:rPr>
                <w:rFonts w:ascii="Calibri" w:hAnsi="Calibri"/>
                <w:color w:val="162236"/>
                <w:sz w:val="16"/>
              </w:rPr>
              <w:t>Immediate-Loading Prosthetic Workflow</w:t>
            </w:r>
          </w:p>
        </w:tc>
        <w:tc>
          <w:tcPr>
            <w:tcW w:type="dxa" w:w="1100"/>
            <w:vAlign w:val="center"/>
            <w:tcMar>
              <w:top w:w="80" w:type="dxa"/>
              <w:start w:w="120" w:type="dxa"/>
              <w:bottom w:w="80" w:type="dxa"/>
              <w:end w:w="120" w:type="dxa"/>
            </w:tcMar>
          </w:tcPr>
          <w:p>
            <w:pPr>
              <w:spacing w:before="0" w:after="0" w:line="271" w:lineRule="auto"/>
            </w:pPr>
            <w:r>
              <w:rPr>
                <w:rFonts w:ascii="Calibri" w:hAnsi="Calibri"/>
                <w:color w:val="162236"/>
                <w:sz w:val="16"/>
              </w:rPr>
              <w:t>Index</w:t>
            </w:r>
          </w:p>
        </w:tc>
        <w:tc>
          <w:tcPr>
            <w:tcW w:type="dxa" w:w="2960"/>
            <w:vAlign w:val="center"/>
            <w:tcMar>
              <w:top w:w="80" w:type="dxa"/>
              <w:start w:w="120" w:type="dxa"/>
              <w:bottom w:w="80" w:type="dxa"/>
              <w:end w:w="120" w:type="dxa"/>
            </w:tcMar>
          </w:tcPr>
          <w:p>
            <w:pPr>
              <w:spacing w:before="0" w:after="0" w:line="271" w:lineRule="auto"/>
            </w:pPr>
            <w:r>
              <w:rPr>
                <w:rFonts w:ascii="Calibri" w:hAnsi="Calibri"/>
                <w:color w:val="162236"/>
                <w:sz w:val="16"/>
              </w:rPr>
              <w:t>Immediate provisional coordination</w:t>
            </w:r>
          </w:p>
        </w:tc>
      </w:tr>
      <w:tr>
        <w:trPr>
          <w:cantSplit/>
        </w:trPr>
        <w:tc>
          <w:tcPr>
            <w:tcW w:type="dxa" w:w="2900"/>
            <w:vAlign w:val="center"/>
            <w:tcMar>
              <w:top w:w="80" w:type="dxa"/>
              <w:start w:w="120" w:type="dxa"/>
              <w:bottom w:w="80" w:type="dxa"/>
              <w:end w:w="120" w:type="dxa"/>
            </w:tcMar>
          </w:tcPr>
          <w:p>
            <w:pPr>
              <w:spacing w:before="0" w:after="0" w:line="271" w:lineRule="auto"/>
            </w:pPr>
            <w:r>
              <w:rPr>
                <w:rFonts w:ascii="Calibri" w:hAnsi="Calibri"/>
                <w:color w:val="162236"/>
                <w:sz w:val="16"/>
              </w:rPr>
              <w:t>/case-data-preparation/</w:t>
            </w:r>
          </w:p>
        </w:tc>
        <w:tc>
          <w:tcPr>
            <w:tcW w:type="dxa" w:w="2400"/>
            <w:vAlign w:val="center"/>
            <w:tcMar>
              <w:top w:w="80" w:type="dxa"/>
              <w:start w:w="120" w:type="dxa"/>
              <w:bottom w:w="80" w:type="dxa"/>
              <w:end w:w="120" w:type="dxa"/>
            </w:tcMar>
          </w:tcPr>
          <w:p>
            <w:pPr>
              <w:spacing w:before="0" w:after="0" w:line="271" w:lineRule="auto"/>
            </w:pPr>
            <w:r>
              <w:rPr>
                <w:rFonts w:ascii="Calibri" w:hAnsi="Calibri"/>
                <w:color w:val="162236"/>
                <w:sz w:val="16"/>
              </w:rPr>
              <w:t>Case Data &amp; Diagnostic Preparation</w:t>
            </w:r>
          </w:p>
        </w:tc>
        <w:tc>
          <w:tcPr>
            <w:tcW w:type="dxa" w:w="1100"/>
            <w:vAlign w:val="center"/>
            <w:tcMar>
              <w:top w:w="80" w:type="dxa"/>
              <w:start w:w="120" w:type="dxa"/>
              <w:bottom w:w="80" w:type="dxa"/>
              <w:end w:w="120" w:type="dxa"/>
            </w:tcMar>
          </w:tcPr>
          <w:p>
            <w:pPr>
              <w:spacing w:before="0" w:after="0" w:line="271" w:lineRule="auto"/>
            </w:pPr>
            <w:r>
              <w:rPr>
                <w:rFonts w:ascii="Calibri" w:hAnsi="Calibri"/>
                <w:color w:val="162236"/>
                <w:sz w:val="16"/>
              </w:rPr>
              <w:t>Index</w:t>
            </w:r>
          </w:p>
        </w:tc>
        <w:tc>
          <w:tcPr>
            <w:tcW w:type="dxa" w:w="2960"/>
            <w:vAlign w:val="center"/>
            <w:tcMar>
              <w:top w:w="80" w:type="dxa"/>
              <w:start w:w="120" w:type="dxa"/>
              <w:bottom w:w="80" w:type="dxa"/>
              <w:end w:w="120" w:type="dxa"/>
            </w:tcMar>
          </w:tcPr>
          <w:p>
            <w:pPr>
              <w:spacing w:before="0" w:after="0" w:line="271" w:lineRule="auto"/>
            </w:pPr>
            <w:r>
              <w:rPr>
                <w:rFonts w:ascii="Calibri" w:hAnsi="Calibri"/>
                <w:color w:val="162236"/>
                <w:sz w:val="16"/>
              </w:rPr>
              <w:t>DICOM/STL, segmentation and reports</w:t>
            </w:r>
          </w:p>
        </w:tc>
      </w:tr>
      <w:tr>
        <w:trPr>
          <w:cantSplit/>
        </w:trPr>
        <w:tc>
          <w:tcPr>
            <w:tcW w:type="dxa" w:w="2900"/>
            <w:vAlign w:val="center"/>
            <w:tcMar>
              <w:top w:w="80" w:type="dxa"/>
              <w:start w:w="120" w:type="dxa"/>
              <w:bottom w:w="80" w:type="dxa"/>
              <w:end w:w="120" w:type="dxa"/>
            </w:tcMar>
          </w:tcPr>
          <w:p>
            <w:pPr>
              <w:spacing w:before="0" w:after="0" w:line="271" w:lineRule="auto"/>
            </w:pPr>
            <w:r>
              <w:rPr>
                <w:rFonts w:ascii="Calibri" w:hAnsi="Calibri"/>
                <w:color w:val="162236"/>
                <w:sz w:val="16"/>
              </w:rPr>
              <w:t>/design-only-workflow/</w:t>
            </w:r>
          </w:p>
        </w:tc>
        <w:tc>
          <w:tcPr>
            <w:tcW w:type="dxa" w:w="2400"/>
            <w:vAlign w:val="center"/>
            <w:tcMar>
              <w:top w:w="80" w:type="dxa"/>
              <w:start w:w="120" w:type="dxa"/>
              <w:bottom w:w="80" w:type="dxa"/>
              <w:end w:w="120" w:type="dxa"/>
            </w:tcMar>
          </w:tcPr>
          <w:p>
            <w:pPr>
              <w:spacing w:before="0" w:after="0" w:line="271" w:lineRule="auto"/>
            </w:pPr>
            <w:r>
              <w:rPr>
                <w:rFonts w:ascii="Calibri" w:hAnsi="Calibri"/>
                <w:color w:val="162236"/>
                <w:sz w:val="16"/>
              </w:rPr>
              <w:t>Design-Only Workflow</w:t>
            </w:r>
          </w:p>
        </w:tc>
        <w:tc>
          <w:tcPr>
            <w:tcW w:type="dxa" w:w="1100"/>
            <w:vAlign w:val="center"/>
            <w:tcMar>
              <w:top w:w="80" w:type="dxa"/>
              <w:start w:w="120" w:type="dxa"/>
              <w:bottom w:w="80" w:type="dxa"/>
              <w:end w:w="120" w:type="dxa"/>
            </w:tcMar>
          </w:tcPr>
          <w:p>
            <w:pPr>
              <w:spacing w:before="0" w:after="0" w:line="271" w:lineRule="auto"/>
            </w:pPr>
            <w:r>
              <w:rPr>
                <w:rFonts w:ascii="Calibri" w:hAnsi="Calibri"/>
                <w:color w:val="162236"/>
                <w:sz w:val="16"/>
              </w:rPr>
              <w:t>Index</w:t>
            </w:r>
          </w:p>
        </w:tc>
        <w:tc>
          <w:tcPr>
            <w:tcW w:type="dxa" w:w="2960"/>
            <w:vAlign w:val="center"/>
            <w:tcMar>
              <w:top w:w="80" w:type="dxa"/>
              <w:start w:w="120" w:type="dxa"/>
              <w:bottom w:w="80" w:type="dxa"/>
              <w:end w:w="120" w:type="dxa"/>
            </w:tcMar>
          </w:tcPr>
          <w:p>
            <w:pPr>
              <w:spacing w:before="0" w:after="0" w:line="271" w:lineRule="auto"/>
            </w:pPr>
            <w:r>
              <w:rPr>
                <w:rFonts w:ascii="Calibri" w:hAnsi="Calibri"/>
                <w:color w:val="162236"/>
                <w:sz w:val="16"/>
              </w:rPr>
              <w:t>Ready-to-print files</w:t>
            </w:r>
          </w:p>
        </w:tc>
      </w:tr>
      <w:tr>
        <w:trPr>
          <w:cantSplit/>
        </w:trPr>
        <w:tc>
          <w:tcPr>
            <w:tcW w:type="dxa" w:w="2900"/>
            <w:vAlign w:val="center"/>
            <w:tcMar>
              <w:top w:w="80" w:type="dxa"/>
              <w:start w:w="120" w:type="dxa"/>
              <w:bottom w:w="80" w:type="dxa"/>
              <w:end w:w="120" w:type="dxa"/>
            </w:tcMar>
          </w:tcPr>
          <w:p>
            <w:pPr>
              <w:spacing w:before="0" w:after="0" w:line="271" w:lineRule="auto"/>
            </w:pPr>
            <w:r>
              <w:rPr>
                <w:rFonts w:ascii="Calibri" w:hAnsi="Calibri"/>
                <w:color w:val="162236"/>
                <w:sz w:val="16"/>
              </w:rPr>
              <w:t>/design-to-delivery/</w:t>
            </w:r>
          </w:p>
        </w:tc>
        <w:tc>
          <w:tcPr>
            <w:tcW w:type="dxa" w:w="2400"/>
            <w:vAlign w:val="center"/>
            <w:tcMar>
              <w:top w:w="80" w:type="dxa"/>
              <w:start w:w="120" w:type="dxa"/>
              <w:bottom w:w="80" w:type="dxa"/>
              <w:end w:w="120" w:type="dxa"/>
            </w:tcMar>
          </w:tcPr>
          <w:p>
            <w:pPr>
              <w:spacing w:before="0" w:after="0" w:line="271" w:lineRule="auto"/>
            </w:pPr>
            <w:r>
              <w:rPr>
                <w:rFonts w:ascii="Calibri" w:hAnsi="Calibri"/>
                <w:color w:val="162236"/>
                <w:sz w:val="16"/>
              </w:rPr>
              <w:t>Design-to-Delivery Workflow</w:t>
            </w:r>
          </w:p>
        </w:tc>
        <w:tc>
          <w:tcPr>
            <w:tcW w:type="dxa" w:w="1100"/>
            <w:vAlign w:val="center"/>
            <w:tcMar>
              <w:top w:w="80" w:type="dxa"/>
              <w:start w:w="120" w:type="dxa"/>
              <w:bottom w:w="80" w:type="dxa"/>
              <w:end w:w="120" w:type="dxa"/>
            </w:tcMar>
          </w:tcPr>
          <w:p>
            <w:pPr>
              <w:spacing w:before="0" w:after="0" w:line="271" w:lineRule="auto"/>
            </w:pPr>
            <w:r>
              <w:rPr>
                <w:rFonts w:ascii="Calibri" w:hAnsi="Calibri"/>
                <w:color w:val="162236"/>
                <w:sz w:val="16"/>
              </w:rPr>
              <w:t>Index</w:t>
            </w:r>
          </w:p>
        </w:tc>
        <w:tc>
          <w:tcPr>
            <w:tcW w:type="dxa" w:w="2960"/>
            <w:vAlign w:val="center"/>
            <w:tcMar>
              <w:top w:w="80" w:type="dxa"/>
              <w:start w:w="120" w:type="dxa"/>
              <w:bottom w:w="80" w:type="dxa"/>
              <w:end w:w="120" w:type="dxa"/>
            </w:tcMar>
          </w:tcPr>
          <w:p>
            <w:pPr>
              <w:spacing w:before="0" w:after="0" w:line="271" w:lineRule="auto"/>
            </w:pPr>
            <w:r>
              <w:rPr>
                <w:rFonts w:ascii="Calibri" w:hAnsi="Calibri"/>
                <w:color w:val="162236"/>
                <w:sz w:val="16"/>
              </w:rPr>
              <w:t>Plan, design, production and delivery</w:t>
            </w:r>
          </w:p>
        </w:tc>
      </w:tr>
      <w:tr>
        <w:trPr>
          <w:cantSplit/>
        </w:trPr>
        <w:tc>
          <w:tcPr>
            <w:tcW w:type="dxa" w:w="2900"/>
            <w:vAlign w:val="center"/>
            <w:tcMar>
              <w:top w:w="80" w:type="dxa"/>
              <w:start w:w="120" w:type="dxa"/>
              <w:bottom w:w="80" w:type="dxa"/>
              <w:end w:w="120" w:type="dxa"/>
            </w:tcMar>
          </w:tcPr>
          <w:p>
            <w:pPr>
              <w:spacing w:before="0" w:after="0" w:line="271" w:lineRule="auto"/>
            </w:pPr>
            <w:r>
              <w:rPr>
                <w:rFonts w:ascii="Calibri" w:hAnsi="Calibri"/>
                <w:color w:val="162236"/>
                <w:sz w:val="16"/>
              </w:rPr>
              <w:t>/white-label-workflow-partner/</w:t>
            </w:r>
          </w:p>
        </w:tc>
        <w:tc>
          <w:tcPr>
            <w:tcW w:type="dxa" w:w="2400"/>
            <w:vAlign w:val="center"/>
            <w:tcMar>
              <w:top w:w="80" w:type="dxa"/>
              <w:start w:w="120" w:type="dxa"/>
              <w:bottom w:w="80" w:type="dxa"/>
              <w:end w:w="120" w:type="dxa"/>
            </w:tcMar>
          </w:tcPr>
          <w:p>
            <w:pPr>
              <w:spacing w:before="0" w:after="0" w:line="271" w:lineRule="auto"/>
            </w:pPr>
            <w:r>
              <w:rPr>
                <w:rFonts w:ascii="Calibri" w:hAnsi="Calibri"/>
                <w:color w:val="162236"/>
                <w:sz w:val="16"/>
              </w:rPr>
              <w:t>White-Label Workflow Partnership</w:t>
            </w:r>
          </w:p>
        </w:tc>
        <w:tc>
          <w:tcPr>
            <w:tcW w:type="dxa" w:w="1100"/>
            <w:vAlign w:val="center"/>
            <w:tcMar>
              <w:top w:w="80" w:type="dxa"/>
              <w:start w:w="120" w:type="dxa"/>
              <w:bottom w:w="80" w:type="dxa"/>
              <w:end w:w="120" w:type="dxa"/>
            </w:tcMar>
          </w:tcPr>
          <w:p>
            <w:pPr>
              <w:spacing w:before="0" w:after="0" w:line="271" w:lineRule="auto"/>
            </w:pPr>
            <w:r>
              <w:rPr>
                <w:rFonts w:ascii="Calibri" w:hAnsi="Calibri"/>
                <w:color w:val="162236"/>
                <w:sz w:val="16"/>
              </w:rPr>
              <w:t>Index</w:t>
            </w:r>
          </w:p>
        </w:tc>
        <w:tc>
          <w:tcPr>
            <w:tcW w:type="dxa" w:w="2960"/>
            <w:vAlign w:val="center"/>
            <w:tcMar>
              <w:top w:w="80" w:type="dxa"/>
              <w:start w:w="120" w:type="dxa"/>
              <w:bottom w:w="80" w:type="dxa"/>
              <w:end w:w="120" w:type="dxa"/>
            </w:tcMar>
          </w:tcPr>
          <w:p>
            <w:pPr>
              <w:spacing w:before="0" w:after="0" w:line="271" w:lineRule="auto"/>
            </w:pPr>
            <w:r>
              <w:rPr>
                <w:rFonts w:ascii="Calibri" w:hAnsi="Calibri"/>
                <w:color w:val="162236"/>
                <w:sz w:val="16"/>
              </w:rPr>
              <w:t>Labs, DSOs and international partners</w:t>
            </w:r>
          </w:p>
        </w:tc>
      </w:tr>
      <w:tr>
        <w:trPr>
          <w:cantSplit/>
        </w:trPr>
        <w:tc>
          <w:tcPr>
            <w:tcW w:type="dxa" w:w="2900"/>
            <w:vAlign w:val="center"/>
            <w:tcMar>
              <w:top w:w="80" w:type="dxa"/>
              <w:start w:w="120" w:type="dxa"/>
              <w:bottom w:w="80" w:type="dxa"/>
              <w:end w:w="120" w:type="dxa"/>
            </w:tcMar>
          </w:tcPr>
          <w:p>
            <w:pPr>
              <w:spacing w:before="0" w:after="0" w:line="271" w:lineRule="auto"/>
            </w:pPr>
            <w:r>
              <w:rPr>
                <w:rFonts w:ascii="Calibri" w:hAnsi="Calibri"/>
                <w:color w:val="162236"/>
                <w:sz w:val="16"/>
              </w:rPr>
              <w:t>/digital-dentistry-solutions/</w:t>
            </w:r>
          </w:p>
        </w:tc>
        <w:tc>
          <w:tcPr>
            <w:tcW w:type="dxa" w:w="2400"/>
            <w:vAlign w:val="center"/>
            <w:tcMar>
              <w:top w:w="80" w:type="dxa"/>
              <w:start w:w="120" w:type="dxa"/>
              <w:bottom w:w="80" w:type="dxa"/>
              <w:end w:w="120" w:type="dxa"/>
            </w:tcMar>
          </w:tcPr>
          <w:p>
            <w:pPr>
              <w:spacing w:before="0" w:after="0" w:line="271" w:lineRule="auto"/>
            </w:pPr>
            <w:r>
              <w:rPr>
                <w:rFonts w:ascii="Calibri" w:hAnsi="Calibri"/>
                <w:color w:val="162236"/>
                <w:sz w:val="16"/>
              </w:rPr>
              <w:t>Expanded Digital Dentistry Solutions</w:t>
            </w:r>
          </w:p>
        </w:tc>
        <w:tc>
          <w:tcPr>
            <w:tcW w:type="dxa" w:w="1100"/>
            <w:vAlign w:val="center"/>
            <w:tcMar>
              <w:top w:w="80" w:type="dxa"/>
              <w:start w:w="120" w:type="dxa"/>
              <w:bottom w:w="80" w:type="dxa"/>
              <w:end w:w="120" w:type="dxa"/>
            </w:tcMar>
          </w:tcPr>
          <w:p>
            <w:pPr>
              <w:spacing w:before="0" w:after="0" w:line="271" w:lineRule="auto"/>
            </w:pPr>
            <w:r>
              <w:rPr>
                <w:rFonts w:ascii="Calibri" w:hAnsi="Calibri"/>
                <w:color w:val="162236"/>
                <w:sz w:val="16"/>
              </w:rPr>
              <w:t>Index</w:t>
            </w:r>
          </w:p>
        </w:tc>
        <w:tc>
          <w:tcPr>
            <w:tcW w:type="dxa" w:w="2960"/>
            <w:vAlign w:val="center"/>
            <w:tcMar>
              <w:top w:w="80" w:type="dxa"/>
              <w:start w:w="120" w:type="dxa"/>
              <w:bottom w:w="80" w:type="dxa"/>
              <w:end w:w="120" w:type="dxa"/>
            </w:tcMar>
          </w:tcPr>
          <w:p>
            <w:pPr>
              <w:spacing w:before="0" w:after="0" w:line="271" w:lineRule="auto"/>
            </w:pPr>
            <w:r>
              <w:rPr>
                <w:rFonts w:ascii="Calibri" w:hAnsi="Calibri"/>
                <w:color w:val="162236"/>
                <w:sz w:val="16"/>
              </w:rPr>
              <w:t>Secondary digital services</w:t>
            </w:r>
          </w:p>
        </w:tc>
      </w:tr>
      <w:tr>
        <w:trPr>
          <w:cantSplit/>
        </w:trPr>
        <w:tc>
          <w:tcPr>
            <w:tcW w:type="dxa" w:w="2900"/>
            <w:vAlign w:val="center"/>
            <w:tcMar>
              <w:top w:w="80" w:type="dxa"/>
              <w:start w:w="120" w:type="dxa"/>
              <w:bottom w:w="80" w:type="dxa"/>
              <w:end w:w="120" w:type="dxa"/>
            </w:tcMar>
          </w:tcPr>
          <w:p>
            <w:pPr>
              <w:spacing w:before="0" w:after="0" w:line="271" w:lineRule="auto"/>
            </w:pPr>
            <w:r>
              <w:rPr>
                <w:rFonts w:ascii="Calibri" w:hAnsi="Calibri"/>
                <w:color w:val="162236"/>
                <w:sz w:val="16"/>
              </w:rPr>
              <w:t>/how-it-works/</w:t>
            </w:r>
          </w:p>
        </w:tc>
        <w:tc>
          <w:tcPr>
            <w:tcW w:type="dxa" w:w="2400"/>
            <w:vAlign w:val="center"/>
            <w:tcMar>
              <w:top w:w="80" w:type="dxa"/>
              <w:start w:w="120" w:type="dxa"/>
              <w:bottom w:w="80" w:type="dxa"/>
              <w:end w:w="120" w:type="dxa"/>
            </w:tcMar>
          </w:tcPr>
          <w:p>
            <w:pPr>
              <w:spacing w:before="0" w:after="0" w:line="271" w:lineRule="auto"/>
            </w:pPr>
            <w:r>
              <w:rPr>
                <w:rFonts w:ascii="Calibri" w:hAnsi="Calibri"/>
                <w:color w:val="162236"/>
                <w:sz w:val="16"/>
              </w:rPr>
              <w:t>How It Works</w:t>
            </w:r>
          </w:p>
        </w:tc>
        <w:tc>
          <w:tcPr>
            <w:tcW w:type="dxa" w:w="1100"/>
            <w:vAlign w:val="center"/>
            <w:tcMar>
              <w:top w:w="80" w:type="dxa"/>
              <w:start w:w="120" w:type="dxa"/>
              <w:bottom w:w="80" w:type="dxa"/>
              <w:end w:w="120" w:type="dxa"/>
            </w:tcMar>
          </w:tcPr>
          <w:p>
            <w:pPr>
              <w:spacing w:before="0" w:after="0" w:line="271" w:lineRule="auto"/>
            </w:pPr>
            <w:r>
              <w:rPr>
                <w:rFonts w:ascii="Calibri" w:hAnsi="Calibri"/>
                <w:color w:val="162236"/>
                <w:sz w:val="16"/>
              </w:rPr>
              <w:t>Index</w:t>
            </w:r>
          </w:p>
        </w:tc>
        <w:tc>
          <w:tcPr>
            <w:tcW w:type="dxa" w:w="2960"/>
            <w:vAlign w:val="center"/>
            <w:tcMar>
              <w:top w:w="80" w:type="dxa"/>
              <w:start w:w="120" w:type="dxa"/>
              <w:bottom w:w="80" w:type="dxa"/>
              <w:end w:w="120" w:type="dxa"/>
            </w:tcMar>
          </w:tcPr>
          <w:p>
            <w:pPr>
              <w:spacing w:before="0" w:after="0" w:line="271" w:lineRule="auto"/>
            </w:pPr>
            <w:r>
              <w:rPr>
                <w:rFonts w:ascii="Calibri" w:hAnsi="Calibri"/>
                <w:color w:val="162236"/>
                <w:sz w:val="16"/>
              </w:rPr>
              <w:t>Process and clinical responsibility</w:t>
            </w:r>
          </w:p>
        </w:tc>
      </w:tr>
      <w:tr>
        <w:trPr>
          <w:cantSplit/>
        </w:trPr>
        <w:tc>
          <w:tcPr>
            <w:tcW w:type="dxa" w:w="2900"/>
            <w:vAlign w:val="center"/>
            <w:tcMar>
              <w:top w:w="80" w:type="dxa"/>
              <w:start w:w="120" w:type="dxa"/>
              <w:bottom w:w="80" w:type="dxa"/>
              <w:end w:w="120" w:type="dxa"/>
            </w:tcMar>
          </w:tcPr>
          <w:p>
            <w:pPr>
              <w:spacing w:before="0" w:after="0" w:line="271" w:lineRule="auto"/>
            </w:pPr>
            <w:r>
              <w:rPr>
                <w:rFonts w:ascii="Calibri" w:hAnsi="Calibri"/>
                <w:color w:val="162236"/>
                <w:sz w:val="16"/>
              </w:rPr>
              <w:t>/case-requirements/</w:t>
            </w:r>
          </w:p>
        </w:tc>
        <w:tc>
          <w:tcPr>
            <w:tcW w:type="dxa" w:w="2400"/>
            <w:vAlign w:val="center"/>
            <w:tcMar>
              <w:top w:w="80" w:type="dxa"/>
              <w:start w:w="120" w:type="dxa"/>
              <w:bottom w:w="80" w:type="dxa"/>
              <w:end w:w="120" w:type="dxa"/>
            </w:tcMar>
          </w:tcPr>
          <w:p>
            <w:pPr>
              <w:spacing w:before="0" w:after="0" w:line="271" w:lineRule="auto"/>
            </w:pPr>
            <w:r>
              <w:rPr>
                <w:rFonts w:ascii="Calibri" w:hAnsi="Calibri"/>
                <w:color w:val="162236"/>
                <w:sz w:val="16"/>
              </w:rPr>
              <w:t>Case Requirements</w:t>
            </w:r>
          </w:p>
        </w:tc>
        <w:tc>
          <w:tcPr>
            <w:tcW w:type="dxa" w:w="1100"/>
            <w:vAlign w:val="center"/>
            <w:tcMar>
              <w:top w:w="80" w:type="dxa"/>
              <w:start w:w="120" w:type="dxa"/>
              <w:bottom w:w="80" w:type="dxa"/>
              <w:end w:w="120" w:type="dxa"/>
            </w:tcMar>
          </w:tcPr>
          <w:p>
            <w:pPr>
              <w:spacing w:before="0" w:after="0" w:line="271" w:lineRule="auto"/>
            </w:pPr>
            <w:r>
              <w:rPr>
                <w:rFonts w:ascii="Calibri" w:hAnsi="Calibri"/>
                <w:color w:val="162236"/>
                <w:sz w:val="16"/>
              </w:rPr>
              <w:t>Index</w:t>
            </w:r>
          </w:p>
        </w:tc>
        <w:tc>
          <w:tcPr>
            <w:tcW w:type="dxa" w:w="2960"/>
            <w:vAlign w:val="center"/>
            <w:tcMar>
              <w:top w:w="80" w:type="dxa"/>
              <w:start w:w="120" w:type="dxa"/>
              <w:bottom w:w="80" w:type="dxa"/>
              <w:end w:w="120" w:type="dxa"/>
            </w:tcMar>
          </w:tcPr>
          <w:p>
            <w:pPr>
              <w:spacing w:before="0" w:after="0" w:line="271" w:lineRule="auto"/>
            </w:pPr>
            <w:r>
              <w:rPr>
                <w:rFonts w:ascii="Calibri" w:hAnsi="Calibri"/>
                <w:color w:val="162236"/>
                <w:sz w:val="16"/>
              </w:rPr>
              <w:t>Files, scan protocols and readiness</w:t>
            </w:r>
          </w:p>
        </w:tc>
      </w:tr>
      <w:tr>
        <w:trPr>
          <w:cantSplit/>
        </w:trPr>
        <w:tc>
          <w:tcPr>
            <w:tcW w:type="dxa" w:w="2900"/>
            <w:vAlign w:val="center"/>
            <w:tcMar>
              <w:top w:w="80" w:type="dxa"/>
              <w:start w:w="120" w:type="dxa"/>
              <w:bottom w:w="80" w:type="dxa"/>
              <w:end w:w="120" w:type="dxa"/>
            </w:tcMar>
          </w:tcPr>
          <w:p>
            <w:pPr>
              <w:spacing w:before="0" w:after="0" w:line="271" w:lineRule="auto"/>
            </w:pPr>
            <w:r>
              <w:rPr>
                <w:rFonts w:ascii="Calibri" w:hAnsi="Calibri"/>
                <w:color w:val="162236"/>
                <w:sz w:val="16"/>
              </w:rPr>
              <w:t>/case-evidence/</w:t>
            </w:r>
          </w:p>
        </w:tc>
        <w:tc>
          <w:tcPr>
            <w:tcW w:type="dxa" w:w="2400"/>
            <w:vAlign w:val="center"/>
            <w:tcMar>
              <w:top w:w="80" w:type="dxa"/>
              <w:start w:w="120" w:type="dxa"/>
              <w:bottom w:w="80" w:type="dxa"/>
              <w:end w:w="120" w:type="dxa"/>
            </w:tcMar>
          </w:tcPr>
          <w:p>
            <w:pPr>
              <w:spacing w:before="0" w:after="0" w:line="271" w:lineRule="auto"/>
            </w:pPr>
            <w:r>
              <w:rPr>
                <w:rFonts w:ascii="Calibri" w:hAnsi="Calibri"/>
                <w:color w:val="162236"/>
                <w:sz w:val="16"/>
              </w:rPr>
              <w:t>Case Evidence</w:t>
            </w:r>
          </w:p>
        </w:tc>
        <w:tc>
          <w:tcPr>
            <w:tcW w:type="dxa" w:w="1100"/>
            <w:vAlign w:val="center"/>
            <w:tcMar>
              <w:top w:w="80" w:type="dxa"/>
              <w:start w:w="120" w:type="dxa"/>
              <w:bottom w:w="80" w:type="dxa"/>
              <w:end w:w="120" w:type="dxa"/>
            </w:tcMar>
          </w:tcPr>
          <w:p>
            <w:pPr>
              <w:spacing w:before="0" w:after="0" w:line="271" w:lineRule="auto"/>
            </w:pPr>
            <w:r>
              <w:rPr>
                <w:rFonts w:ascii="Calibri" w:hAnsi="Calibri"/>
                <w:color w:val="162236"/>
                <w:sz w:val="16"/>
              </w:rPr>
              <w:t>Index</w:t>
            </w:r>
          </w:p>
        </w:tc>
        <w:tc>
          <w:tcPr>
            <w:tcW w:type="dxa" w:w="2960"/>
            <w:vAlign w:val="center"/>
            <w:tcMar>
              <w:top w:w="80" w:type="dxa"/>
              <w:start w:w="120" w:type="dxa"/>
              <w:bottom w:w="80" w:type="dxa"/>
              <w:end w:w="120" w:type="dxa"/>
            </w:tcMar>
          </w:tcPr>
          <w:p>
            <w:pPr>
              <w:spacing w:before="0" w:after="0" w:line="271" w:lineRule="auto"/>
            </w:pPr>
            <w:r>
              <w:rPr>
                <w:rFonts w:ascii="Calibri" w:hAnsi="Calibri"/>
                <w:color w:val="162236"/>
                <w:sz w:val="16"/>
              </w:rPr>
              <w:t>Anonymised workflow proof</w:t>
            </w:r>
          </w:p>
        </w:tc>
      </w:tr>
      <w:tr>
        <w:trPr>
          <w:cantSplit/>
        </w:trPr>
        <w:tc>
          <w:tcPr>
            <w:tcW w:type="dxa" w:w="2900"/>
            <w:vAlign w:val="center"/>
            <w:tcMar>
              <w:top w:w="80" w:type="dxa"/>
              <w:start w:w="120" w:type="dxa"/>
              <w:bottom w:w="80" w:type="dxa"/>
              <w:end w:w="120" w:type="dxa"/>
            </w:tcMar>
          </w:tcPr>
          <w:p>
            <w:pPr>
              <w:spacing w:before="0" w:after="0" w:line="271" w:lineRule="auto"/>
            </w:pPr>
            <w:r>
              <w:rPr>
                <w:rFonts w:ascii="Calibri" w:hAnsi="Calibri"/>
                <w:color w:val="162236"/>
                <w:sz w:val="16"/>
              </w:rPr>
              <w:t>/about/</w:t>
            </w:r>
          </w:p>
        </w:tc>
        <w:tc>
          <w:tcPr>
            <w:tcW w:type="dxa" w:w="2400"/>
            <w:vAlign w:val="center"/>
            <w:tcMar>
              <w:top w:w="80" w:type="dxa"/>
              <w:start w:w="120" w:type="dxa"/>
              <w:bottom w:w="80" w:type="dxa"/>
              <w:end w:w="120" w:type="dxa"/>
            </w:tcMar>
          </w:tcPr>
          <w:p>
            <w:pPr>
              <w:spacing w:before="0" w:after="0" w:line="271" w:lineRule="auto"/>
            </w:pPr>
            <w:r>
              <w:rPr>
                <w:rFonts w:ascii="Calibri" w:hAnsi="Calibri"/>
                <w:color w:val="162236"/>
                <w:sz w:val="16"/>
              </w:rPr>
              <w:t>About</w:t>
            </w:r>
          </w:p>
        </w:tc>
        <w:tc>
          <w:tcPr>
            <w:tcW w:type="dxa" w:w="1100"/>
            <w:vAlign w:val="center"/>
            <w:tcMar>
              <w:top w:w="80" w:type="dxa"/>
              <w:start w:w="120" w:type="dxa"/>
              <w:bottom w:w="80" w:type="dxa"/>
              <w:end w:w="120" w:type="dxa"/>
            </w:tcMar>
          </w:tcPr>
          <w:p>
            <w:pPr>
              <w:spacing w:before="0" w:after="0" w:line="271" w:lineRule="auto"/>
            </w:pPr>
            <w:r>
              <w:rPr>
                <w:rFonts w:ascii="Calibri" w:hAnsi="Calibri"/>
                <w:color w:val="162236"/>
                <w:sz w:val="16"/>
              </w:rPr>
              <w:t>Index</w:t>
            </w:r>
          </w:p>
        </w:tc>
        <w:tc>
          <w:tcPr>
            <w:tcW w:type="dxa" w:w="2960"/>
            <w:vAlign w:val="center"/>
            <w:tcMar>
              <w:top w:w="80" w:type="dxa"/>
              <w:start w:w="120" w:type="dxa"/>
              <w:bottom w:w="80" w:type="dxa"/>
              <w:end w:w="120" w:type="dxa"/>
            </w:tcMar>
          </w:tcPr>
          <w:p>
            <w:pPr>
              <w:spacing w:before="0" w:after="0" w:line="271" w:lineRule="auto"/>
            </w:pPr>
            <w:r>
              <w:rPr>
                <w:rFonts w:ascii="Calibri" w:hAnsi="Calibri"/>
                <w:color w:val="162236"/>
                <w:sz w:val="16"/>
              </w:rPr>
              <w:t>Experience, team and operating philosophy</w:t>
            </w:r>
          </w:p>
        </w:tc>
      </w:tr>
      <w:tr>
        <w:trPr>
          <w:cantSplit/>
        </w:trPr>
        <w:tc>
          <w:tcPr>
            <w:tcW w:type="dxa" w:w="2900"/>
            <w:vAlign w:val="center"/>
            <w:tcMar>
              <w:top w:w="80" w:type="dxa"/>
              <w:start w:w="120" w:type="dxa"/>
              <w:bottom w:w="80" w:type="dxa"/>
              <w:end w:w="120" w:type="dxa"/>
            </w:tcMar>
          </w:tcPr>
          <w:p>
            <w:pPr>
              <w:spacing w:before="0" w:after="0" w:line="271" w:lineRule="auto"/>
            </w:pPr>
            <w:r>
              <w:rPr>
                <w:rFonts w:ascii="Calibri" w:hAnsi="Calibri"/>
                <w:color w:val="162236"/>
                <w:sz w:val="16"/>
              </w:rPr>
              <w:t>/discuss-a-case/</w:t>
            </w:r>
          </w:p>
        </w:tc>
        <w:tc>
          <w:tcPr>
            <w:tcW w:type="dxa" w:w="2400"/>
            <w:vAlign w:val="center"/>
            <w:tcMar>
              <w:top w:w="80" w:type="dxa"/>
              <w:start w:w="120" w:type="dxa"/>
              <w:bottom w:w="80" w:type="dxa"/>
              <w:end w:w="120" w:type="dxa"/>
            </w:tcMar>
          </w:tcPr>
          <w:p>
            <w:pPr>
              <w:spacing w:before="0" w:after="0" w:line="271" w:lineRule="auto"/>
            </w:pPr>
            <w:r>
              <w:rPr>
                <w:rFonts w:ascii="Calibri" w:hAnsi="Calibri"/>
                <w:color w:val="162236"/>
                <w:sz w:val="16"/>
              </w:rPr>
              <w:t>Discuss a Complex Case</w:t>
            </w:r>
          </w:p>
        </w:tc>
        <w:tc>
          <w:tcPr>
            <w:tcW w:type="dxa" w:w="1100"/>
            <w:vAlign w:val="center"/>
            <w:tcMar>
              <w:top w:w="80" w:type="dxa"/>
              <w:start w:w="120" w:type="dxa"/>
              <w:bottom w:w="80" w:type="dxa"/>
              <w:end w:w="120" w:type="dxa"/>
            </w:tcMar>
          </w:tcPr>
          <w:p>
            <w:pPr>
              <w:spacing w:before="0" w:after="0" w:line="271" w:lineRule="auto"/>
            </w:pPr>
            <w:r>
              <w:rPr>
                <w:rFonts w:ascii="Calibri" w:hAnsi="Calibri"/>
                <w:color w:val="162236"/>
                <w:sz w:val="16"/>
              </w:rPr>
              <w:t>Index</w:t>
            </w:r>
          </w:p>
        </w:tc>
        <w:tc>
          <w:tcPr>
            <w:tcW w:type="dxa" w:w="2960"/>
            <w:vAlign w:val="center"/>
            <w:tcMar>
              <w:top w:w="80" w:type="dxa"/>
              <w:start w:w="120" w:type="dxa"/>
              <w:bottom w:w="80" w:type="dxa"/>
              <w:end w:w="120" w:type="dxa"/>
            </w:tcMar>
          </w:tcPr>
          <w:p>
            <w:pPr>
              <w:spacing w:before="0" w:after="0" w:line="271" w:lineRule="auto"/>
            </w:pPr>
            <w:r>
              <w:rPr>
                <w:rFonts w:ascii="Calibri" w:hAnsi="Calibri"/>
                <w:color w:val="162236"/>
                <w:sz w:val="16"/>
              </w:rPr>
              <w:t>Non-clinical enquiry only</w:t>
            </w:r>
          </w:p>
        </w:tc>
      </w:tr>
      <w:tr>
        <w:trPr>
          <w:cantSplit/>
        </w:trPr>
        <w:tc>
          <w:tcPr>
            <w:tcW w:type="dxa" w:w="2900"/>
            <w:vAlign w:val="center"/>
            <w:tcMar>
              <w:top w:w="80" w:type="dxa"/>
              <w:start w:w="120" w:type="dxa"/>
              <w:bottom w:w="80" w:type="dxa"/>
              <w:end w:w="120" w:type="dxa"/>
            </w:tcMar>
          </w:tcPr>
          <w:p>
            <w:pPr>
              <w:spacing w:before="0" w:after="0" w:line="271" w:lineRule="auto"/>
            </w:pPr>
            <w:r>
              <w:rPr>
                <w:rFonts w:ascii="Calibri" w:hAnsi="Calibri"/>
                <w:color w:val="162236"/>
                <w:sz w:val="16"/>
              </w:rPr>
              <w:t>/case-portal/</w:t>
            </w:r>
          </w:p>
        </w:tc>
        <w:tc>
          <w:tcPr>
            <w:tcW w:type="dxa" w:w="2400"/>
            <w:vAlign w:val="center"/>
            <w:tcMar>
              <w:top w:w="80" w:type="dxa"/>
              <w:start w:w="120" w:type="dxa"/>
              <w:bottom w:w="80" w:type="dxa"/>
              <w:end w:w="120" w:type="dxa"/>
            </w:tcMar>
          </w:tcPr>
          <w:p>
            <w:pPr>
              <w:spacing w:before="0" w:after="0" w:line="271" w:lineRule="auto"/>
            </w:pPr>
            <w:r>
              <w:rPr>
                <w:rFonts w:ascii="Calibri" w:hAnsi="Calibri"/>
                <w:color w:val="162236"/>
                <w:sz w:val="16"/>
              </w:rPr>
              <w:t>Case Portal Gateway</w:t>
            </w:r>
          </w:p>
        </w:tc>
        <w:tc>
          <w:tcPr>
            <w:tcW w:type="dxa" w:w="1100"/>
            <w:vAlign w:val="center"/>
            <w:tcMar>
              <w:top w:w="80" w:type="dxa"/>
              <w:start w:w="120" w:type="dxa"/>
              <w:bottom w:w="80" w:type="dxa"/>
              <w:end w:w="120" w:type="dxa"/>
            </w:tcMar>
          </w:tcPr>
          <w:p>
            <w:pPr>
              <w:spacing w:before="0" w:after="0" w:line="271" w:lineRule="auto"/>
            </w:pPr>
            <w:r>
              <w:rPr>
                <w:rFonts w:ascii="Calibri" w:hAnsi="Calibri"/>
                <w:color w:val="162236"/>
                <w:sz w:val="16"/>
              </w:rPr>
              <w:t>Index</w:t>
            </w:r>
          </w:p>
        </w:tc>
        <w:tc>
          <w:tcPr>
            <w:tcW w:type="dxa" w:w="2960"/>
            <w:vAlign w:val="center"/>
            <w:tcMar>
              <w:top w:w="80" w:type="dxa"/>
              <w:start w:w="120" w:type="dxa"/>
              <w:bottom w:w="80" w:type="dxa"/>
              <w:end w:w="120" w:type="dxa"/>
            </w:tcMar>
          </w:tcPr>
          <w:p>
            <w:pPr>
              <w:spacing w:before="0" w:after="0" w:line="271" w:lineRule="auto"/>
            </w:pPr>
            <w:r>
              <w:rPr>
                <w:rFonts w:ascii="Calibri" w:hAnsi="Calibri"/>
                <w:color w:val="162236"/>
                <w:sz w:val="16"/>
              </w:rPr>
              <w:t>Login / registration entry</w:t>
            </w:r>
          </w:p>
        </w:tc>
      </w:tr>
      <w:tr>
        <w:trPr>
          <w:cantSplit/>
        </w:trPr>
        <w:tc>
          <w:tcPr>
            <w:tcW w:type="dxa" w:w="2900"/>
            <w:vAlign w:val="center"/>
            <w:tcMar>
              <w:top w:w="80" w:type="dxa"/>
              <w:start w:w="120" w:type="dxa"/>
              <w:bottom w:w="80" w:type="dxa"/>
              <w:end w:w="120" w:type="dxa"/>
            </w:tcMar>
          </w:tcPr>
          <w:p>
            <w:pPr>
              <w:spacing w:before="0" w:after="0" w:line="271" w:lineRule="auto"/>
            </w:pPr>
            <w:r>
              <w:rPr>
                <w:rFonts w:ascii="Calibri" w:hAnsi="Calibri"/>
                <w:color w:val="162236"/>
                <w:sz w:val="16"/>
              </w:rPr>
              <w:t>/workflow-notes/</w:t>
            </w:r>
          </w:p>
        </w:tc>
        <w:tc>
          <w:tcPr>
            <w:tcW w:type="dxa" w:w="2400"/>
            <w:vAlign w:val="center"/>
            <w:tcMar>
              <w:top w:w="80" w:type="dxa"/>
              <w:start w:w="120" w:type="dxa"/>
              <w:bottom w:w="80" w:type="dxa"/>
              <w:end w:w="120" w:type="dxa"/>
            </w:tcMar>
          </w:tcPr>
          <w:p>
            <w:pPr>
              <w:spacing w:before="0" w:after="0" w:line="271" w:lineRule="auto"/>
            </w:pPr>
            <w:r>
              <w:rPr>
                <w:rFonts w:ascii="Calibri" w:hAnsi="Calibri"/>
                <w:color w:val="162236"/>
                <w:sz w:val="16"/>
              </w:rPr>
              <w:t>Workflow Notes</w:t>
            </w:r>
          </w:p>
        </w:tc>
        <w:tc>
          <w:tcPr>
            <w:tcW w:type="dxa" w:w="1100"/>
            <w:vAlign w:val="center"/>
            <w:tcMar>
              <w:top w:w="80" w:type="dxa"/>
              <w:start w:w="120" w:type="dxa"/>
              <w:bottom w:w="80" w:type="dxa"/>
              <w:end w:w="120" w:type="dxa"/>
            </w:tcMar>
          </w:tcPr>
          <w:p>
            <w:pPr>
              <w:spacing w:before="0" w:after="0" w:line="271" w:lineRule="auto"/>
            </w:pPr>
            <w:r>
              <w:rPr>
                <w:rFonts w:ascii="Calibri" w:hAnsi="Calibri"/>
                <w:color w:val="162236"/>
                <w:sz w:val="16"/>
              </w:rPr>
              <w:t>Index</w:t>
            </w:r>
          </w:p>
        </w:tc>
        <w:tc>
          <w:tcPr>
            <w:tcW w:type="dxa" w:w="2960"/>
            <w:vAlign w:val="center"/>
            <w:tcMar>
              <w:top w:w="80" w:type="dxa"/>
              <w:start w:w="120" w:type="dxa"/>
              <w:bottom w:w="80" w:type="dxa"/>
              <w:end w:w="120" w:type="dxa"/>
            </w:tcMar>
          </w:tcPr>
          <w:p>
            <w:pPr>
              <w:spacing w:before="0" w:after="0" w:line="271" w:lineRule="auto"/>
            </w:pPr>
            <w:r>
              <w:rPr>
                <w:rFonts w:ascii="Calibri" w:hAnsi="Calibri"/>
                <w:color w:val="162236"/>
                <w:sz w:val="16"/>
              </w:rPr>
              <w:t>Small, curated resource library</w:t>
            </w:r>
          </w:p>
        </w:tc>
      </w:tr>
      <w:tr>
        <w:trPr>
          <w:cantSplit/>
        </w:trPr>
        <w:tc>
          <w:tcPr>
            <w:tcW w:type="dxa" w:w="2900"/>
            <w:vAlign w:val="center"/>
            <w:tcMar>
              <w:top w:w="80" w:type="dxa"/>
              <w:start w:w="120" w:type="dxa"/>
              <w:bottom w:w="80" w:type="dxa"/>
              <w:end w:w="120" w:type="dxa"/>
            </w:tcMar>
          </w:tcPr>
          <w:p>
            <w:pPr>
              <w:spacing w:before="0" w:after="0" w:line="271" w:lineRule="auto"/>
            </w:pPr>
            <w:r>
              <w:rPr>
                <w:rFonts w:ascii="Calibri" w:hAnsi="Calibri"/>
                <w:color w:val="162236"/>
                <w:sz w:val="16"/>
              </w:rPr>
              <w:t>/privacy/</w:t>
            </w:r>
          </w:p>
        </w:tc>
        <w:tc>
          <w:tcPr>
            <w:tcW w:type="dxa" w:w="2400"/>
            <w:vAlign w:val="center"/>
            <w:tcMar>
              <w:top w:w="80" w:type="dxa"/>
              <w:start w:w="120" w:type="dxa"/>
              <w:bottom w:w="80" w:type="dxa"/>
              <w:end w:w="120" w:type="dxa"/>
            </w:tcMar>
          </w:tcPr>
          <w:p>
            <w:pPr>
              <w:spacing w:before="0" w:after="0" w:line="271" w:lineRule="auto"/>
            </w:pPr>
            <w:r>
              <w:rPr>
                <w:rFonts w:ascii="Calibri" w:hAnsi="Calibri"/>
                <w:color w:val="162236"/>
                <w:sz w:val="16"/>
              </w:rPr>
              <w:t>Privacy</w:t>
            </w:r>
          </w:p>
        </w:tc>
        <w:tc>
          <w:tcPr>
            <w:tcW w:type="dxa" w:w="1100"/>
            <w:vAlign w:val="center"/>
            <w:tcMar>
              <w:top w:w="80" w:type="dxa"/>
              <w:start w:w="120" w:type="dxa"/>
              <w:bottom w:w="80" w:type="dxa"/>
              <w:end w:w="120" w:type="dxa"/>
            </w:tcMar>
          </w:tcPr>
          <w:p>
            <w:pPr>
              <w:spacing w:before="0" w:after="0" w:line="271" w:lineRule="auto"/>
            </w:pPr>
            <w:r>
              <w:rPr>
                <w:rFonts w:ascii="Calibri" w:hAnsi="Calibri"/>
                <w:color w:val="162236"/>
                <w:sz w:val="16"/>
              </w:rPr>
              <w:t>Index</w:t>
            </w:r>
          </w:p>
        </w:tc>
        <w:tc>
          <w:tcPr>
            <w:tcW w:type="dxa" w:w="2960"/>
            <w:vAlign w:val="center"/>
            <w:tcMar>
              <w:top w:w="80" w:type="dxa"/>
              <w:start w:w="120" w:type="dxa"/>
              <w:bottom w:w="80" w:type="dxa"/>
              <w:end w:w="120" w:type="dxa"/>
            </w:tcMar>
          </w:tcPr>
          <w:p>
            <w:pPr>
              <w:spacing w:before="0" w:after="0" w:line="271" w:lineRule="auto"/>
            </w:pPr>
            <w:r>
              <w:rPr>
                <w:rFonts w:ascii="Calibri" w:hAnsi="Calibri"/>
                <w:color w:val="162236"/>
                <w:sz w:val="16"/>
              </w:rPr>
              <w:t>Public privacy notice</w:t>
            </w:r>
          </w:p>
        </w:tc>
      </w:tr>
      <w:tr>
        <w:trPr>
          <w:cantSplit/>
        </w:trPr>
        <w:tc>
          <w:tcPr>
            <w:tcW w:type="dxa" w:w="2900"/>
            <w:vAlign w:val="center"/>
            <w:tcMar>
              <w:top w:w="80" w:type="dxa"/>
              <w:start w:w="120" w:type="dxa"/>
              <w:bottom w:w="80" w:type="dxa"/>
              <w:end w:w="120" w:type="dxa"/>
            </w:tcMar>
          </w:tcPr>
          <w:p>
            <w:pPr>
              <w:spacing w:before="0" w:after="0" w:line="271" w:lineRule="auto"/>
            </w:pPr>
            <w:r>
              <w:rPr>
                <w:rFonts w:ascii="Calibri" w:hAnsi="Calibri"/>
                <w:color w:val="162236"/>
                <w:sz w:val="16"/>
              </w:rPr>
              <w:t>/terms/</w:t>
            </w:r>
          </w:p>
        </w:tc>
        <w:tc>
          <w:tcPr>
            <w:tcW w:type="dxa" w:w="2400"/>
            <w:vAlign w:val="center"/>
            <w:tcMar>
              <w:top w:w="80" w:type="dxa"/>
              <w:start w:w="120" w:type="dxa"/>
              <w:bottom w:w="80" w:type="dxa"/>
              <w:end w:w="120" w:type="dxa"/>
            </w:tcMar>
          </w:tcPr>
          <w:p>
            <w:pPr>
              <w:spacing w:before="0" w:after="0" w:line="271" w:lineRule="auto"/>
            </w:pPr>
            <w:r>
              <w:rPr>
                <w:rFonts w:ascii="Calibri" w:hAnsi="Calibri"/>
                <w:color w:val="162236"/>
                <w:sz w:val="16"/>
              </w:rPr>
              <w:t>Terms</w:t>
            </w:r>
          </w:p>
        </w:tc>
        <w:tc>
          <w:tcPr>
            <w:tcW w:type="dxa" w:w="1100"/>
            <w:vAlign w:val="center"/>
            <w:tcMar>
              <w:top w:w="80" w:type="dxa"/>
              <w:start w:w="120" w:type="dxa"/>
              <w:bottom w:w="80" w:type="dxa"/>
              <w:end w:w="120" w:type="dxa"/>
            </w:tcMar>
          </w:tcPr>
          <w:p>
            <w:pPr>
              <w:spacing w:before="0" w:after="0" w:line="271" w:lineRule="auto"/>
            </w:pPr>
            <w:r>
              <w:rPr>
                <w:rFonts w:ascii="Calibri" w:hAnsi="Calibri"/>
                <w:color w:val="162236"/>
                <w:sz w:val="16"/>
              </w:rPr>
              <w:t>Index</w:t>
            </w:r>
          </w:p>
        </w:tc>
        <w:tc>
          <w:tcPr>
            <w:tcW w:type="dxa" w:w="2960"/>
            <w:vAlign w:val="center"/>
            <w:tcMar>
              <w:top w:w="80" w:type="dxa"/>
              <w:start w:w="120" w:type="dxa"/>
              <w:bottom w:w="80" w:type="dxa"/>
              <w:end w:w="120" w:type="dxa"/>
            </w:tcMar>
          </w:tcPr>
          <w:p>
            <w:pPr>
              <w:spacing w:before="0" w:after="0" w:line="271" w:lineRule="auto"/>
            </w:pPr>
            <w:r>
              <w:rPr>
                <w:rFonts w:ascii="Calibri" w:hAnsi="Calibri"/>
                <w:color w:val="162236"/>
                <w:sz w:val="16"/>
              </w:rPr>
              <w:t>Service terms</w:t>
            </w:r>
          </w:p>
        </w:tc>
      </w:tr>
      <w:tr>
        <w:trPr>
          <w:cantSplit/>
        </w:trPr>
        <w:tc>
          <w:tcPr>
            <w:tcW w:type="dxa" w:w="2900"/>
            <w:vAlign w:val="center"/>
            <w:tcMar>
              <w:top w:w="80" w:type="dxa"/>
              <w:start w:w="120" w:type="dxa"/>
              <w:bottom w:w="80" w:type="dxa"/>
              <w:end w:w="120" w:type="dxa"/>
            </w:tcMar>
          </w:tcPr>
          <w:p>
            <w:pPr>
              <w:spacing w:before="0" w:after="0" w:line="271" w:lineRule="auto"/>
            </w:pPr>
            <w:r>
              <w:rPr>
                <w:rFonts w:ascii="Calibri" w:hAnsi="Calibri"/>
                <w:color w:val="162236"/>
                <w:sz w:val="16"/>
              </w:rPr>
              <w:t>Portal application URLs</w:t>
            </w:r>
          </w:p>
        </w:tc>
        <w:tc>
          <w:tcPr>
            <w:tcW w:type="dxa" w:w="2400"/>
            <w:vAlign w:val="center"/>
            <w:tcMar>
              <w:top w:w="80" w:type="dxa"/>
              <w:start w:w="120" w:type="dxa"/>
              <w:bottom w:w="80" w:type="dxa"/>
              <w:end w:w="120" w:type="dxa"/>
            </w:tcMar>
          </w:tcPr>
          <w:p>
            <w:pPr>
              <w:spacing w:before="0" w:after="0" w:line="271" w:lineRule="auto"/>
            </w:pPr>
            <w:r>
              <w:rPr>
                <w:rFonts w:ascii="Calibri" w:hAnsi="Calibri"/>
                <w:color w:val="162236"/>
                <w:sz w:val="16"/>
              </w:rPr>
              <w:t>Authenticated case workspace</w:t>
            </w:r>
          </w:p>
        </w:tc>
        <w:tc>
          <w:tcPr>
            <w:tcW w:type="dxa" w:w="1100"/>
            <w:vAlign w:val="center"/>
            <w:tcMar>
              <w:top w:w="80" w:type="dxa"/>
              <w:start w:w="120" w:type="dxa"/>
              <w:bottom w:w="80" w:type="dxa"/>
              <w:end w:w="120" w:type="dxa"/>
            </w:tcMar>
          </w:tcPr>
          <w:p>
            <w:pPr>
              <w:spacing w:before="0" w:after="0" w:line="271" w:lineRule="auto"/>
            </w:pPr>
            <w:r>
              <w:rPr>
                <w:rFonts w:ascii="Calibri" w:hAnsi="Calibri"/>
                <w:color w:val="162236"/>
                <w:sz w:val="16"/>
              </w:rPr>
              <w:t>Noindex</w:t>
            </w:r>
          </w:p>
        </w:tc>
        <w:tc>
          <w:tcPr>
            <w:tcW w:type="dxa" w:w="2960"/>
            <w:vAlign w:val="center"/>
            <w:tcMar>
              <w:top w:w="80" w:type="dxa"/>
              <w:start w:w="120" w:type="dxa"/>
              <w:bottom w:w="80" w:type="dxa"/>
              <w:end w:w="120" w:type="dxa"/>
            </w:tcMar>
          </w:tcPr>
          <w:p>
            <w:pPr>
              <w:spacing w:before="0" w:after="0" w:line="271" w:lineRule="auto"/>
            </w:pPr>
            <w:r>
              <w:rPr>
                <w:rFonts w:ascii="Calibri" w:hAnsi="Calibri"/>
                <w:color w:val="162236"/>
                <w:sz w:val="16"/>
              </w:rPr>
              <w:t>Private case and account screens</w:t>
            </w:r>
          </w:p>
        </w:tc>
      </w:tr>
    </w:tbl>
    <w:p>
      <w:pPr>
        <w:spacing w:after="60"/>
      </w:pPr>
    </w:p>
    <w:p>
      <w:pPr>
        <w:pStyle w:val="Heading2"/>
        <w:spacing w:before="280" w:after="140" w:line="252" w:lineRule="auto"/>
        <w:keepNext w:val="1"/>
        <w:pageBreakBefore w:val="0"/>
      </w:pPr>
      <w:r>
        <w:rPr>
          <w:rFonts w:ascii="Calibri" w:hAnsi="Calibri"/>
          <w:b/>
          <w:color w:val="2E74B5"/>
          <w:sz w:val="26"/>
        </w:rPr>
        <w:t>Footer structure</w:t>
      </w:r>
    </w:p>
    <w:p>
      <w:pPr>
        <w:pStyle w:val="ListBullet"/>
        <w:keepLines/>
        <w:spacing w:before="0" w:after="80" w:line="300" w:lineRule="auto"/>
      </w:pPr>
      <w:r>
        <w:rPr>
          <w:rFonts w:ascii="Calibri" w:hAnsi="Calibri"/>
          <w:b/>
          <w:color w:val="162236"/>
          <w:sz w:val="22"/>
        </w:rPr>
        <w:t xml:space="preserve">Clinical workflows. </w:t>
      </w:r>
      <w:r>
        <w:rPr>
          <w:rFonts w:ascii="Calibri" w:hAnsi="Calibri"/>
          <w:color w:val="162236"/>
          <w:sz w:val="22"/>
        </w:rPr>
        <w:t>Guided Implant · Full-Arch Stackable · Zygoma &amp; Pterygoid · Immediate Loading.</w:t>
      </w:r>
    </w:p>
    <w:p>
      <w:pPr>
        <w:pStyle w:val="ListBullet"/>
        <w:keepLines/>
        <w:spacing w:before="0" w:after="80" w:line="300" w:lineRule="auto"/>
      </w:pPr>
      <w:r>
        <w:rPr>
          <w:rFonts w:ascii="Calibri" w:hAnsi="Calibri"/>
          <w:b/>
          <w:color w:val="162236"/>
          <w:sz w:val="22"/>
        </w:rPr>
        <w:t xml:space="preserve">Work with us. </w:t>
      </w:r>
      <w:r>
        <w:rPr>
          <w:rFonts w:ascii="Calibri" w:hAnsi="Calibri"/>
          <w:color w:val="162236"/>
          <w:sz w:val="22"/>
        </w:rPr>
        <w:t>Design Only · Design to Delivery · White Label · Case Portal.</w:t>
      </w:r>
    </w:p>
    <w:p>
      <w:pPr>
        <w:pStyle w:val="ListBullet"/>
        <w:keepLines/>
        <w:spacing w:before="0" w:after="80" w:line="300" w:lineRule="auto"/>
      </w:pPr>
      <w:r>
        <w:rPr>
          <w:rFonts w:ascii="Calibri" w:hAnsi="Calibri"/>
          <w:b/>
          <w:color w:val="162236"/>
          <w:sz w:val="22"/>
        </w:rPr>
        <w:t xml:space="preserve">Case support. </w:t>
      </w:r>
      <w:r>
        <w:rPr>
          <w:rFonts w:ascii="Calibri" w:hAnsi="Calibri"/>
          <w:color w:val="162236"/>
          <w:sz w:val="22"/>
        </w:rPr>
        <w:t>How It Works · Requirements · Discuss a Case · Contact.</w:t>
      </w:r>
    </w:p>
    <w:p>
      <w:pPr>
        <w:pStyle w:val="ListBullet"/>
        <w:keepLines/>
        <w:spacing w:before="0" w:after="80" w:line="300" w:lineRule="auto"/>
      </w:pPr>
      <w:r>
        <w:rPr>
          <w:rFonts w:ascii="Calibri" w:hAnsi="Calibri"/>
          <w:b/>
          <w:color w:val="162236"/>
          <w:sz w:val="22"/>
        </w:rPr>
        <w:t xml:space="preserve">Company. </w:t>
      </w:r>
      <w:r>
        <w:rPr>
          <w:rFonts w:ascii="Calibri" w:hAnsi="Calibri"/>
          <w:color w:val="162236"/>
          <w:sz w:val="22"/>
        </w:rPr>
        <w:t>About · Case Evidence · Careers · Privacy · Terms.</w:t>
      </w:r>
    </w:p>
    <w:p>
      <w:pPr>
        <w:pStyle w:val="ListBullet"/>
        <w:keepLines/>
        <w:spacing w:before="0" w:after="80" w:line="300" w:lineRule="auto"/>
      </w:pPr>
      <w:r>
        <w:rPr>
          <w:rFonts w:ascii="Calibri" w:hAnsi="Calibri"/>
          <w:b/>
          <w:color w:val="162236"/>
          <w:sz w:val="22"/>
        </w:rPr>
        <w:t xml:space="preserve">Education. </w:t>
      </w:r>
      <w:r>
        <w:rPr>
          <w:rFonts w:ascii="Calibri" w:hAnsi="Calibri"/>
          <w:color w:val="162236"/>
          <w:sz w:val="22"/>
        </w:rPr>
        <w:t>SurgiGuideExcellence at PaulSudeep.com as an external destination.</w:t>
      </w:r>
    </w:p>
    <w:p>
      <w:pPr>
        <w:pStyle w:val="Heading1"/>
        <w:spacing w:before="360" w:after="200" w:line="252" w:lineRule="auto"/>
        <w:keepNext w:val="1"/>
        <w:pageBreakBefore w:val="1"/>
      </w:pPr>
      <w:r>
        <w:rPr>
          <w:rFonts w:ascii="Calibri" w:hAnsi="Calibri"/>
          <w:b/>
          <w:color w:val="2E74B5"/>
          <w:sz w:val="32"/>
        </w:rPr>
        <w:t>4. Homepage blueprint</w:t>
      </w:r>
    </w:p>
    <w:p>
      <w:pPr>
        <w:pStyle w:val="Heading2"/>
        <w:spacing w:before="280" w:after="140" w:line="252" w:lineRule="auto"/>
        <w:keepNext w:val="1"/>
        <w:pageBreakBefore w:val="0"/>
      </w:pPr>
      <w:r>
        <w:rPr>
          <w:rFonts w:ascii="Calibri" w:hAnsi="Calibri"/>
          <w:b/>
          <w:color w:val="2E74B5"/>
          <w:sz w:val="26"/>
        </w:rPr>
        <w:t>Above the fold</w:t>
      </w:r>
    </w:p>
    <w:p>
      <w:pPr>
        <w:spacing w:before="0" w:after="80" w:line="300" w:lineRule="auto"/>
        <w:jc w:val="left"/>
      </w:pPr>
      <w:r>
        <w:rPr>
          <w:rFonts w:ascii="Calibri" w:hAnsi="Calibri"/>
          <w:i w:val="0"/>
          <w:color w:val="A67C00"/>
          <w:sz w:val="19"/>
        </w:rPr>
        <w:t>Eyebrow: DIGITAL IMPLANT PLANNING &amp; SURGICAL GUIDE SERVICES</w:t>
      </w:r>
    </w:p>
    <w:p>
      <w:pPr>
        <w:spacing w:before="100" w:after="180" w:line="300" w:lineRule="auto"/>
        <w:ind w:left="202" w:right="144"/>
        <w:shd w:fill="E8EEF5"/>
        <w:pBdr>
          <w:left w:val="single" w:sz="16" w:space="8" w:color="2E74B5"/>
        </w:pBdr>
        <w:keepLines w:val="1"/>
      </w:pPr>
      <w:r>
        <w:rPr>
          <w:rFonts w:ascii="Calibri" w:hAnsi="Calibri"/>
          <w:b/>
          <w:color w:val="2E74B5"/>
          <w:sz w:val="18"/>
        </w:rPr>
        <w:t xml:space="preserve">H1  </w:t>
      </w:r>
      <w:r>
        <w:rPr>
          <w:rFonts w:ascii="Calibri" w:hAnsi="Calibri"/>
          <w:b/>
          <w:color w:val="162236"/>
          <w:sz w:val="22"/>
        </w:rPr>
        <w:t>Plan the outcome. Guide the execution.</w:t>
      </w:r>
    </w:p>
    <w:p>
      <w:pPr>
        <w:spacing w:before="0" w:after="120" w:line="300" w:lineRule="auto"/>
        <w:jc w:val="left"/>
        <w:keepLines w:val="1"/>
      </w:pPr>
      <w:r>
        <w:rPr>
          <w:rFonts w:ascii="Calibri" w:hAnsi="Calibri"/>
          <w:i w:val="0"/>
          <w:color w:val="162236"/>
          <w:sz w:val="22"/>
        </w:rPr>
        <w:t>Begin with the smile you intend to restore. Then coordinate aesthetic and prosthetic design with function, biology, anatomy, implant planning, clinician review and the selected delivery scope. Your treatment plan remains under your approval at every critical stage.</w:t>
      </w:r>
    </w:p>
    <w:p>
      <w:pPr>
        <w:spacing w:before="0" w:after="120" w:line="300" w:lineRule="auto"/>
        <w:jc w:val="left"/>
      </w:pPr>
      <w:r>
        <w:rPr>
          <w:rFonts w:ascii="Calibri" w:hAnsi="Calibri"/>
          <w:b/>
          <w:color w:val="162236"/>
          <w:sz w:val="22"/>
        </w:rPr>
        <w:t>Primary CTA:</w:t>
      </w:r>
      <w:r>
        <w:rPr>
          <w:rFonts w:ascii="Calibri" w:hAnsi="Calibri"/>
          <w:i w:val="0"/>
          <w:color w:val="162236"/>
          <w:sz w:val="22"/>
        </w:rPr>
        <w:t xml:space="preserve"> Start a Case  |  Secondary CTA: Discuss a Complex Case</w:t>
      </w:r>
    </w:p>
    <w:p>
      <w:pPr>
        <w:spacing w:before="0" w:after="120" w:line="300" w:lineRule="auto"/>
        <w:jc w:val="left"/>
      </w:pPr>
      <w:r>
        <w:rPr>
          <w:rFonts w:ascii="Calibri" w:hAnsi="Calibri"/>
          <w:i/>
          <w:color w:val="5F6B7A"/>
          <w:sz w:val="22"/>
        </w:rPr>
        <w:t>Utility link: Already working with us? Open the Case Portal.</w:t>
      </w:r>
    </w:p>
    <w:p>
      <w:pPr>
        <w:spacing w:before="0" w:after="120" w:line="300" w:lineRule="auto"/>
        <w:jc w:val="left"/>
      </w:pPr>
      <w:r>
        <w:rPr>
          <w:rFonts w:ascii="Calibri" w:hAnsi="Calibri"/>
          <w:i w:val="0"/>
          <w:color w:val="5F6B7A"/>
          <w:sz w:val="19"/>
        </w:rPr>
        <w:t>Professional-services note: Services are provided to dental professionals and authorised partners.</w:t>
      </w:r>
    </w:p>
    <w:p>
      <w:pPr>
        <w:pStyle w:val="Heading2"/>
        <w:spacing w:before="280" w:after="140" w:line="252" w:lineRule="auto"/>
        <w:keepNext w:val="1"/>
        <w:pageBreakBefore w:val="0"/>
      </w:pPr>
      <w:r>
        <w:rPr>
          <w:rFonts w:ascii="Calibri" w:hAnsi="Calibri"/>
          <w:b/>
          <w:color w:val="2E74B5"/>
          <w:sz w:val="26"/>
        </w:rPr>
        <w:t>Homepage sequence</w:t>
      </w:r>
    </w:p>
    <w:tbl>
      <w:tblPr>
        <w:tblStyle w:val="TableGrid"/>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450"/>
        <w:gridCol w:w="6910"/>
      </w:tblGrid>
      <w:tr>
        <w:trPr>
          <w:tblHeader w:val="true"/>
          <w:cantSplit/>
        </w:trPr>
        <w:tc>
          <w:tcPr>
            <w:tcW w:type="dxa" w:w="2450"/>
            <w:tcMar>
              <w:top w:w="80" w:type="dxa"/>
              <w:start w:w="120" w:type="dxa"/>
              <w:bottom w:w="80" w:type="dxa"/>
              <w:end w:w="120" w:type="dxa"/>
            </w:tcMar>
            <w:vAlign w:val="center"/>
            <w:shd w:fill="E8EEF5"/>
          </w:tcPr>
          <w:p>
            <w:pPr>
              <w:spacing w:before="0" w:after="0" w:line="264" w:lineRule="auto"/>
            </w:pPr>
            <w:r>
              <w:rPr>
                <w:rFonts w:ascii="Calibri" w:hAnsi="Calibri"/>
                <w:b/>
                <w:color w:val="162236"/>
                <w:sz w:val="17"/>
              </w:rPr>
              <w:t>Section</w:t>
            </w:r>
          </w:p>
        </w:tc>
        <w:tc>
          <w:tcPr>
            <w:tcW w:type="dxa" w:w="6910"/>
            <w:tcMar>
              <w:top w:w="80" w:type="dxa"/>
              <w:start w:w="120" w:type="dxa"/>
              <w:bottom w:w="80" w:type="dxa"/>
              <w:end w:w="120" w:type="dxa"/>
            </w:tcMar>
            <w:vAlign w:val="center"/>
            <w:shd w:fill="E8EEF5"/>
          </w:tcPr>
          <w:p>
            <w:pPr>
              <w:spacing w:before="0" w:after="0" w:line="264" w:lineRule="auto"/>
            </w:pPr>
            <w:r>
              <w:rPr>
                <w:rFonts w:ascii="Calibri" w:hAnsi="Calibri"/>
                <w:b/>
                <w:color w:val="162236"/>
                <w:sz w:val="17"/>
              </w:rPr>
              <w:t>Purpose and content</w:t>
            </w:r>
          </w:p>
        </w:tc>
      </w:tr>
      <w:tr>
        <w:trPr>
          <w:cantSplit/>
        </w:trPr>
        <w:tc>
          <w:tcPr>
            <w:tcW w:type="dxa" w:w="2450"/>
            <w:vAlign w:val="center"/>
            <w:tcMar>
              <w:top w:w="80" w:type="dxa"/>
              <w:start w:w="120" w:type="dxa"/>
              <w:bottom w:w="80" w:type="dxa"/>
              <w:end w:w="120" w:type="dxa"/>
            </w:tcMar>
          </w:tcPr>
          <w:p>
            <w:pPr>
              <w:spacing w:before="0" w:after="0" w:line="271" w:lineRule="auto"/>
            </w:pPr>
            <w:r>
              <w:rPr>
                <w:rFonts w:ascii="Calibri" w:hAnsi="Calibri"/>
                <w:color w:val="162236"/>
                <w:sz w:val="17"/>
              </w:rPr>
              <w:t>1. Hero</w:t>
            </w:r>
          </w:p>
        </w:tc>
        <w:tc>
          <w:tcPr>
            <w:tcW w:type="dxa" w:w="6910"/>
            <w:vAlign w:val="center"/>
            <w:tcMar>
              <w:top w:w="80" w:type="dxa"/>
              <w:start w:w="120" w:type="dxa"/>
              <w:bottom w:w="80" w:type="dxa"/>
              <w:end w:w="120" w:type="dxa"/>
            </w:tcMar>
          </w:tcPr>
          <w:p>
            <w:pPr>
              <w:spacing w:before="0" w:after="0" w:line="271" w:lineRule="auto"/>
            </w:pPr>
            <w:r>
              <w:rPr>
                <w:rFonts w:ascii="Calibri" w:hAnsi="Calibri"/>
                <w:color w:val="162236"/>
                <w:sz w:val="17"/>
              </w:rPr>
              <w:t>State the outcome, the category and the two actions. Use one consented smile/prosthetic reference connected to the real workflow.</w:t>
            </w:r>
          </w:p>
        </w:tc>
      </w:tr>
      <w:tr>
        <w:trPr>
          <w:cantSplit/>
        </w:trPr>
        <w:tc>
          <w:tcPr>
            <w:tcW w:type="dxa" w:w="2450"/>
            <w:vAlign w:val="center"/>
            <w:tcMar>
              <w:top w:w="80" w:type="dxa"/>
              <w:start w:w="120" w:type="dxa"/>
              <w:bottom w:w="80" w:type="dxa"/>
              <w:end w:w="120" w:type="dxa"/>
            </w:tcMar>
          </w:tcPr>
          <w:p>
            <w:pPr>
              <w:spacing w:before="0" w:after="0" w:line="271" w:lineRule="auto"/>
            </w:pPr>
            <w:r>
              <w:rPr>
                <w:rFonts w:ascii="Calibri" w:hAnsi="Calibri"/>
                <w:color w:val="162236"/>
                <w:sz w:val="17"/>
              </w:rPr>
              <w:t>2. Start with the smile</w:t>
            </w:r>
          </w:p>
        </w:tc>
        <w:tc>
          <w:tcPr>
            <w:tcW w:type="dxa" w:w="6910"/>
            <w:vAlign w:val="center"/>
            <w:tcMar>
              <w:top w:w="80" w:type="dxa"/>
              <w:start w:w="120" w:type="dxa"/>
              <w:bottom w:w="80" w:type="dxa"/>
              <w:end w:w="120" w:type="dxa"/>
            </w:tcMar>
          </w:tcPr>
          <w:p>
            <w:pPr>
              <w:spacing w:before="0" w:after="0" w:line="271" w:lineRule="auto"/>
            </w:pPr>
            <w:r>
              <w:rPr>
                <w:rFonts w:ascii="Calibri" w:hAnsi="Calibri"/>
                <w:color w:val="162236"/>
                <w:sz w:val="17"/>
              </w:rPr>
              <w:t>Show the intended aesthetic and prosthetic outcome first; then reveal function, biology, anatomy and execution as the supporting system.</w:t>
            </w:r>
          </w:p>
        </w:tc>
      </w:tr>
      <w:tr>
        <w:trPr>
          <w:cantSplit/>
        </w:trPr>
        <w:tc>
          <w:tcPr>
            <w:tcW w:type="dxa" w:w="2450"/>
            <w:vAlign w:val="center"/>
            <w:tcMar>
              <w:top w:w="80" w:type="dxa"/>
              <w:start w:w="120" w:type="dxa"/>
              <w:bottom w:w="80" w:type="dxa"/>
              <w:end w:w="120" w:type="dxa"/>
            </w:tcMar>
          </w:tcPr>
          <w:p>
            <w:pPr>
              <w:spacing w:before="0" w:after="0" w:line="271" w:lineRule="auto"/>
            </w:pPr>
            <w:r>
              <w:rPr>
                <w:rFonts w:ascii="Calibri" w:hAnsi="Calibri"/>
                <w:color w:val="162236"/>
                <w:sz w:val="17"/>
              </w:rPr>
              <w:t>3. Choose the workflow your case needs</w:t>
            </w:r>
          </w:p>
        </w:tc>
        <w:tc>
          <w:tcPr>
            <w:tcW w:type="dxa" w:w="6910"/>
            <w:vAlign w:val="center"/>
            <w:tcMar>
              <w:top w:w="80" w:type="dxa"/>
              <w:start w:w="120" w:type="dxa"/>
              <w:bottom w:w="80" w:type="dxa"/>
              <w:end w:w="120" w:type="dxa"/>
            </w:tcMar>
          </w:tcPr>
          <w:p>
            <w:pPr>
              <w:spacing w:before="0" w:after="0" w:line="271" w:lineRule="auto"/>
            </w:pPr>
            <w:r>
              <w:rPr>
                <w:rFonts w:ascii="Calibri" w:hAnsi="Calibri"/>
                <w:color w:val="162236"/>
                <w:sz w:val="17"/>
              </w:rPr>
              <w:t>Four case-led cards: Guided Implant · Full-Arch Stackable · Zygoma &amp; Pterygoid · Immediate Loading.</w:t>
            </w:r>
          </w:p>
        </w:tc>
      </w:tr>
      <w:tr>
        <w:trPr>
          <w:cantSplit/>
        </w:trPr>
        <w:tc>
          <w:tcPr>
            <w:tcW w:type="dxa" w:w="2450"/>
            <w:vAlign w:val="center"/>
            <w:tcMar>
              <w:top w:w="80" w:type="dxa"/>
              <w:start w:w="120" w:type="dxa"/>
              <w:bottom w:w="80" w:type="dxa"/>
              <w:end w:w="120" w:type="dxa"/>
            </w:tcMar>
          </w:tcPr>
          <w:p>
            <w:pPr>
              <w:spacing w:before="0" w:after="0" w:line="271" w:lineRule="auto"/>
            </w:pPr>
            <w:r>
              <w:rPr>
                <w:rFonts w:ascii="Calibri" w:hAnsi="Calibri"/>
                <w:color w:val="162236"/>
                <w:sz w:val="17"/>
              </w:rPr>
              <w:t>4. The guide is one part of the workflow</w:t>
            </w:r>
          </w:p>
        </w:tc>
        <w:tc>
          <w:tcPr>
            <w:tcW w:type="dxa" w:w="6910"/>
            <w:vAlign w:val="center"/>
            <w:tcMar>
              <w:top w:w="80" w:type="dxa"/>
              <w:start w:w="120" w:type="dxa"/>
              <w:bottom w:w="80" w:type="dxa"/>
              <w:end w:w="120" w:type="dxa"/>
            </w:tcMar>
          </w:tcPr>
          <w:p>
            <w:pPr>
              <w:spacing w:before="0" w:after="0" w:line="271" w:lineRule="auto"/>
            </w:pPr>
            <w:r>
              <w:rPr>
                <w:rFonts w:ascii="Calibri" w:hAnsi="Calibri"/>
                <w:color w:val="162236"/>
                <w:sz w:val="17"/>
              </w:rPr>
              <w:t>Explain data alignment, prosthetic objective, implant system confirmation, clinician review and production.</w:t>
            </w:r>
          </w:p>
        </w:tc>
      </w:tr>
      <w:tr>
        <w:trPr>
          <w:cantSplit/>
        </w:trPr>
        <w:tc>
          <w:tcPr>
            <w:tcW w:type="dxa" w:w="2450"/>
            <w:vAlign w:val="center"/>
            <w:tcMar>
              <w:top w:w="80" w:type="dxa"/>
              <w:start w:w="120" w:type="dxa"/>
              <w:bottom w:w="80" w:type="dxa"/>
              <w:end w:w="120" w:type="dxa"/>
            </w:tcMar>
          </w:tcPr>
          <w:p>
            <w:pPr>
              <w:spacing w:before="0" w:after="0" w:line="271" w:lineRule="auto"/>
            </w:pPr>
            <w:r>
              <w:rPr>
                <w:rFonts w:ascii="Calibri" w:hAnsi="Calibri"/>
                <w:color w:val="162236"/>
                <w:sz w:val="17"/>
              </w:rPr>
              <w:t>5. Five visible steps</w:t>
            </w:r>
          </w:p>
        </w:tc>
        <w:tc>
          <w:tcPr>
            <w:tcW w:type="dxa" w:w="6910"/>
            <w:vAlign w:val="center"/>
            <w:tcMar>
              <w:top w:w="80" w:type="dxa"/>
              <w:start w:w="120" w:type="dxa"/>
              <w:bottom w:w="80" w:type="dxa"/>
              <w:end w:w="120" w:type="dxa"/>
            </w:tcMar>
          </w:tcPr>
          <w:p>
            <w:pPr>
              <w:spacing w:before="0" w:after="0" w:line="271" w:lineRule="auto"/>
            </w:pPr>
            <w:r>
              <w:rPr>
                <w:rFonts w:ascii="Calibri" w:hAnsi="Calibri"/>
                <w:color w:val="162236"/>
                <w:sz w:val="17"/>
              </w:rPr>
              <w:t>Submit securely · Validate data · Review the plan · Approve production · Track delivery.</w:t>
            </w:r>
          </w:p>
        </w:tc>
      </w:tr>
      <w:tr>
        <w:trPr>
          <w:cantSplit/>
        </w:trPr>
        <w:tc>
          <w:tcPr>
            <w:tcW w:type="dxa" w:w="2450"/>
            <w:vAlign w:val="center"/>
            <w:tcMar>
              <w:top w:w="80" w:type="dxa"/>
              <w:start w:w="120" w:type="dxa"/>
              <w:bottom w:w="80" w:type="dxa"/>
              <w:end w:w="120" w:type="dxa"/>
            </w:tcMar>
          </w:tcPr>
          <w:p>
            <w:pPr>
              <w:spacing w:before="0" w:after="0" w:line="271" w:lineRule="auto"/>
            </w:pPr>
            <w:r>
              <w:rPr>
                <w:rFonts w:ascii="Calibri" w:hAnsi="Calibri"/>
                <w:color w:val="162236"/>
                <w:sz w:val="17"/>
              </w:rPr>
              <w:t>6. Choose how much support you need</w:t>
            </w:r>
          </w:p>
        </w:tc>
        <w:tc>
          <w:tcPr>
            <w:tcW w:type="dxa" w:w="6910"/>
            <w:vAlign w:val="center"/>
            <w:tcMar>
              <w:top w:w="80" w:type="dxa"/>
              <w:start w:w="120" w:type="dxa"/>
              <w:bottom w:w="80" w:type="dxa"/>
              <w:end w:w="120" w:type="dxa"/>
            </w:tcMar>
          </w:tcPr>
          <w:p>
            <w:pPr>
              <w:spacing w:before="0" w:after="0" w:line="271" w:lineRule="auto"/>
            </w:pPr>
            <w:r>
              <w:rPr>
                <w:rFonts w:ascii="Calibri" w:hAnsi="Calibri"/>
                <w:color w:val="162236"/>
                <w:sz w:val="17"/>
              </w:rPr>
              <w:t>Design Only · Design to Delivery · White-Label Partnership.</w:t>
            </w:r>
          </w:p>
        </w:tc>
      </w:tr>
      <w:tr>
        <w:trPr>
          <w:cantSplit/>
        </w:trPr>
        <w:tc>
          <w:tcPr>
            <w:tcW w:type="dxa" w:w="2450"/>
            <w:vAlign w:val="center"/>
            <w:tcMar>
              <w:top w:w="80" w:type="dxa"/>
              <w:start w:w="120" w:type="dxa"/>
              <w:bottom w:w="80" w:type="dxa"/>
              <w:end w:w="120" w:type="dxa"/>
            </w:tcMar>
          </w:tcPr>
          <w:p>
            <w:pPr>
              <w:spacing w:before="0" w:after="0" w:line="271" w:lineRule="auto"/>
            </w:pPr>
            <w:r>
              <w:rPr>
                <w:rFonts w:ascii="Calibri" w:hAnsi="Calibri"/>
                <w:color w:val="162236"/>
                <w:sz w:val="17"/>
              </w:rPr>
              <w:t>7. Built for global practice collaboration</w:t>
            </w:r>
          </w:p>
        </w:tc>
        <w:tc>
          <w:tcPr>
            <w:tcW w:type="dxa" w:w="6910"/>
            <w:vAlign w:val="center"/>
            <w:tcMar>
              <w:top w:w="80" w:type="dxa"/>
              <w:start w:w="120" w:type="dxa"/>
              <w:bottom w:w="80" w:type="dxa"/>
              <w:end w:w="120" w:type="dxa"/>
            </w:tcMar>
          </w:tcPr>
          <w:p>
            <w:pPr>
              <w:spacing w:before="0" w:after="0" w:line="271" w:lineRule="auto"/>
            </w:pPr>
            <w:r>
              <w:rPr>
                <w:rFonts w:ascii="Calibri" w:hAnsi="Calibri"/>
                <w:color w:val="162236"/>
                <w:sz w:val="17"/>
              </w:rPr>
              <w:t>Clarify remote review, responsibility split, local-production handoff, coordinated delivery and operational evidence gates.</w:t>
            </w:r>
          </w:p>
        </w:tc>
      </w:tr>
      <w:tr>
        <w:trPr>
          <w:cantSplit/>
        </w:trPr>
        <w:tc>
          <w:tcPr>
            <w:tcW w:type="dxa" w:w="2450"/>
            <w:vAlign w:val="center"/>
            <w:tcMar>
              <w:top w:w="80" w:type="dxa"/>
              <w:start w:w="120" w:type="dxa"/>
              <w:bottom w:w="80" w:type="dxa"/>
              <w:end w:w="120" w:type="dxa"/>
            </w:tcMar>
          </w:tcPr>
          <w:p>
            <w:pPr>
              <w:spacing w:before="0" w:after="0" w:line="271" w:lineRule="auto"/>
            </w:pPr>
            <w:r>
              <w:rPr>
                <w:rFonts w:ascii="Calibri" w:hAnsi="Calibri"/>
                <w:color w:val="162236"/>
                <w:sz w:val="17"/>
              </w:rPr>
              <w:t>8. Complex-case depth</w:t>
            </w:r>
          </w:p>
        </w:tc>
        <w:tc>
          <w:tcPr>
            <w:tcW w:type="dxa" w:w="6910"/>
            <w:vAlign w:val="center"/>
            <w:tcMar>
              <w:top w:w="80" w:type="dxa"/>
              <w:start w:w="120" w:type="dxa"/>
              <w:bottom w:w="80" w:type="dxa"/>
              <w:end w:w="120" w:type="dxa"/>
            </w:tcMar>
          </w:tcPr>
          <w:p>
            <w:pPr>
              <w:spacing w:before="0" w:after="0" w:line="271" w:lineRule="auto"/>
            </w:pPr>
            <w:r>
              <w:rPr>
                <w:rFonts w:ascii="Calibri" w:hAnsi="Calibri"/>
                <w:color w:val="162236"/>
                <w:sz w:val="17"/>
              </w:rPr>
              <w:t>Show one real full-arch or advanced workflow with the sequence visible.</w:t>
            </w:r>
          </w:p>
        </w:tc>
      </w:tr>
      <w:tr>
        <w:trPr>
          <w:cantSplit/>
        </w:trPr>
        <w:tc>
          <w:tcPr>
            <w:tcW w:type="dxa" w:w="2450"/>
            <w:vAlign w:val="center"/>
            <w:tcMar>
              <w:top w:w="80" w:type="dxa"/>
              <w:start w:w="120" w:type="dxa"/>
              <w:bottom w:w="80" w:type="dxa"/>
              <w:end w:w="120" w:type="dxa"/>
            </w:tcMar>
          </w:tcPr>
          <w:p>
            <w:pPr>
              <w:spacing w:before="0" w:after="0" w:line="271" w:lineRule="auto"/>
            </w:pPr>
            <w:r>
              <w:rPr>
                <w:rFonts w:ascii="Calibri" w:hAnsi="Calibri"/>
                <w:color w:val="162236"/>
                <w:sz w:val="17"/>
              </w:rPr>
              <w:t>9. Evidence, not adjectives</w:t>
            </w:r>
          </w:p>
        </w:tc>
        <w:tc>
          <w:tcPr>
            <w:tcW w:type="dxa" w:w="6910"/>
            <w:vAlign w:val="center"/>
            <w:tcMar>
              <w:top w:w="80" w:type="dxa"/>
              <w:start w:w="120" w:type="dxa"/>
              <w:bottom w:w="80" w:type="dxa"/>
              <w:end w:w="120" w:type="dxa"/>
            </w:tcMar>
          </w:tcPr>
          <w:p>
            <w:pPr>
              <w:spacing w:before="0" w:after="0" w:line="271" w:lineRule="auto"/>
            </w:pPr>
            <w:r>
              <w:rPr>
                <w:rFonts w:ascii="Calibri" w:hAnsi="Calibri"/>
                <w:color w:val="162236"/>
                <w:sz w:val="17"/>
              </w:rPr>
              <w:t>Verified figures, anonymised case evidence, named partners and reviewer credentials.</w:t>
            </w:r>
          </w:p>
        </w:tc>
      </w:tr>
      <w:tr>
        <w:trPr>
          <w:cantSplit/>
        </w:trPr>
        <w:tc>
          <w:tcPr>
            <w:tcW w:type="dxa" w:w="2450"/>
            <w:vAlign w:val="center"/>
            <w:tcMar>
              <w:top w:w="80" w:type="dxa"/>
              <w:start w:w="120" w:type="dxa"/>
              <w:bottom w:w="80" w:type="dxa"/>
              <w:end w:w="120" w:type="dxa"/>
            </w:tcMar>
          </w:tcPr>
          <w:p>
            <w:pPr>
              <w:spacing w:before="0" w:after="0" w:line="271" w:lineRule="auto"/>
            </w:pPr>
            <w:r>
              <w:rPr>
                <w:rFonts w:ascii="Calibri" w:hAnsi="Calibri"/>
                <w:color w:val="162236"/>
                <w:sz w:val="17"/>
              </w:rPr>
              <w:t>10. Case requirements</w:t>
            </w:r>
          </w:p>
        </w:tc>
        <w:tc>
          <w:tcPr>
            <w:tcW w:type="dxa" w:w="6910"/>
            <w:vAlign w:val="center"/>
            <w:tcMar>
              <w:top w:w="80" w:type="dxa"/>
              <w:start w:w="120" w:type="dxa"/>
              <w:bottom w:w="80" w:type="dxa"/>
              <w:end w:w="120" w:type="dxa"/>
            </w:tcMar>
          </w:tcPr>
          <w:p>
            <w:pPr>
              <w:spacing w:before="0" w:after="0" w:line="271" w:lineRule="auto"/>
            </w:pPr>
            <w:r>
              <w:rPr>
                <w:rFonts w:ascii="Calibri" w:hAnsi="Calibri"/>
                <w:color w:val="162236"/>
                <w:sz w:val="17"/>
              </w:rPr>
              <w:t>Show the minimum files and link to the full requirements page.</w:t>
            </w:r>
          </w:p>
        </w:tc>
      </w:tr>
      <w:tr>
        <w:trPr>
          <w:cantSplit/>
        </w:trPr>
        <w:tc>
          <w:tcPr>
            <w:tcW w:type="dxa" w:w="2450"/>
            <w:vAlign w:val="center"/>
            <w:tcMar>
              <w:top w:w="80" w:type="dxa"/>
              <w:start w:w="120" w:type="dxa"/>
              <w:bottom w:w="80" w:type="dxa"/>
              <w:end w:w="120" w:type="dxa"/>
            </w:tcMar>
          </w:tcPr>
          <w:p>
            <w:pPr>
              <w:spacing w:before="0" w:after="0" w:line="271" w:lineRule="auto"/>
            </w:pPr>
            <w:r>
              <w:rPr>
                <w:rFonts w:ascii="Calibri" w:hAnsi="Calibri"/>
                <w:color w:val="162236"/>
                <w:sz w:val="17"/>
              </w:rPr>
              <w:t>11. Final action</w:t>
            </w:r>
          </w:p>
        </w:tc>
        <w:tc>
          <w:tcPr>
            <w:tcW w:type="dxa" w:w="6910"/>
            <w:vAlign w:val="center"/>
            <w:tcMar>
              <w:top w:w="80" w:type="dxa"/>
              <w:start w:w="120" w:type="dxa"/>
              <w:bottom w:w="80" w:type="dxa"/>
              <w:end w:w="120" w:type="dxa"/>
            </w:tcMar>
          </w:tcPr>
          <w:p>
            <w:pPr>
              <w:spacing w:before="0" w:after="0" w:line="271" w:lineRule="auto"/>
            </w:pPr>
            <w:r>
              <w:rPr>
                <w:rFonts w:ascii="Calibri" w:hAnsi="Calibri"/>
                <w:color w:val="162236"/>
                <w:sz w:val="17"/>
              </w:rPr>
              <w:t>Start a Case or Discuss a Complex Case. Returning users open the portal.</w:t>
            </w:r>
          </w:p>
        </w:tc>
      </w:tr>
    </w:tbl>
    <w:p>
      <w:pPr>
        <w:spacing w:after="60"/>
      </w:pPr>
    </w:p>
    <w:p>
      <w:pPr>
        <w:pStyle w:val="Heading2"/>
        <w:spacing w:before="280" w:after="140" w:line="252" w:lineRule="auto"/>
        <w:keepNext w:val="1"/>
        <w:pageBreakBefore w:val="0"/>
      </w:pPr>
      <w:r>
        <w:rPr>
          <w:rFonts w:ascii="Calibri" w:hAnsi="Calibri"/>
          <w:b/>
          <w:color w:val="2E74B5"/>
          <w:sz w:val="26"/>
        </w:rPr>
        <w:t>Suggested section copy</w:t>
      </w:r>
    </w:p>
    <w:p>
      <w:pPr>
        <w:pStyle w:val="Heading3"/>
        <w:spacing w:before="200" w:after="100" w:line="252" w:lineRule="auto"/>
        <w:keepNext w:val="1"/>
        <w:pageBreakBefore w:val="0"/>
      </w:pPr>
      <w:r>
        <w:rPr>
          <w:rFonts w:ascii="Calibri" w:hAnsi="Calibri"/>
          <w:b/>
          <w:color w:val="1F4D78"/>
          <w:sz w:val="24"/>
        </w:rPr>
        <w:t>Start with the smile you intend to restore</w:t>
      </w:r>
    </w:p>
    <w:p>
      <w:pPr>
        <w:spacing w:before="0" w:after="120" w:line="300" w:lineRule="auto"/>
        <w:jc w:val="left"/>
      </w:pPr>
      <w:r>
        <w:rPr>
          <w:rFonts w:ascii="Calibri" w:hAnsi="Calibri"/>
          <w:i w:val="0"/>
          <w:color w:val="162236"/>
          <w:sz w:val="22"/>
        </w:rPr>
        <w:t>The smile establishes the destination. Tooth position, proportion, display, lip support and prosthetic form shape the aesthetic objective. Function, occlusion, biology, available anatomy and implant position then determine how that objective can be supported responsibly.</w:t>
      </w:r>
    </w:p>
    <w:p>
      <w:pPr>
        <w:spacing w:before="100" w:after="180" w:line="300" w:lineRule="auto"/>
        <w:ind w:left="202" w:right="144"/>
        <w:shd w:fill="E8EEF5"/>
        <w:pBdr>
          <w:left w:val="single" w:sz="16" w:space="8" w:color="2E74B5"/>
        </w:pBdr>
        <w:keepLines w:val="1"/>
      </w:pPr>
      <w:r>
        <w:rPr>
          <w:rFonts w:ascii="Calibri" w:hAnsi="Calibri"/>
          <w:b/>
          <w:color w:val="2E74B5"/>
          <w:sz w:val="18"/>
        </w:rPr>
        <w:t xml:space="preserve">DESIGN ORDER  </w:t>
      </w:r>
      <w:r>
        <w:rPr>
          <w:rFonts w:ascii="Calibri" w:hAnsi="Calibri"/>
          <w:b/>
          <w:color w:val="162236"/>
          <w:sz w:val="22"/>
        </w:rPr>
        <w:t>Smile and facial reference -&gt; aesthetic and prosthetic setup -&gt; functional and biological requirements -&gt; anatomy and implant plan -&gt; guided execution.</w:t>
      </w:r>
    </w:p>
    <w:p>
      <w:pPr>
        <w:pStyle w:val="Heading3"/>
        <w:spacing w:before="200" w:after="100" w:line="252" w:lineRule="auto"/>
        <w:keepNext w:val="1"/>
        <w:pageBreakBefore w:val="0"/>
      </w:pPr>
      <w:r>
        <w:rPr>
          <w:rFonts w:ascii="Calibri" w:hAnsi="Calibri"/>
          <w:b/>
          <w:color w:val="1F4D78"/>
          <w:sz w:val="24"/>
        </w:rPr>
        <w:t>Choose the workflow your case needs</w:t>
      </w:r>
    </w:p>
    <w:p>
      <w:pPr>
        <w:pStyle w:val="ListBullet"/>
        <w:keepLines/>
        <w:spacing w:before="0" w:after="80" w:line="300" w:lineRule="auto"/>
      </w:pPr>
      <w:r>
        <w:rPr>
          <w:rFonts w:ascii="Calibri" w:hAnsi="Calibri"/>
          <w:b/>
          <w:color w:val="162236"/>
          <w:sz w:val="22"/>
        </w:rPr>
        <w:t xml:space="preserve">Guided Implant Workflow. </w:t>
      </w:r>
      <w:r>
        <w:rPr>
          <w:rFonts w:ascii="Calibri" w:hAnsi="Calibri"/>
          <w:color w:val="162236"/>
          <w:sz w:val="22"/>
        </w:rPr>
        <w:t>Restoration-led planning and surgical guide support for single and multiple implant cases.</w:t>
      </w:r>
    </w:p>
    <w:p>
      <w:pPr>
        <w:pStyle w:val="ListBullet"/>
        <w:keepLines/>
        <w:spacing w:before="0" w:after="80" w:line="300" w:lineRule="auto"/>
      </w:pPr>
      <w:r>
        <w:rPr>
          <w:rFonts w:ascii="Calibri" w:hAnsi="Calibri"/>
          <w:b/>
          <w:color w:val="162236"/>
          <w:sz w:val="22"/>
        </w:rPr>
        <w:t xml:space="preserve">Full-Arch Stackable Workflow. </w:t>
      </w:r>
      <w:r>
        <w:rPr>
          <w:rFonts w:ascii="Calibri" w:hAnsi="Calibri"/>
          <w:color w:val="162236"/>
          <w:sz w:val="22"/>
        </w:rPr>
        <w:t>A coordinated sequence for bone reduction, implant placement, MUA positioning and provisional delivery.</w:t>
      </w:r>
    </w:p>
    <w:p>
      <w:pPr>
        <w:pStyle w:val="ListBullet"/>
        <w:keepLines/>
        <w:spacing w:before="0" w:after="80" w:line="300" w:lineRule="auto"/>
      </w:pPr>
      <w:r>
        <w:rPr>
          <w:rFonts w:ascii="Calibri" w:hAnsi="Calibri"/>
          <w:b/>
          <w:color w:val="162236"/>
          <w:sz w:val="22"/>
        </w:rPr>
        <w:t xml:space="preserve">Zygoma &amp; Pterygoid Planning. </w:t>
      </w:r>
      <w:r>
        <w:rPr>
          <w:rFonts w:ascii="Calibri" w:hAnsi="Calibri"/>
          <w:color w:val="162236"/>
          <w:sz w:val="22"/>
        </w:rPr>
        <w:t>Advanced planning support where anatomy, implant trajectory and prosthetic intent must be reviewed together.</w:t>
      </w:r>
    </w:p>
    <w:p>
      <w:pPr>
        <w:pStyle w:val="ListBullet"/>
        <w:keepLines/>
        <w:spacing w:before="0" w:after="80" w:line="300" w:lineRule="auto"/>
      </w:pPr>
      <w:r>
        <w:rPr>
          <w:rFonts w:ascii="Calibri" w:hAnsi="Calibri"/>
          <w:b/>
          <w:color w:val="162236"/>
          <w:sz w:val="22"/>
        </w:rPr>
        <w:t xml:space="preserve">Immediate-Loading Workflow. </w:t>
      </w:r>
      <w:r>
        <w:rPr>
          <w:rFonts w:ascii="Calibri" w:hAnsi="Calibri"/>
          <w:color w:val="162236"/>
          <w:sz w:val="22"/>
        </w:rPr>
        <w:t>Align the approved plan, guide and provisional reference before the surgical appointment.</w:t>
      </w:r>
    </w:p>
    <w:p>
      <w:pPr>
        <w:pStyle w:val="Heading3"/>
        <w:spacing w:before="200" w:after="100" w:line="252" w:lineRule="auto"/>
        <w:keepNext w:val="1"/>
        <w:pageBreakBefore w:val="0"/>
      </w:pPr>
      <w:r>
        <w:rPr>
          <w:rFonts w:ascii="Calibri" w:hAnsi="Calibri"/>
          <w:b/>
          <w:color w:val="1F4D78"/>
          <w:sz w:val="24"/>
        </w:rPr>
        <w:t>The guide is one part of the workflow</w:t>
      </w:r>
    </w:p>
    <w:p>
      <w:pPr>
        <w:spacing w:before="0" w:after="120" w:line="300" w:lineRule="auto"/>
        <w:jc w:val="left"/>
      </w:pPr>
      <w:r>
        <w:rPr>
          <w:rFonts w:ascii="Calibri" w:hAnsi="Calibri"/>
          <w:i w:val="0"/>
          <w:color w:val="162236"/>
          <w:sz w:val="22"/>
        </w:rPr>
        <w:t>A usable guide begins before guide design. The patient data must align. The planned restoration must be visible. The implant system and drilling protocol must be correctly specified. The clinician must review the plan. We coordinate those steps before production begins.</w:t>
      </w:r>
    </w:p>
    <w:p>
      <w:pPr>
        <w:pStyle w:val="Heading3"/>
        <w:spacing w:before="200" w:after="100" w:line="252" w:lineRule="auto"/>
        <w:keepNext w:val="1"/>
        <w:pageBreakBefore w:val="0"/>
      </w:pPr>
      <w:r>
        <w:rPr>
          <w:rFonts w:ascii="Calibri" w:hAnsi="Calibri"/>
          <w:b/>
          <w:color w:val="1F4D78"/>
          <w:sz w:val="24"/>
        </w:rPr>
        <w:t>Five visible steps</w:t>
      </w:r>
    </w:p>
    <w:p>
      <w:pPr>
        <w:keepLines/>
        <w:spacing w:before="0" w:after="100" w:line="300" w:lineRule="auto"/>
        <w:numPr>
          <w:ilvl w:val="0"/>
          <w:numId w:val="11"/>
        </w:numPr>
      </w:pPr>
      <w:r>
        <w:rPr>
          <w:rFonts w:ascii="Calibri" w:hAnsi="Calibri"/>
          <w:b/>
          <w:color w:val="162236"/>
          <w:sz w:val="22"/>
        </w:rPr>
        <w:t xml:space="preserve">Submit securely. </w:t>
      </w:r>
      <w:r>
        <w:rPr>
          <w:rFonts w:ascii="Calibri" w:hAnsi="Calibri"/>
          <w:color w:val="162236"/>
          <w:sz w:val="22"/>
        </w:rPr>
        <w:t>Create a practice account and upload case files inside the Case Portal.</w:t>
      </w:r>
    </w:p>
    <w:p>
      <w:pPr>
        <w:keepLines/>
        <w:spacing w:before="0" w:after="100" w:line="300" w:lineRule="auto"/>
        <w:numPr>
          <w:ilvl w:val="0"/>
          <w:numId w:val="11"/>
        </w:numPr>
      </w:pPr>
      <w:r>
        <w:rPr>
          <w:rFonts w:ascii="Calibri" w:hAnsi="Calibri"/>
          <w:b/>
          <w:color w:val="162236"/>
          <w:sz w:val="22"/>
        </w:rPr>
        <w:t xml:space="preserve">Validate the data. </w:t>
      </w:r>
      <w:r>
        <w:rPr>
          <w:rFonts w:ascii="Calibri" w:hAnsi="Calibri"/>
          <w:color w:val="162236"/>
          <w:sz w:val="22"/>
        </w:rPr>
        <w:t>We check file completeness, scan alignment and the information needed for the selected workflow.</w:t>
      </w:r>
    </w:p>
    <w:p>
      <w:pPr>
        <w:keepLines/>
        <w:spacing w:before="0" w:after="100" w:line="300" w:lineRule="auto"/>
        <w:numPr>
          <w:ilvl w:val="0"/>
          <w:numId w:val="11"/>
        </w:numPr>
      </w:pPr>
      <w:r>
        <w:rPr>
          <w:rFonts w:ascii="Calibri" w:hAnsi="Calibri"/>
          <w:b/>
          <w:color w:val="162236"/>
          <w:sz w:val="22"/>
        </w:rPr>
        <w:t xml:space="preserve">Review the plan. </w:t>
      </w:r>
      <w:r>
        <w:rPr>
          <w:rFonts w:ascii="Calibri" w:hAnsi="Calibri"/>
          <w:color w:val="162236"/>
          <w:sz w:val="22"/>
        </w:rPr>
        <w:t>The proposed plan and relevant references are shared for clinician review.</w:t>
      </w:r>
    </w:p>
    <w:p>
      <w:pPr>
        <w:keepLines/>
        <w:spacing w:before="0" w:after="100" w:line="300" w:lineRule="auto"/>
        <w:numPr>
          <w:ilvl w:val="0"/>
          <w:numId w:val="11"/>
        </w:numPr>
      </w:pPr>
      <w:r>
        <w:rPr>
          <w:rFonts w:ascii="Calibri" w:hAnsi="Calibri"/>
          <w:b/>
          <w:color w:val="162236"/>
          <w:sz w:val="22"/>
        </w:rPr>
        <w:t xml:space="preserve">Approve production. </w:t>
      </w:r>
      <w:r>
        <w:rPr>
          <w:rFonts w:ascii="Calibri" w:hAnsi="Calibri"/>
          <w:color w:val="162236"/>
          <w:sz w:val="22"/>
        </w:rPr>
        <w:t>Production begins only after the required approval and scope confirmation.</w:t>
      </w:r>
    </w:p>
    <w:p>
      <w:pPr>
        <w:keepLines/>
        <w:spacing w:before="0" w:after="100" w:line="300" w:lineRule="auto"/>
        <w:numPr>
          <w:ilvl w:val="0"/>
          <w:numId w:val="11"/>
        </w:numPr>
      </w:pPr>
      <w:r>
        <w:rPr>
          <w:rFonts w:ascii="Calibri" w:hAnsi="Calibri"/>
          <w:b/>
          <w:color w:val="162236"/>
          <w:sz w:val="22"/>
        </w:rPr>
        <w:t xml:space="preserve">Track delivery. </w:t>
      </w:r>
      <w:r>
        <w:rPr>
          <w:rFonts w:ascii="Calibri" w:hAnsi="Calibri"/>
          <w:color w:val="162236"/>
          <w:sz w:val="22"/>
        </w:rPr>
        <w:t>Follow the case status and receive files, dispatch details or completion information in one place.</w:t>
      </w:r>
    </w:p>
    <w:p>
      <w:pPr>
        <w:pStyle w:val="Heading3"/>
        <w:spacing w:before="200" w:after="100" w:line="252" w:lineRule="auto"/>
        <w:keepNext w:val="1"/>
        <w:pageBreakBefore w:val="0"/>
      </w:pPr>
      <w:r>
        <w:rPr>
          <w:rFonts w:ascii="Calibri" w:hAnsi="Calibri"/>
          <w:b/>
          <w:color w:val="1F4D78"/>
          <w:sz w:val="24"/>
        </w:rPr>
        <w:t>Built for global practice collaboration</w:t>
      </w:r>
    </w:p>
    <w:p>
      <w:pPr>
        <w:spacing w:before="0" w:after="120" w:line="300" w:lineRule="auto"/>
        <w:jc w:val="left"/>
      </w:pPr>
      <w:r>
        <w:rPr>
          <w:rFonts w:ascii="Calibri" w:hAnsi="Calibri"/>
          <w:i w:val="0"/>
          <w:color w:val="162236"/>
          <w:sz w:val="22"/>
        </w:rPr>
        <w:t>A practice should be able to choose design-only support for validated local production, coordinate design and delivery through one case, or establish a white-label workflow. Accepted file formats, review windows, implant-system compatibility, production responsibility, service regions, currencies, shipping conditions and data safeguards must be confirmed before they are promoted.</w:t>
      </w:r>
    </w:p>
    <w:p>
      <w:pPr>
        <w:spacing w:before="100" w:after="180" w:line="300" w:lineRule="auto"/>
        <w:ind w:left="202" w:right="144"/>
        <w:shd w:fill="F4F6F9"/>
        <w:pBdr>
          <w:left w:val="single" w:sz="16" w:space="8" w:color="1F4D78"/>
        </w:pBdr>
        <w:keepLines w:val="1"/>
      </w:pPr>
      <w:r>
        <w:rPr>
          <w:rFonts w:ascii="Calibri" w:hAnsi="Calibri"/>
          <w:b/>
          <w:color w:val="1F4D78"/>
          <w:sz w:val="18"/>
        </w:rPr>
        <w:t xml:space="preserve">GLOBAL PROOF RULE  </w:t>
      </w:r>
      <w:r>
        <w:rPr>
          <w:rFonts w:ascii="Calibri" w:hAnsi="Calibri"/>
          <w:b/>
          <w:color w:val="162236"/>
          <w:sz w:val="22"/>
        </w:rPr>
        <w:t>Do not use a flag wall or a vague worldwide claim. Show the operating details that let an international practice judge whether the workflow fits.</w:t>
      </w:r>
    </w:p>
    <w:p>
      <w:pPr>
        <w:pStyle w:val="Heading3"/>
        <w:spacing w:before="200" w:after="100" w:line="252" w:lineRule="auto"/>
        <w:keepNext w:val="1"/>
        <w:pageBreakBefore w:val="0"/>
      </w:pPr>
      <w:r>
        <w:rPr>
          <w:rFonts w:ascii="Calibri" w:hAnsi="Calibri"/>
          <w:b/>
          <w:color w:val="1F4D78"/>
          <w:sz w:val="24"/>
        </w:rPr>
        <w:t>Complex-case bridge</w:t>
      </w:r>
    </w:p>
    <w:p>
      <w:pPr>
        <w:spacing w:before="100" w:after="180" w:line="300" w:lineRule="auto"/>
        <w:ind w:left="202" w:right="144"/>
        <w:shd w:fill="F2F4F7"/>
        <w:pBdr>
          <w:left w:val="single" w:sz="16" w:space="8" w:color="1F4D78"/>
        </w:pBdr>
        <w:keepLines w:val="1"/>
      </w:pPr>
      <w:r>
        <w:rPr>
          <w:rFonts w:ascii="Calibri" w:hAnsi="Calibri"/>
          <w:b/>
          <w:color w:val="1F4D78"/>
          <w:sz w:val="18"/>
        </w:rPr>
        <w:t xml:space="preserve">SECTION HEADLINE  </w:t>
      </w:r>
      <w:r>
        <w:rPr>
          <w:rFonts w:ascii="Calibri" w:hAnsi="Calibri"/>
          <w:b/>
          <w:color w:val="162236"/>
          <w:sz w:val="22"/>
        </w:rPr>
        <w:t>Bring us the cases that need more than a template.</w:t>
      </w:r>
    </w:p>
    <w:p>
      <w:pPr>
        <w:spacing w:before="0" w:after="120" w:line="300" w:lineRule="auto"/>
        <w:jc w:val="left"/>
      </w:pPr>
      <w:r>
        <w:rPr>
          <w:rFonts w:ascii="Calibri" w:hAnsi="Calibri"/>
          <w:i w:val="0"/>
          <w:color w:val="162236"/>
          <w:sz w:val="22"/>
        </w:rPr>
        <w:t>Full-arch, immediate-loading, pterygoid and zygomatic cases involve more than implant coordinates. They require a shared understanding of the restorative goal, support strategy, surgical sequence and approval points. Discuss the workflow before uploading the complete case if the scope is still being defined.</w:t>
      </w:r>
    </w:p>
    <w:p>
      <w:pPr>
        <w:pStyle w:val="Heading1"/>
        <w:spacing w:before="360" w:after="200" w:line="252" w:lineRule="auto"/>
        <w:keepNext w:val="1"/>
        <w:pageBreakBefore w:val="0"/>
      </w:pPr>
      <w:r>
        <w:rPr>
          <w:rFonts w:ascii="Calibri" w:hAnsi="Calibri"/>
          <w:b/>
          <w:color w:val="2E74B5"/>
          <w:sz w:val="32"/>
        </w:rPr>
        <w:t>5. Page-level SEO map</w:t>
      </w:r>
    </w:p>
    <w:p>
      <w:pPr>
        <w:spacing w:before="0" w:after="120" w:line="300" w:lineRule="auto"/>
        <w:jc w:val="left"/>
      </w:pPr>
      <w:r>
        <w:rPr>
          <w:rFonts w:ascii="Calibri" w:hAnsi="Calibri"/>
          <w:i w:val="0"/>
          <w:color w:val="162236"/>
          <w:sz w:val="22"/>
        </w:rPr>
        <w:t>Each important search intent has one primary page. Keywords inform the page, but the page is written for the dentist’s decision. This prevents keyword stuffing and reduces internal competition between similar pages.</w:t>
      </w:r>
    </w:p>
    <w:tbl>
      <w:tblPr>
        <w:tblStyle w:val="TableGrid"/>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1900"/>
        <w:gridCol w:w="3300"/>
        <w:gridCol w:w="4160"/>
      </w:tblGrid>
      <w:tr>
        <w:trPr>
          <w:tblHeader w:val="true"/>
          <w:cantSplit/>
        </w:trPr>
        <w:tc>
          <w:tcPr>
            <w:tcW w:type="dxa" w:w="1900"/>
            <w:tcMar>
              <w:top w:w="80" w:type="dxa"/>
              <w:start w:w="120" w:type="dxa"/>
              <w:bottom w:w="80" w:type="dxa"/>
              <w:end w:w="120" w:type="dxa"/>
            </w:tcMar>
            <w:vAlign w:val="center"/>
            <w:shd w:fill="E8EEF5"/>
          </w:tcPr>
          <w:p>
            <w:pPr>
              <w:spacing w:before="0" w:after="0" w:line="264" w:lineRule="auto"/>
            </w:pPr>
            <w:r>
              <w:rPr>
                <w:rFonts w:ascii="Calibri" w:hAnsi="Calibri"/>
                <w:b/>
                <w:color w:val="162236"/>
                <w:sz w:val="16"/>
              </w:rPr>
              <w:t>Page</w:t>
            </w:r>
          </w:p>
        </w:tc>
        <w:tc>
          <w:tcPr>
            <w:tcW w:type="dxa" w:w="3300"/>
            <w:tcMar>
              <w:top w:w="80" w:type="dxa"/>
              <w:start w:w="120" w:type="dxa"/>
              <w:bottom w:w="80" w:type="dxa"/>
              <w:end w:w="120" w:type="dxa"/>
            </w:tcMar>
            <w:vAlign w:val="center"/>
            <w:shd w:fill="E8EEF5"/>
          </w:tcPr>
          <w:p>
            <w:pPr>
              <w:spacing w:before="0" w:after="0" w:line="264" w:lineRule="auto"/>
            </w:pPr>
            <w:r>
              <w:rPr>
                <w:rFonts w:ascii="Calibri" w:hAnsi="Calibri"/>
                <w:b/>
                <w:color w:val="162236"/>
                <w:sz w:val="16"/>
              </w:rPr>
              <w:t>Primary search intent</w:t>
            </w:r>
          </w:p>
        </w:tc>
        <w:tc>
          <w:tcPr>
            <w:tcW w:type="dxa" w:w="4160"/>
            <w:tcMar>
              <w:top w:w="80" w:type="dxa"/>
              <w:start w:w="120" w:type="dxa"/>
              <w:bottom w:w="80" w:type="dxa"/>
              <w:end w:w="120" w:type="dxa"/>
            </w:tcMar>
            <w:vAlign w:val="center"/>
            <w:shd w:fill="E8EEF5"/>
          </w:tcPr>
          <w:p>
            <w:pPr>
              <w:spacing w:before="0" w:after="0" w:line="264" w:lineRule="auto"/>
            </w:pPr>
            <w:r>
              <w:rPr>
                <w:rFonts w:ascii="Calibri" w:hAnsi="Calibri"/>
                <w:b/>
                <w:color w:val="162236"/>
                <w:sz w:val="16"/>
              </w:rPr>
              <w:t>Recommended SEO title</w:t>
            </w:r>
          </w:p>
        </w:tc>
      </w:tr>
      <w:tr>
        <w:trPr>
          <w:cantSplit/>
        </w:trPr>
        <w:tc>
          <w:tcPr>
            <w:tcW w:type="dxa" w:w="1900"/>
            <w:vAlign w:val="center"/>
            <w:tcMar>
              <w:top w:w="80" w:type="dxa"/>
              <w:start w:w="120" w:type="dxa"/>
              <w:bottom w:w="80" w:type="dxa"/>
              <w:end w:w="120" w:type="dxa"/>
            </w:tcMar>
          </w:tcPr>
          <w:p>
            <w:pPr>
              <w:spacing w:before="0" w:after="0" w:line="271" w:lineRule="auto"/>
            </w:pPr>
            <w:r>
              <w:rPr>
                <w:rFonts w:ascii="Calibri" w:hAnsi="Calibri"/>
                <w:color w:val="162236"/>
                <w:sz w:val="16"/>
              </w:rPr>
              <w:t>Home</w:t>
            </w:r>
          </w:p>
        </w:tc>
        <w:tc>
          <w:tcPr>
            <w:tcW w:type="dxa" w:w="3300"/>
            <w:vAlign w:val="center"/>
            <w:tcMar>
              <w:top w:w="80" w:type="dxa"/>
              <w:start w:w="120" w:type="dxa"/>
              <w:bottom w:w="80" w:type="dxa"/>
              <w:end w:w="120" w:type="dxa"/>
            </w:tcMar>
          </w:tcPr>
          <w:p>
            <w:pPr>
              <w:spacing w:before="0" w:after="0" w:line="271" w:lineRule="auto"/>
            </w:pPr>
            <w:r>
              <w:rPr>
                <w:rFonts w:ascii="Calibri" w:hAnsi="Calibri"/>
                <w:color w:val="162236"/>
                <w:sz w:val="16"/>
              </w:rPr>
              <w:t>digital implant planning services; surgical guide services</w:t>
            </w:r>
          </w:p>
        </w:tc>
        <w:tc>
          <w:tcPr>
            <w:tcW w:type="dxa" w:w="4160"/>
            <w:vAlign w:val="center"/>
            <w:tcMar>
              <w:top w:w="80" w:type="dxa"/>
              <w:start w:w="120" w:type="dxa"/>
              <w:bottom w:w="80" w:type="dxa"/>
              <w:end w:w="120" w:type="dxa"/>
            </w:tcMar>
          </w:tcPr>
          <w:p>
            <w:pPr>
              <w:spacing w:before="0" w:after="0" w:line="271" w:lineRule="auto"/>
            </w:pPr>
            <w:r>
              <w:rPr>
                <w:rFonts w:ascii="Calibri" w:hAnsi="Calibri"/>
                <w:color w:val="162236"/>
                <w:sz w:val="16"/>
              </w:rPr>
              <w:t>Digital Implant Planning &amp; Surgical Guides | Image3DConversion</w:t>
            </w:r>
          </w:p>
        </w:tc>
      </w:tr>
      <w:tr>
        <w:trPr>
          <w:cantSplit/>
        </w:trPr>
        <w:tc>
          <w:tcPr>
            <w:tcW w:type="dxa" w:w="1900"/>
            <w:vAlign w:val="center"/>
            <w:tcMar>
              <w:top w:w="80" w:type="dxa"/>
              <w:start w:w="120" w:type="dxa"/>
              <w:bottom w:w="80" w:type="dxa"/>
              <w:end w:w="120" w:type="dxa"/>
            </w:tcMar>
          </w:tcPr>
          <w:p>
            <w:pPr>
              <w:spacing w:before="0" w:after="0" w:line="271" w:lineRule="auto"/>
            </w:pPr>
            <w:r>
              <w:rPr>
                <w:rFonts w:ascii="Calibri" w:hAnsi="Calibri"/>
                <w:color w:val="162236"/>
                <w:sz w:val="16"/>
              </w:rPr>
              <w:t>Solutions hub</w:t>
            </w:r>
          </w:p>
        </w:tc>
        <w:tc>
          <w:tcPr>
            <w:tcW w:type="dxa" w:w="3300"/>
            <w:vAlign w:val="center"/>
            <w:tcMar>
              <w:top w:w="80" w:type="dxa"/>
              <w:start w:w="120" w:type="dxa"/>
              <w:bottom w:w="80" w:type="dxa"/>
              <w:end w:w="120" w:type="dxa"/>
            </w:tcMar>
          </w:tcPr>
          <w:p>
            <w:pPr>
              <w:spacing w:before="0" w:after="0" w:line="271" w:lineRule="auto"/>
            </w:pPr>
            <w:r>
              <w:rPr>
                <w:rFonts w:ascii="Calibri" w:hAnsi="Calibri"/>
                <w:color w:val="162236"/>
                <w:sz w:val="16"/>
              </w:rPr>
              <w:t>digital implant workflow solutions</w:t>
            </w:r>
          </w:p>
        </w:tc>
        <w:tc>
          <w:tcPr>
            <w:tcW w:type="dxa" w:w="4160"/>
            <w:vAlign w:val="center"/>
            <w:tcMar>
              <w:top w:w="80" w:type="dxa"/>
              <w:start w:w="120" w:type="dxa"/>
              <w:bottom w:w="80" w:type="dxa"/>
              <w:end w:w="120" w:type="dxa"/>
            </w:tcMar>
          </w:tcPr>
          <w:p>
            <w:pPr>
              <w:spacing w:before="0" w:after="0" w:line="271" w:lineRule="auto"/>
            </w:pPr>
            <w:r>
              <w:rPr>
                <w:rFonts w:ascii="Calibri" w:hAnsi="Calibri"/>
                <w:color w:val="162236"/>
                <w:sz w:val="16"/>
              </w:rPr>
              <w:t>Digital Implant Workflow Solutions | Image3DConversion</w:t>
            </w:r>
          </w:p>
        </w:tc>
      </w:tr>
      <w:tr>
        <w:trPr>
          <w:cantSplit/>
        </w:trPr>
        <w:tc>
          <w:tcPr>
            <w:tcW w:type="dxa" w:w="1900"/>
            <w:vAlign w:val="center"/>
            <w:tcMar>
              <w:top w:w="80" w:type="dxa"/>
              <w:start w:w="120" w:type="dxa"/>
              <w:bottom w:w="80" w:type="dxa"/>
              <w:end w:w="120" w:type="dxa"/>
            </w:tcMar>
          </w:tcPr>
          <w:p>
            <w:pPr>
              <w:spacing w:before="0" w:after="0" w:line="271" w:lineRule="auto"/>
            </w:pPr>
            <w:r>
              <w:rPr>
                <w:rFonts w:ascii="Calibri" w:hAnsi="Calibri"/>
                <w:color w:val="162236"/>
                <w:sz w:val="16"/>
              </w:rPr>
              <w:t>Guided</w:t>
            </w:r>
          </w:p>
        </w:tc>
        <w:tc>
          <w:tcPr>
            <w:tcW w:type="dxa" w:w="3300"/>
            <w:vAlign w:val="center"/>
            <w:tcMar>
              <w:top w:w="80" w:type="dxa"/>
              <w:start w:w="120" w:type="dxa"/>
              <w:bottom w:w="80" w:type="dxa"/>
              <w:end w:w="120" w:type="dxa"/>
            </w:tcMar>
          </w:tcPr>
          <w:p>
            <w:pPr>
              <w:spacing w:before="0" w:after="0" w:line="271" w:lineRule="auto"/>
            </w:pPr>
            <w:r>
              <w:rPr>
                <w:rFonts w:ascii="Calibri" w:hAnsi="Calibri"/>
                <w:color w:val="162236"/>
                <w:sz w:val="16"/>
              </w:rPr>
              <w:t>dental implant surgical guide design; guided implant planning</w:t>
            </w:r>
          </w:p>
        </w:tc>
        <w:tc>
          <w:tcPr>
            <w:tcW w:type="dxa" w:w="4160"/>
            <w:vAlign w:val="center"/>
            <w:tcMar>
              <w:top w:w="80" w:type="dxa"/>
              <w:start w:w="120" w:type="dxa"/>
              <w:bottom w:w="80" w:type="dxa"/>
              <w:end w:w="120" w:type="dxa"/>
            </w:tcMar>
          </w:tcPr>
          <w:p>
            <w:pPr>
              <w:spacing w:before="0" w:after="0" w:line="271" w:lineRule="auto"/>
            </w:pPr>
            <w:r>
              <w:rPr>
                <w:rFonts w:ascii="Calibri" w:hAnsi="Calibri"/>
                <w:color w:val="162236"/>
                <w:sz w:val="16"/>
              </w:rPr>
              <w:t>Dental Implant Planning &amp; Surgical Guide Design | I3DC</w:t>
            </w:r>
          </w:p>
        </w:tc>
      </w:tr>
      <w:tr>
        <w:trPr>
          <w:cantSplit/>
        </w:trPr>
        <w:tc>
          <w:tcPr>
            <w:tcW w:type="dxa" w:w="1900"/>
            <w:vAlign w:val="center"/>
            <w:tcMar>
              <w:top w:w="80" w:type="dxa"/>
              <w:start w:w="120" w:type="dxa"/>
              <w:bottom w:w="80" w:type="dxa"/>
              <w:end w:w="120" w:type="dxa"/>
            </w:tcMar>
          </w:tcPr>
          <w:p>
            <w:pPr>
              <w:spacing w:before="0" w:after="0" w:line="271" w:lineRule="auto"/>
            </w:pPr>
            <w:r>
              <w:rPr>
                <w:rFonts w:ascii="Calibri" w:hAnsi="Calibri"/>
                <w:color w:val="162236"/>
                <w:sz w:val="16"/>
              </w:rPr>
              <w:t>Full arch</w:t>
            </w:r>
          </w:p>
        </w:tc>
        <w:tc>
          <w:tcPr>
            <w:tcW w:type="dxa" w:w="3300"/>
            <w:vAlign w:val="center"/>
            <w:tcMar>
              <w:top w:w="80" w:type="dxa"/>
              <w:start w:w="120" w:type="dxa"/>
              <w:bottom w:w="80" w:type="dxa"/>
              <w:end w:w="120" w:type="dxa"/>
            </w:tcMar>
          </w:tcPr>
          <w:p>
            <w:pPr>
              <w:spacing w:before="0" w:after="0" w:line="271" w:lineRule="auto"/>
            </w:pPr>
            <w:r>
              <w:rPr>
                <w:rFonts w:ascii="Calibri" w:hAnsi="Calibri"/>
                <w:color w:val="162236"/>
                <w:sz w:val="16"/>
              </w:rPr>
              <w:t>stackable surgical guide; full-arch implant planning</w:t>
            </w:r>
          </w:p>
        </w:tc>
        <w:tc>
          <w:tcPr>
            <w:tcW w:type="dxa" w:w="4160"/>
            <w:vAlign w:val="center"/>
            <w:tcMar>
              <w:top w:w="80" w:type="dxa"/>
              <w:start w:w="120" w:type="dxa"/>
              <w:bottom w:w="80" w:type="dxa"/>
              <w:end w:w="120" w:type="dxa"/>
            </w:tcMar>
          </w:tcPr>
          <w:p>
            <w:pPr>
              <w:spacing w:before="0" w:after="0" w:line="271" w:lineRule="auto"/>
            </w:pPr>
            <w:r>
              <w:rPr>
                <w:rFonts w:ascii="Calibri" w:hAnsi="Calibri"/>
                <w:color w:val="162236"/>
                <w:sz w:val="16"/>
              </w:rPr>
              <w:t>Full-Arch Stackable Surgical Guide Workflow | I3DC</w:t>
            </w:r>
          </w:p>
        </w:tc>
      </w:tr>
      <w:tr>
        <w:trPr>
          <w:cantSplit/>
        </w:trPr>
        <w:tc>
          <w:tcPr>
            <w:tcW w:type="dxa" w:w="1900"/>
            <w:vAlign w:val="center"/>
            <w:tcMar>
              <w:top w:w="80" w:type="dxa"/>
              <w:start w:w="120" w:type="dxa"/>
              <w:bottom w:w="80" w:type="dxa"/>
              <w:end w:w="120" w:type="dxa"/>
            </w:tcMar>
          </w:tcPr>
          <w:p>
            <w:pPr>
              <w:spacing w:before="0" w:after="0" w:line="271" w:lineRule="auto"/>
            </w:pPr>
            <w:r>
              <w:rPr>
                <w:rFonts w:ascii="Calibri" w:hAnsi="Calibri"/>
                <w:color w:val="162236"/>
                <w:sz w:val="16"/>
              </w:rPr>
              <w:t>Zygoma / pterygoid</w:t>
            </w:r>
          </w:p>
        </w:tc>
        <w:tc>
          <w:tcPr>
            <w:tcW w:type="dxa" w:w="3300"/>
            <w:vAlign w:val="center"/>
            <w:tcMar>
              <w:top w:w="80" w:type="dxa"/>
              <w:start w:w="120" w:type="dxa"/>
              <w:bottom w:w="80" w:type="dxa"/>
              <w:end w:w="120" w:type="dxa"/>
            </w:tcMar>
          </w:tcPr>
          <w:p>
            <w:pPr>
              <w:spacing w:before="0" w:after="0" w:line="271" w:lineRule="auto"/>
            </w:pPr>
            <w:r>
              <w:rPr>
                <w:rFonts w:ascii="Calibri" w:hAnsi="Calibri"/>
                <w:color w:val="162236"/>
                <w:sz w:val="16"/>
              </w:rPr>
              <w:t>zygomatic implant planning; pterygoid implant planning</w:t>
            </w:r>
          </w:p>
        </w:tc>
        <w:tc>
          <w:tcPr>
            <w:tcW w:type="dxa" w:w="4160"/>
            <w:vAlign w:val="center"/>
            <w:tcMar>
              <w:top w:w="80" w:type="dxa"/>
              <w:start w:w="120" w:type="dxa"/>
              <w:bottom w:w="80" w:type="dxa"/>
              <w:end w:w="120" w:type="dxa"/>
            </w:tcMar>
          </w:tcPr>
          <w:p>
            <w:pPr>
              <w:spacing w:before="0" w:after="0" w:line="271" w:lineRule="auto"/>
            </w:pPr>
            <w:r>
              <w:rPr>
                <w:rFonts w:ascii="Calibri" w:hAnsi="Calibri"/>
                <w:color w:val="162236"/>
                <w:sz w:val="16"/>
              </w:rPr>
              <w:t>Zygomatic &amp; Pterygoid Implant Planning | I3DC</w:t>
            </w:r>
          </w:p>
        </w:tc>
      </w:tr>
      <w:tr>
        <w:trPr>
          <w:cantSplit/>
        </w:trPr>
        <w:tc>
          <w:tcPr>
            <w:tcW w:type="dxa" w:w="1900"/>
            <w:vAlign w:val="center"/>
            <w:tcMar>
              <w:top w:w="80" w:type="dxa"/>
              <w:start w:w="120" w:type="dxa"/>
              <w:bottom w:w="80" w:type="dxa"/>
              <w:end w:w="120" w:type="dxa"/>
            </w:tcMar>
          </w:tcPr>
          <w:p>
            <w:pPr>
              <w:spacing w:before="0" w:after="0" w:line="271" w:lineRule="auto"/>
            </w:pPr>
            <w:r>
              <w:rPr>
                <w:rFonts w:ascii="Calibri" w:hAnsi="Calibri"/>
                <w:color w:val="162236"/>
                <w:sz w:val="16"/>
              </w:rPr>
              <w:t>Immediate loading</w:t>
            </w:r>
          </w:p>
        </w:tc>
        <w:tc>
          <w:tcPr>
            <w:tcW w:type="dxa" w:w="3300"/>
            <w:vAlign w:val="center"/>
            <w:tcMar>
              <w:top w:w="80" w:type="dxa"/>
              <w:start w:w="120" w:type="dxa"/>
              <w:bottom w:w="80" w:type="dxa"/>
              <w:end w:w="120" w:type="dxa"/>
            </w:tcMar>
          </w:tcPr>
          <w:p>
            <w:pPr>
              <w:spacing w:before="0" w:after="0" w:line="271" w:lineRule="auto"/>
            </w:pPr>
            <w:r>
              <w:rPr>
                <w:rFonts w:ascii="Calibri" w:hAnsi="Calibri"/>
                <w:color w:val="162236"/>
                <w:sz w:val="16"/>
              </w:rPr>
              <w:t>immediate-loading implant workflow; provisional prosthesis planning</w:t>
            </w:r>
          </w:p>
        </w:tc>
        <w:tc>
          <w:tcPr>
            <w:tcW w:type="dxa" w:w="4160"/>
            <w:vAlign w:val="center"/>
            <w:tcMar>
              <w:top w:w="80" w:type="dxa"/>
              <w:start w:w="120" w:type="dxa"/>
              <w:bottom w:w="80" w:type="dxa"/>
              <w:end w:w="120" w:type="dxa"/>
            </w:tcMar>
          </w:tcPr>
          <w:p>
            <w:pPr>
              <w:spacing w:before="0" w:after="0" w:line="271" w:lineRule="auto"/>
            </w:pPr>
            <w:r>
              <w:rPr>
                <w:rFonts w:ascii="Calibri" w:hAnsi="Calibri"/>
                <w:color w:val="162236"/>
                <w:sz w:val="16"/>
              </w:rPr>
              <w:t>Immediate-Loading Implant &amp; Prosthetic Workflow | I3DC</w:t>
            </w:r>
          </w:p>
        </w:tc>
      </w:tr>
      <w:tr>
        <w:trPr>
          <w:cantSplit/>
        </w:trPr>
        <w:tc>
          <w:tcPr>
            <w:tcW w:type="dxa" w:w="1900"/>
            <w:vAlign w:val="center"/>
            <w:tcMar>
              <w:top w:w="80" w:type="dxa"/>
              <w:start w:w="120" w:type="dxa"/>
              <w:bottom w:w="80" w:type="dxa"/>
              <w:end w:w="120" w:type="dxa"/>
            </w:tcMar>
          </w:tcPr>
          <w:p>
            <w:pPr>
              <w:spacing w:before="0" w:after="0" w:line="271" w:lineRule="auto"/>
            </w:pPr>
            <w:r>
              <w:rPr>
                <w:rFonts w:ascii="Calibri" w:hAnsi="Calibri"/>
                <w:color w:val="162236"/>
                <w:sz w:val="16"/>
              </w:rPr>
              <w:t>Data preparation</w:t>
            </w:r>
          </w:p>
        </w:tc>
        <w:tc>
          <w:tcPr>
            <w:tcW w:type="dxa" w:w="3300"/>
            <w:vAlign w:val="center"/>
            <w:tcMar>
              <w:top w:w="80" w:type="dxa"/>
              <w:start w:w="120" w:type="dxa"/>
              <w:bottom w:w="80" w:type="dxa"/>
              <w:end w:w="120" w:type="dxa"/>
            </w:tcMar>
          </w:tcPr>
          <w:p>
            <w:pPr>
              <w:spacing w:before="0" w:after="0" w:line="271" w:lineRule="auto"/>
            </w:pPr>
            <w:r>
              <w:rPr>
                <w:rFonts w:ascii="Calibri" w:hAnsi="Calibri"/>
                <w:color w:val="162236"/>
                <w:sz w:val="16"/>
              </w:rPr>
              <w:t>DICOM to STL dental; dental CBCT segmentation</w:t>
            </w:r>
          </w:p>
        </w:tc>
        <w:tc>
          <w:tcPr>
            <w:tcW w:type="dxa" w:w="4160"/>
            <w:vAlign w:val="center"/>
            <w:tcMar>
              <w:top w:w="80" w:type="dxa"/>
              <w:start w:w="120" w:type="dxa"/>
              <w:bottom w:w="80" w:type="dxa"/>
              <w:end w:w="120" w:type="dxa"/>
            </w:tcMar>
          </w:tcPr>
          <w:p>
            <w:pPr>
              <w:spacing w:before="0" w:after="0" w:line="271" w:lineRule="auto"/>
            </w:pPr>
            <w:r>
              <w:rPr>
                <w:rFonts w:ascii="Calibri" w:hAnsi="Calibri"/>
                <w:color w:val="162236"/>
                <w:sz w:val="16"/>
              </w:rPr>
              <w:t>DICOM to STL, CBCT Segmentation &amp; Case Preparation | I3DC</w:t>
            </w:r>
          </w:p>
        </w:tc>
      </w:tr>
      <w:tr>
        <w:trPr>
          <w:cantSplit/>
        </w:trPr>
        <w:tc>
          <w:tcPr>
            <w:tcW w:type="dxa" w:w="1900"/>
            <w:vAlign w:val="center"/>
            <w:tcMar>
              <w:top w:w="80" w:type="dxa"/>
              <w:start w:w="120" w:type="dxa"/>
              <w:bottom w:w="80" w:type="dxa"/>
              <w:end w:w="120" w:type="dxa"/>
            </w:tcMar>
          </w:tcPr>
          <w:p>
            <w:pPr>
              <w:spacing w:before="0" w:after="0" w:line="271" w:lineRule="auto"/>
            </w:pPr>
            <w:r>
              <w:rPr>
                <w:rFonts w:ascii="Calibri" w:hAnsi="Calibri"/>
                <w:color w:val="162236"/>
                <w:sz w:val="16"/>
              </w:rPr>
              <w:t>Design only</w:t>
            </w:r>
          </w:p>
        </w:tc>
        <w:tc>
          <w:tcPr>
            <w:tcW w:type="dxa" w:w="3300"/>
            <w:vAlign w:val="center"/>
            <w:tcMar>
              <w:top w:w="80" w:type="dxa"/>
              <w:start w:w="120" w:type="dxa"/>
              <w:bottom w:w="80" w:type="dxa"/>
              <w:end w:w="120" w:type="dxa"/>
            </w:tcMar>
          </w:tcPr>
          <w:p>
            <w:pPr>
              <w:spacing w:before="0" w:after="0" w:line="271" w:lineRule="auto"/>
            </w:pPr>
            <w:r>
              <w:rPr>
                <w:rFonts w:ascii="Calibri" w:hAnsi="Calibri"/>
                <w:color w:val="162236"/>
                <w:sz w:val="16"/>
              </w:rPr>
              <w:t>surgical guide STL design service; dental CAD design</w:t>
            </w:r>
          </w:p>
        </w:tc>
        <w:tc>
          <w:tcPr>
            <w:tcW w:type="dxa" w:w="4160"/>
            <w:vAlign w:val="center"/>
            <w:tcMar>
              <w:top w:w="80" w:type="dxa"/>
              <w:start w:w="120" w:type="dxa"/>
              <w:bottom w:w="80" w:type="dxa"/>
              <w:end w:w="120" w:type="dxa"/>
            </w:tcMar>
          </w:tcPr>
          <w:p>
            <w:pPr>
              <w:spacing w:before="0" w:after="0" w:line="271" w:lineRule="auto"/>
            </w:pPr>
            <w:r>
              <w:rPr>
                <w:rFonts w:ascii="Calibri" w:hAnsi="Calibri"/>
                <w:color w:val="162236"/>
                <w:sz w:val="16"/>
              </w:rPr>
              <w:t>Dental Surgical Guide Design &amp; Ready-to-Print STL | I3DC</w:t>
            </w:r>
          </w:p>
        </w:tc>
      </w:tr>
      <w:tr>
        <w:trPr>
          <w:cantSplit/>
        </w:trPr>
        <w:tc>
          <w:tcPr>
            <w:tcW w:type="dxa" w:w="1900"/>
            <w:vAlign w:val="center"/>
            <w:tcMar>
              <w:top w:w="80" w:type="dxa"/>
              <w:start w:w="120" w:type="dxa"/>
              <w:bottom w:w="80" w:type="dxa"/>
              <w:end w:w="120" w:type="dxa"/>
            </w:tcMar>
          </w:tcPr>
          <w:p>
            <w:pPr>
              <w:spacing w:before="0" w:after="0" w:line="271" w:lineRule="auto"/>
            </w:pPr>
            <w:r>
              <w:rPr>
                <w:rFonts w:ascii="Calibri" w:hAnsi="Calibri"/>
                <w:color w:val="162236"/>
                <w:sz w:val="16"/>
              </w:rPr>
              <w:t>White label</w:t>
            </w:r>
          </w:p>
        </w:tc>
        <w:tc>
          <w:tcPr>
            <w:tcW w:type="dxa" w:w="3300"/>
            <w:vAlign w:val="center"/>
            <w:tcMar>
              <w:top w:w="80" w:type="dxa"/>
              <w:start w:w="120" w:type="dxa"/>
              <w:bottom w:w="80" w:type="dxa"/>
              <w:end w:w="120" w:type="dxa"/>
            </w:tcMar>
          </w:tcPr>
          <w:p>
            <w:pPr>
              <w:spacing w:before="0" w:after="0" w:line="271" w:lineRule="auto"/>
            </w:pPr>
            <w:r>
              <w:rPr>
                <w:rFonts w:ascii="Calibri" w:hAnsi="Calibri"/>
                <w:color w:val="162236"/>
                <w:sz w:val="16"/>
              </w:rPr>
              <w:t>white-label dental CAD design; outsourced implant planning</w:t>
            </w:r>
          </w:p>
        </w:tc>
        <w:tc>
          <w:tcPr>
            <w:tcW w:type="dxa" w:w="4160"/>
            <w:vAlign w:val="center"/>
            <w:tcMar>
              <w:top w:w="80" w:type="dxa"/>
              <w:start w:w="120" w:type="dxa"/>
              <w:bottom w:w="80" w:type="dxa"/>
              <w:end w:w="120" w:type="dxa"/>
            </w:tcMar>
          </w:tcPr>
          <w:p>
            <w:pPr>
              <w:spacing w:before="0" w:after="0" w:line="271" w:lineRule="auto"/>
            </w:pPr>
            <w:r>
              <w:rPr>
                <w:rFonts w:ascii="Calibri" w:hAnsi="Calibri"/>
                <w:color w:val="162236"/>
                <w:sz w:val="16"/>
              </w:rPr>
              <w:t>White-Label Dental Implant Planning Services | I3DC</w:t>
            </w:r>
          </w:p>
        </w:tc>
      </w:tr>
      <w:tr>
        <w:trPr>
          <w:cantSplit/>
        </w:trPr>
        <w:tc>
          <w:tcPr>
            <w:tcW w:type="dxa" w:w="1900"/>
            <w:vAlign w:val="center"/>
            <w:tcMar>
              <w:top w:w="80" w:type="dxa"/>
              <w:start w:w="120" w:type="dxa"/>
              <w:bottom w:w="80" w:type="dxa"/>
              <w:end w:w="120" w:type="dxa"/>
            </w:tcMar>
          </w:tcPr>
          <w:p>
            <w:pPr>
              <w:spacing w:before="0" w:after="0" w:line="271" w:lineRule="auto"/>
            </w:pPr>
            <w:r>
              <w:rPr>
                <w:rFonts w:ascii="Calibri" w:hAnsi="Calibri"/>
                <w:color w:val="162236"/>
                <w:sz w:val="16"/>
              </w:rPr>
              <w:t>Requirements</w:t>
            </w:r>
          </w:p>
        </w:tc>
        <w:tc>
          <w:tcPr>
            <w:tcW w:type="dxa" w:w="3300"/>
            <w:vAlign w:val="center"/>
            <w:tcMar>
              <w:top w:w="80" w:type="dxa"/>
              <w:start w:w="120" w:type="dxa"/>
              <w:bottom w:w="80" w:type="dxa"/>
              <w:end w:w="120" w:type="dxa"/>
            </w:tcMar>
          </w:tcPr>
          <w:p>
            <w:pPr>
              <w:spacing w:before="0" w:after="0" w:line="271" w:lineRule="auto"/>
            </w:pPr>
            <w:r>
              <w:rPr>
                <w:rFonts w:ascii="Calibri" w:hAnsi="Calibri"/>
                <w:color w:val="162236"/>
                <w:sz w:val="16"/>
              </w:rPr>
              <w:t>files needed for surgical guide; guided surgery scan protocol</w:t>
            </w:r>
          </w:p>
        </w:tc>
        <w:tc>
          <w:tcPr>
            <w:tcW w:type="dxa" w:w="4160"/>
            <w:vAlign w:val="center"/>
            <w:tcMar>
              <w:top w:w="80" w:type="dxa"/>
              <w:start w:w="120" w:type="dxa"/>
              <w:bottom w:w="80" w:type="dxa"/>
              <w:end w:w="120" w:type="dxa"/>
            </w:tcMar>
          </w:tcPr>
          <w:p>
            <w:pPr>
              <w:spacing w:before="0" w:after="0" w:line="271" w:lineRule="auto"/>
            </w:pPr>
            <w:r>
              <w:rPr>
                <w:rFonts w:ascii="Calibri" w:hAnsi="Calibri"/>
                <w:color w:val="162236"/>
                <w:sz w:val="16"/>
              </w:rPr>
              <w:t>Dental Implant Case Submission Requirements | I3DC</w:t>
            </w:r>
          </w:p>
        </w:tc>
      </w:tr>
    </w:tbl>
    <w:p>
      <w:pPr>
        <w:spacing w:after="60"/>
      </w:pPr>
    </w:p>
    <w:p>
      <w:pPr>
        <w:pStyle w:val="Heading2"/>
        <w:spacing w:before="280" w:after="140" w:line="252" w:lineRule="auto"/>
        <w:keepNext w:val="1"/>
        <w:pageBreakBefore w:val="0"/>
      </w:pPr>
      <w:r>
        <w:rPr>
          <w:rFonts w:ascii="Calibri" w:hAnsi="Calibri"/>
          <w:b/>
          <w:color w:val="2E74B5"/>
          <w:sz w:val="26"/>
        </w:rPr>
        <w:t>SEO title and description rules</w:t>
      </w:r>
    </w:p>
    <w:p>
      <w:pPr>
        <w:pStyle w:val="ListBullet"/>
        <w:keepLines/>
        <w:spacing w:before="0" w:after="80" w:line="300" w:lineRule="auto"/>
      </w:pPr>
      <w:r>
        <w:rPr>
          <w:rFonts w:ascii="Calibri" w:hAnsi="Calibri"/>
          <w:color w:val="162236"/>
          <w:sz w:val="22"/>
        </w:rPr>
        <w:t>Give every indexable page one unique, descriptive title. Do not use “Home,” “Services,” or repeated keyword variants.</w:t>
      </w:r>
    </w:p>
    <w:p>
      <w:pPr>
        <w:pStyle w:val="ListBullet"/>
        <w:keepLines/>
        <w:spacing w:before="0" w:after="80" w:line="300" w:lineRule="auto"/>
      </w:pPr>
      <w:r>
        <w:rPr>
          <w:rFonts w:ascii="Calibri" w:hAnsi="Calibri"/>
          <w:color w:val="162236"/>
          <w:sz w:val="22"/>
        </w:rPr>
        <w:t>Place the main search phrase naturally near the beginning of the title; add the brand once.</w:t>
      </w:r>
    </w:p>
    <w:p>
      <w:pPr>
        <w:pStyle w:val="ListBullet"/>
        <w:keepLines/>
        <w:spacing w:before="0" w:after="80" w:line="300" w:lineRule="auto"/>
      </w:pPr>
      <w:r>
        <w:rPr>
          <w:rFonts w:ascii="Calibri" w:hAnsi="Calibri"/>
          <w:color w:val="162236"/>
          <w:sz w:val="22"/>
        </w:rPr>
        <w:t>Write each meta description as a useful summary and click invitation, not a comma-separated keyword list.</w:t>
      </w:r>
    </w:p>
    <w:p>
      <w:pPr>
        <w:pStyle w:val="ListBullet"/>
        <w:keepLines/>
        <w:spacing w:before="0" w:after="80" w:line="300" w:lineRule="auto"/>
      </w:pPr>
      <w:r>
        <w:rPr>
          <w:rFonts w:ascii="Calibri" w:hAnsi="Calibri"/>
          <w:color w:val="162236"/>
          <w:sz w:val="22"/>
        </w:rPr>
        <w:t>Use one clear H1. A visual tagline may lead the page only when the eyebrow and opening copy make the subject immediately clear.</w:t>
      </w:r>
    </w:p>
    <w:p>
      <w:pPr>
        <w:pStyle w:val="ListBullet"/>
        <w:keepLines/>
        <w:spacing w:before="0" w:after="80" w:line="300" w:lineRule="auto"/>
      </w:pPr>
      <w:r>
        <w:rPr>
          <w:rFonts w:ascii="Calibri" w:hAnsi="Calibri"/>
          <w:color w:val="162236"/>
          <w:sz w:val="22"/>
        </w:rPr>
        <w:t>Use descriptive internal-link text such as “review full-arch case requirements,” not “learn more.”</w:t>
      </w:r>
    </w:p>
    <w:p>
      <w:pPr>
        <w:pStyle w:val="ListBullet"/>
        <w:keepLines/>
        <w:spacing w:before="0" w:after="80" w:line="300" w:lineRule="auto"/>
      </w:pPr>
      <w:r>
        <w:rPr>
          <w:rFonts w:ascii="Calibri" w:hAnsi="Calibri"/>
          <w:color w:val="162236"/>
          <w:sz w:val="22"/>
        </w:rPr>
        <w:t>Do not force an exact word count. A page ends when the dentist can make the next decision.</w:t>
      </w:r>
    </w:p>
    <w:p>
      <w:pPr>
        <w:pStyle w:val="Heading1"/>
        <w:spacing w:before="360" w:after="200" w:line="252" w:lineRule="auto"/>
        <w:keepNext w:val="1"/>
        <w:pageBreakBefore w:val="0"/>
      </w:pPr>
      <w:r>
        <w:rPr>
          <w:rFonts w:ascii="Calibri" w:hAnsi="Calibri"/>
          <w:b/>
          <w:color w:val="2E74B5"/>
          <w:sz w:val="32"/>
        </w:rPr>
        <w:t>6. Core page briefs</w:t>
      </w:r>
    </w:p>
    <w:p>
      <w:pPr>
        <w:pStyle w:val="Heading2"/>
        <w:spacing w:before="280" w:after="140" w:line="252" w:lineRule="auto"/>
        <w:keepNext w:val="1"/>
        <w:pageBreakBefore w:val="0"/>
      </w:pPr>
      <w:r>
        <w:rPr>
          <w:rFonts w:ascii="Calibri" w:hAnsi="Calibri"/>
          <w:b/>
          <w:color w:val="2E74B5"/>
          <w:sz w:val="26"/>
        </w:rPr>
        <w:t>Home</w:t>
      </w:r>
    </w:p>
    <w:tbl>
      <w:tblPr>
        <w:tblStyle w:val="TableGrid"/>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100"/>
        <w:gridCol w:w="7260"/>
      </w:tblGrid>
      <w:tr>
        <w:trPr>
          <w:tblHeader w:val="true"/>
          <w:cantSplit/>
        </w:trPr>
        <w:tc>
          <w:tcPr>
            <w:tcW w:type="dxa" w:w="2100"/>
            <w:tcMar>
              <w:top w:w="80" w:type="dxa"/>
              <w:start w:w="120" w:type="dxa"/>
              <w:bottom w:w="80" w:type="dxa"/>
              <w:end w:w="120" w:type="dxa"/>
            </w:tcMar>
            <w:vAlign w:val="center"/>
            <w:shd w:fill="F2F4F7"/>
          </w:tcPr>
          <w:p>
            <w:pPr>
              <w:spacing w:before="0" w:after="0" w:line="264" w:lineRule="auto"/>
            </w:pPr>
            <w:r>
              <w:rPr>
                <w:rFonts w:ascii="Calibri" w:hAnsi="Calibri"/>
                <w:b/>
                <w:color w:val="162236"/>
                <w:sz w:val="18"/>
              </w:rPr>
              <w:t>Field</w:t>
            </w:r>
          </w:p>
        </w:tc>
        <w:tc>
          <w:tcPr>
            <w:tcW w:type="dxa" w:w="7260"/>
            <w:tcMar>
              <w:top w:w="80" w:type="dxa"/>
              <w:start w:w="120" w:type="dxa"/>
              <w:bottom w:w="80" w:type="dxa"/>
              <w:end w:w="120" w:type="dxa"/>
            </w:tcMar>
            <w:vAlign w:val="center"/>
            <w:shd w:fill="F2F4F7"/>
          </w:tcPr>
          <w:p>
            <w:pPr>
              <w:spacing w:before="0" w:after="0" w:line="264" w:lineRule="auto"/>
            </w:pPr>
            <w:r>
              <w:rPr>
                <w:rFonts w:ascii="Calibri" w:hAnsi="Calibri"/>
                <w:b/>
                <w:color w:val="162236"/>
                <w:sz w:val="18"/>
              </w:rPr>
              <w:t>Recommendation</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Route</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Search focus</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digital implant planning services; surgical guide services</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SEO title</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Digital Implant Planning &amp; Surgical Guides | Image3DConversion</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Meta description</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Plan and coordinate routine to complex guided implant cases with digital planning, surgical guides, full-arch workflows and secure case review.</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Visible H1</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Plan the outcome. Guide the execution.</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Primary CTA</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Start a Case</w:t>
            </w:r>
          </w:p>
        </w:tc>
      </w:tr>
    </w:tbl>
    <w:p>
      <w:pPr>
        <w:spacing w:after="60"/>
      </w:pPr>
    </w:p>
    <w:p>
      <w:pPr>
        <w:pStyle w:val="ListBullet"/>
        <w:keepLines/>
        <w:spacing w:before="0" w:after="80" w:line="300" w:lineRule="auto"/>
      </w:pPr>
      <w:r>
        <w:rPr>
          <w:rFonts w:ascii="Calibri" w:hAnsi="Calibri"/>
          <w:color w:val="162236"/>
          <w:sz w:val="22"/>
        </w:rPr>
        <w:t>Hero and two CTAs.</w:t>
      </w:r>
    </w:p>
    <w:p>
      <w:pPr>
        <w:pStyle w:val="ListBullet"/>
        <w:keepLines/>
        <w:spacing w:before="0" w:after="80" w:line="300" w:lineRule="auto"/>
      </w:pPr>
      <w:r>
        <w:rPr>
          <w:rFonts w:ascii="Calibri" w:hAnsi="Calibri"/>
          <w:color w:val="162236"/>
          <w:sz w:val="22"/>
        </w:rPr>
        <w:t>Four case-led workflow cards.</w:t>
      </w:r>
    </w:p>
    <w:p>
      <w:pPr>
        <w:pStyle w:val="ListBullet"/>
        <w:keepLines/>
        <w:spacing w:before="0" w:after="80" w:line="300" w:lineRule="auto"/>
      </w:pPr>
      <w:r>
        <w:rPr>
          <w:rFonts w:ascii="Calibri" w:hAnsi="Calibri"/>
          <w:color w:val="162236"/>
          <w:sz w:val="22"/>
        </w:rPr>
        <w:t>Five-step process.</w:t>
      </w:r>
    </w:p>
    <w:p>
      <w:pPr>
        <w:pStyle w:val="ListBullet"/>
        <w:keepLines/>
        <w:spacing w:before="0" w:after="80" w:line="300" w:lineRule="auto"/>
      </w:pPr>
      <w:r>
        <w:rPr>
          <w:rFonts w:ascii="Calibri" w:hAnsi="Calibri"/>
          <w:color w:val="162236"/>
          <w:sz w:val="22"/>
        </w:rPr>
        <w:t>Three engagement modes.</w:t>
      </w:r>
    </w:p>
    <w:p>
      <w:pPr>
        <w:pStyle w:val="ListBullet"/>
        <w:keepLines/>
        <w:spacing w:before="0" w:after="80" w:line="300" w:lineRule="auto"/>
      </w:pPr>
      <w:r>
        <w:rPr>
          <w:rFonts w:ascii="Calibri" w:hAnsi="Calibri"/>
          <w:color w:val="162236"/>
          <w:sz w:val="22"/>
        </w:rPr>
        <w:t>One complex-case proof story.</w:t>
      </w:r>
    </w:p>
    <w:p>
      <w:pPr>
        <w:pStyle w:val="ListBullet"/>
        <w:keepLines/>
        <w:spacing w:before="0" w:after="80" w:line="300" w:lineRule="auto"/>
      </w:pPr>
      <w:r>
        <w:rPr>
          <w:rFonts w:ascii="Calibri" w:hAnsi="Calibri"/>
          <w:color w:val="162236"/>
          <w:sz w:val="22"/>
        </w:rPr>
        <w:t>Verified evidence strip.</w:t>
      </w:r>
    </w:p>
    <w:p>
      <w:pPr>
        <w:pStyle w:val="ListBullet"/>
        <w:keepLines/>
        <w:spacing w:before="0" w:after="80" w:line="300" w:lineRule="auto"/>
      </w:pPr>
      <w:r>
        <w:rPr>
          <w:rFonts w:ascii="Calibri" w:hAnsi="Calibri"/>
          <w:color w:val="162236"/>
          <w:sz w:val="22"/>
        </w:rPr>
        <w:t>Case requirements preview.</w:t>
      </w:r>
    </w:p>
    <w:p>
      <w:pPr>
        <w:pStyle w:val="Heading2"/>
        <w:spacing w:before="280" w:after="140" w:line="252" w:lineRule="auto"/>
        <w:keepNext w:val="1"/>
        <w:pageBreakBefore w:val="0"/>
      </w:pPr>
      <w:r>
        <w:rPr>
          <w:rFonts w:ascii="Calibri" w:hAnsi="Calibri"/>
          <w:b/>
          <w:color w:val="2E74B5"/>
          <w:sz w:val="26"/>
        </w:rPr>
        <w:t>Clinical Workflow Solutions</w:t>
      </w:r>
    </w:p>
    <w:tbl>
      <w:tblPr>
        <w:tblStyle w:val="TableGrid"/>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100"/>
        <w:gridCol w:w="7260"/>
      </w:tblGrid>
      <w:tr>
        <w:trPr>
          <w:tblHeader w:val="true"/>
          <w:cantSplit/>
        </w:trPr>
        <w:tc>
          <w:tcPr>
            <w:tcW w:type="dxa" w:w="2100"/>
            <w:tcMar>
              <w:top w:w="80" w:type="dxa"/>
              <w:start w:w="120" w:type="dxa"/>
              <w:bottom w:w="80" w:type="dxa"/>
              <w:end w:w="120" w:type="dxa"/>
            </w:tcMar>
            <w:vAlign w:val="center"/>
            <w:shd w:fill="F2F4F7"/>
          </w:tcPr>
          <w:p>
            <w:pPr>
              <w:spacing w:before="0" w:after="0" w:line="264" w:lineRule="auto"/>
            </w:pPr>
            <w:r>
              <w:rPr>
                <w:rFonts w:ascii="Calibri" w:hAnsi="Calibri"/>
                <w:b/>
                <w:color w:val="162236"/>
                <w:sz w:val="18"/>
              </w:rPr>
              <w:t>Field</w:t>
            </w:r>
          </w:p>
        </w:tc>
        <w:tc>
          <w:tcPr>
            <w:tcW w:type="dxa" w:w="7260"/>
            <w:tcMar>
              <w:top w:w="80" w:type="dxa"/>
              <w:start w:w="120" w:type="dxa"/>
              <w:bottom w:w="80" w:type="dxa"/>
              <w:end w:w="120" w:type="dxa"/>
            </w:tcMar>
            <w:vAlign w:val="center"/>
            <w:shd w:fill="F2F4F7"/>
          </w:tcPr>
          <w:p>
            <w:pPr>
              <w:spacing w:before="0" w:after="0" w:line="264" w:lineRule="auto"/>
            </w:pPr>
            <w:r>
              <w:rPr>
                <w:rFonts w:ascii="Calibri" w:hAnsi="Calibri"/>
                <w:b/>
                <w:color w:val="162236"/>
                <w:sz w:val="18"/>
              </w:rPr>
              <w:t>Recommendation</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Route</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/digital-implant-workflows/</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Search focus</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digital implant workflow solutions</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SEO title</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Digital Implant Workflow Solutions | Image3DConversion</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Meta description</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Choose the right digital implant workflow for guided placement, full-arch treatment, immediate loading, advanced anchorage or design support.</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Visible H1</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Choose the workflow your case needs.</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Primary CTA</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Compare Workflows</w:t>
            </w:r>
          </w:p>
        </w:tc>
      </w:tr>
    </w:tbl>
    <w:p>
      <w:pPr>
        <w:spacing w:after="60"/>
      </w:pPr>
    </w:p>
    <w:p>
      <w:pPr>
        <w:pStyle w:val="ListBullet"/>
        <w:keepLines/>
        <w:spacing w:before="0" w:after="80" w:line="300" w:lineRule="auto"/>
      </w:pPr>
      <w:r>
        <w:rPr>
          <w:rFonts w:ascii="Calibri" w:hAnsi="Calibri"/>
          <w:color w:val="162236"/>
          <w:sz w:val="22"/>
        </w:rPr>
        <w:t>Start with clinical objective, not department names.</w:t>
      </w:r>
    </w:p>
    <w:p>
      <w:pPr>
        <w:pStyle w:val="ListBullet"/>
        <w:keepLines/>
        <w:spacing w:before="0" w:after="80" w:line="300" w:lineRule="auto"/>
      </w:pPr>
      <w:r>
        <w:rPr>
          <w:rFonts w:ascii="Calibri" w:hAnsi="Calibri"/>
          <w:color w:val="162236"/>
          <w:sz w:val="22"/>
        </w:rPr>
        <w:t>Group four implant workflows separately from four ways of working.</w:t>
      </w:r>
    </w:p>
    <w:p>
      <w:pPr>
        <w:pStyle w:val="ListBullet"/>
        <w:keepLines/>
        <w:spacing w:before="0" w:after="80" w:line="300" w:lineRule="auto"/>
      </w:pPr>
      <w:r>
        <w:rPr>
          <w:rFonts w:ascii="Calibri" w:hAnsi="Calibri"/>
          <w:color w:val="162236"/>
          <w:sz w:val="22"/>
        </w:rPr>
        <w:t>Add a simple selector: case type, production need and geography.</w:t>
      </w:r>
    </w:p>
    <w:p>
      <w:pPr>
        <w:pStyle w:val="ListBullet"/>
        <w:keepLines/>
        <w:spacing w:before="0" w:after="80" w:line="300" w:lineRule="auto"/>
      </w:pPr>
      <w:r>
        <w:rPr>
          <w:rFonts w:ascii="Calibri" w:hAnsi="Calibri"/>
          <w:color w:val="162236"/>
          <w:sz w:val="22"/>
        </w:rPr>
        <w:t>End with a requirements link and secure case CTA.</w:t>
      </w:r>
    </w:p>
    <w:p>
      <w:pPr>
        <w:pStyle w:val="Heading2"/>
        <w:spacing w:before="280" w:after="140" w:line="252" w:lineRule="auto"/>
        <w:keepNext w:val="1"/>
        <w:pageBreakBefore w:val="0"/>
      </w:pPr>
      <w:r>
        <w:rPr>
          <w:rFonts w:ascii="Calibri" w:hAnsi="Calibri"/>
          <w:b/>
          <w:color w:val="2E74B5"/>
          <w:sz w:val="26"/>
        </w:rPr>
        <w:t>Guided Implant Workflow</w:t>
      </w:r>
    </w:p>
    <w:tbl>
      <w:tblPr>
        <w:tblStyle w:val="TableGrid"/>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100"/>
        <w:gridCol w:w="7260"/>
      </w:tblGrid>
      <w:tr>
        <w:trPr>
          <w:tblHeader w:val="true"/>
          <w:cantSplit/>
        </w:trPr>
        <w:tc>
          <w:tcPr>
            <w:tcW w:type="dxa" w:w="2100"/>
            <w:tcMar>
              <w:top w:w="80" w:type="dxa"/>
              <w:start w:w="120" w:type="dxa"/>
              <w:bottom w:w="80" w:type="dxa"/>
              <w:end w:w="120" w:type="dxa"/>
            </w:tcMar>
            <w:vAlign w:val="center"/>
            <w:shd w:fill="F2F4F7"/>
          </w:tcPr>
          <w:p>
            <w:pPr>
              <w:spacing w:before="0" w:after="0" w:line="264" w:lineRule="auto"/>
            </w:pPr>
            <w:r>
              <w:rPr>
                <w:rFonts w:ascii="Calibri" w:hAnsi="Calibri"/>
                <w:b/>
                <w:color w:val="162236"/>
                <w:sz w:val="18"/>
              </w:rPr>
              <w:t>Field</w:t>
            </w:r>
          </w:p>
        </w:tc>
        <w:tc>
          <w:tcPr>
            <w:tcW w:type="dxa" w:w="7260"/>
            <w:tcMar>
              <w:top w:w="80" w:type="dxa"/>
              <w:start w:w="120" w:type="dxa"/>
              <w:bottom w:w="80" w:type="dxa"/>
              <w:end w:w="120" w:type="dxa"/>
            </w:tcMar>
            <w:vAlign w:val="center"/>
            <w:shd w:fill="F2F4F7"/>
          </w:tcPr>
          <w:p>
            <w:pPr>
              <w:spacing w:before="0" w:after="0" w:line="264" w:lineRule="auto"/>
            </w:pPr>
            <w:r>
              <w:rPr>
                <w:rFonts w:ascii="Calibri" w:hAnsi="Calibri"/>
                <w:b/>
                <w:color w:val="162236"/>
                <w:sz w:val="18"/>
              </w:rPr>
              <w:t>Recommendation</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Route</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/guided-implant-workflow/</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Search focus</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dental implant surgical guide design; guided implant planning</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SEO title</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Dental Implant Planning &amp; Surgical Guide Design | I3DC</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Meta description</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Restoration-led implant planning and surgical guide support for single and multiple implant cases, with clinician review before production.</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Visible H1</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Guided implant planning built around the planned restoration.</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Primary CTA</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Start a Guided Implant Case</w:t>
            </w:r>
          </w:p>
        </w:tc>
      </w:tr>
    </w:tbl>
    <w:p>
      <w:pPr>
        <w:spacing w:after="60"/>
      </w:pPr>
    </w:p>
    <w:p>
      <w:pPr>
        <w:pStyle w:val="ListBullet"/>
        <w:keepLines/>
        <w:spacing w:before="0" w:after="80" w:line="300" w:lineRule="auto"/>
      </w:pPr>
      <w:r>
        <w:rPr>
          <w:rFonts w:ascii="Calibri" w:hAnsi="Calibri"/>
          <w:color w:val="162236"/>
          <w:sz w:val="22"/>
        </w:rPr>
        <w:t>Cases this workflow fits: single, multiple, tooth-supported, tissue-supported and bone-supported cases where applicable.</w:t>
      </w:r>
    </w:p>
    <w:p>
      <w:pPr>
        <w:pStyle w:val="ListBullet"/>
        <w:keepLines/>
        <w:spacing w:before="0" w:after="80" w:line="300" w:lineRule="auto"/>
      </w:pPr>
      <w:r>
        <w:rPr>
          <w:rFonts w:ascii="Calibri" w:hAnsi="Calibri"/>
          <w:color w:val="162236"/>
          <w:sz w:val="22"/>
        </w:rPr>
        <w:t>Data required: DICOM, IOS or model scan, bite/reference data, implant system and prosthetic objective.</w:t>
      </w:r>
    </w:p>
    <w:p>
      <w:pPr>
        <w:pStyle w:val="ListBullet"/>
        <w:keepLines/>
        <w:spacing w:before="0" w:after="80" w:line="300" w:lineRule="auto"/>
      </w:pPr>
      <w:r>
        <w:rPr>
          <w:rFonts w:ascii="Calibri" w:hAnsi="Calibri"/>
          <w:color w:val="162236"/>
          <w:sz w:val="22"/>
        </w:rPr>
        <w:t>What the team checks: file alignment, anatomy visibility, prosthetic reference, guide support and drilling protocol information.</w:t>
      </w:r>
    </w:p>
    <w:p>
      <w:pPr>
        <w:pStyle w:val="ListBullet"/>
        <w:keepLines/>
        <w:spacing w:before="0" w:after="80" w:line="300" w:lineRule="auto"/>
      </w:pPr>
      <w:r>
        <w:rPr>
          <w:rFonts w:ascii="Calibri" w:hAnsi="Calibri"/>
          <w:color w:val="162236"/>
          <w:sz w:val="22"/>
        </w:rPr>
        <w:t>What the dentist reviews: proposed implant position, guide concept and case-specific notes.</w:t>
      </w:r>
    </w:p>
    <w:p>
      <w:pPr>
        <w:pStyle w:val="ListBullet"/>
        <w:keepLines/>
        <w:spacing w:before="0" w:after="80" w:line="300" w:lineRule="auto"/>
      </w:pPr>
      <w:r>
        <w:rPr>
          <w:rFonts w:ascii="Calibri" w:hAnsi="Calibri"/>
          <w:color w:val="162236"/>
          <w:sz w:val="22"/>
        </w:rPr>
        <w:t>What is delivered: define planning files, guide files, printed guide or associated components by selected scope.</w:t>
      </w:r>
    </w:p>
    <w:p>
      <w:pPr>
        <w:pStyle w:val="ListBullet"/>
        <w:keepLines/>
        <w:spacing w:before="0" w:after="80" w:line="300" w:lineRule="auto"/>
      </w:pPr>
      <w:r>
        <w:rPr>
          <w:rFonts w:ascii="Calibri" w:hAnsi="Calibri"/>
          <w:color w:val="162236"/>
          <w:sz w:val="22"/>
        </w:rPr>
        <w:t>Visible FAQ: compatibility, pilot versus fully guided, revisions, approval and turnaround start point.</w:t>
      </w:r>
    </w:p>
    <w:p>
      <w:pPr>
        <w:pStyle w:val="Heading2"/>
        <w:spacing w:before="280" w:after="140" w:line="252" w:lineRule="auto"/>
        <w:keepNext w:val="1"/>
        <w:pageBreakBefore w:val="0"/>
      </w:pPr>
      <w:r>
        <w:rPr>
          <w:rFonts w:ascii="Calibri" w:hAnsi="Calibri"/>
          <w:b/>
          <w:color w:val="2E74B5"/>
          <w:sz w:val="26"/>
        </w:rPr>
        <w:t>Full-Arch Stackable Workflow</w:t>
      </w:r>
    </w:p>
    <w:tbl>
      <w:tblPr>
        <w:tblStyle w:val="TableGrid"/>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100"/>
        <w:gridCol w:w="7260"/>
      </w:tblGrid>
      <w:tr>
        <w:trPr>
          <w:tblHeader w:val="true"/>
          <w:cantSplit/>
        </w:trPr>
        <w:tc>
          <w:tcPr>
            <w:tcW w:type="dxa" w:w="2100"/>
            <w:tcMar>
              <w:top w:w="80" w:type="dxa"/>
              <w:start w:w="120" w:type="dxa"/>
              <w:bottom w:w="80" w:type="dxa"/>
              <w:end w:w="120" w:type="dxa"/>
            </w:tcMar>
            <w:vAlign w:val="center"/>
            <w:shd w:fill="F2F4F7"/>
          </w:tcPr>
          <w:p>
            <w:pPr>
              <w:spacing w:before="0" w:after="0" w:line="264" w:lineRule="auto"/>
            </w:pPr>
            <w:r>
              <w:rPr>
                <w:rFonts w:ascii="Calibri" w:hAnsi="Calibri"/>
                <w:b/>
                <w:color w:val="162236"/>
                <w:sz w:val="18"/>
              </w:rPr>
              <w:t>Field</w:t>
            </w:r>
          </w:p>
        </w:tc>
        <w:tc>
          <w:tcPr>
            <w:tcW w:type="dxa" w:w="7260"/>
            <w:tcMar>
              <w:top w:w="80" w:type="dxa"/>
              <w:start w:w="120" w:type="dxa"/>
              <w:bottom w:w="80" w:type="dxa"/>
              <w:end w:w="120" w:type="dxa"/>
            </w:tcMar>
            <w:vAlign w:val="center"/>
            <w:shd w:fill="F2F4F7"/>
          </w:tcPr>
          <w:p>
            <w:pPr>
              <w:spacing w:before="0" w:after="0" w:line="264" w:lineRule="auto"/>
            </w:pPr>
            <w:r>
              <w:rPr>
                <w:rFonts w:ascii="Calibri" w:hAnsi="Calibri"/>
                <w:b/>
                <w:color w:val="162236"/>
                <w:sz w:val="18"/>
              </w:rPr>
              <w:t>Recommendation</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Route</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/full-arch-stackable-workflow/</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Search focus</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stackable surgical guide; full-arch implant planning; bone reduction guide</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SEO title</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Full-Arch Stackable Surgical Guide Workflow | I3DC</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Meta description</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Coordinate bone reduction, implant placement, MUA positioning and provisional delivery through a planned full-arch stackable guide sequence.</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Visible H1</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One planned sequence for full-arch surgery and provisional delivery.</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Primary CTA</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Discuss a Full-Arch Case</w:t>
            </w:r>
          </w:p>
        </w:tc>
      </w:tr>
    </w:tbl>
    <w:p>
      <w:pPr>
        <w:spacing w:after="60"/>
      </w:pPr>
    </w:p>
    <w:p>
      <w:pPr>
        <w:pStyle w:val="ListBullet"/>
        <w:keepLines/>
        <w:spacing w:before="0" w:after="80" w:line="300" w:lineRule="auto"/>
      </w:pPr>
      <w:r>
        <w:rPr>
          <w:rFonts w:ascii="Calibri" w:hAnsi="Calibri"/>
          <w:color w:val="162236"/>
          <w:sz w:val="22"/>
        </w:rPr>
        <w:t>Open with the sequence, shown visually: foundation or pin guide → bone reduction → osteotomy / implant guide → MUA positioning → prosthetic pickup or delivery reference.</w:t>
      </w:r>
    </w:p>
    <w:p>
      <w:pPr>
        <w:pStyle w:val="ListBullet"/>
        <w:keepLines/>
        <w:spacing w:before="0" w:after="80" w:line="300" w:lineRule="auto"/>
      </w:pPr>
      <w:r>
        <w:rPr>
          <w:rFonts w:ascii="Calibri" w:hAnsi="Calibri"/>
          <w:color w:val="162236"/>
          <w:sz w:val="22"/>
        </w:rPr>
        <w:t>Explain why the prosthetic objective must be established before the guide stack is finalised.</w:t>
      </w:r>
    </w:p>
    <w:p>
      <w:pPr>
        <w:pStyle w:val="ListBullet"/>
        <w:keepLines/>
        <w:spacing w:before="0" w:after="80" w:line="300" w:lineRule="auto"/>
      </w:pPr>
      <w:r>
        <w:rPr>
          <w:rFonts w:ascii="Calibri" w:hAnsi="Calibri"/>
          <w:color w:val="162236"/>
          <w:sz w:val="22"/>
        </w:rPr>
        <w:t>Show the records required for dentate, terminal dentition and edentulous presentations.</w:t>
      </w:r>
    </w:p>
    <w:p>
      <w:pPr>
        <w:pStyle w:val="ListBullet"/>
        <w:keepLines/>
        <w:spacing w:before="0" w:after="80" w:line="300" w:lineRule="auto"/>
      </w:pPr>
      <w:r>
        <w:rPr>
          <w:rFonts w:ascii="Calibri" w:hAnsi="Calibri"/>
          <w:color w:val="162236"/>
          <w:sz w:val="22"/>
        </w:rPr>
        <w:t>Define approval gates for bone reduction, implant positions, MUA plan and provisional design.</w:t>
      </w:r>
    </w:p>
    <w:p>
      <w:pPr>
        <w:pStyle w:val="ListBullet"/>
        <w:keepLines/>
        <w:spacing w:before="0" w:after="80" w:line="300" w:lineRule="auto"/>
      </w:pPr>
      <w:r>
        <w:rPr>
          <w:rFonts w:ascii="Calibri" w:hAnsi="Calibri"/>
          <w:color w:val="162236"/>
          <w:sz w:val="22"/>
        </w:rPr>
        <w:t>Show one anonymised case as a sequence, not as a gallery of unrelated images.</w:t>
      </w:r>
    </w:p>
    <w:p>
      <w:pPr>
        <w:pStyle w:val="ListBullet"/>
        <w:keepLines/>
        <w:spacing w:before="0" w:after="80" w:line="300" w:lineRule="auto"/>
      </w:pPr>
      <w:r>
        <w:rPr>
          <w:rFonts w:ascii="Calibri" w:hAnsi="Calibri"/>
          <w:color w:val="162236"/>
          <w:sz w:val="22"/>
        </w:rPr>
        <w:t>Avoid promising same-day teeth unless the treatment team, components and provisional workflow support it.</w:t>
      </w:r>
    </w:p>
    <w:p>
      <w:pPr>
        <w:pStyle w:val="Heading2"/>
        <w:spacing w:before="280" w:after="140" w:line="252" w:lineRule="auto"/>
        <w:keepNext w:val="1"/>
        <w:pageBreakBefore w:val="0"/>
      </w:pPr>
      <w:r>
        <w:rPr>
          <w:rFonts w:ascii="Calibri" w:hAnsi="Calibri"/>
          <w:b/>
          <w:color w:val="2E74B5"/>
          <w:sz w:val="26"/>
        </w:rPr>
        <w:t>Zygoma &amp; Pterygoid Planning Workflow</w:t>
      </w:r>
    </w:p>
    <w:tbl>
      <w:tblPr>
        <w:tblStyle w:val="TableGrid"/>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100"/>
        <w:gridCol w:w="7260"/>
      </w:tblGrid>
      <w:tr>
        <w:trPr>
          <w:tblHeader w:val="true"/>
          <w:cantSplit/>
        </w:trPr>
        <w:tc>
          <w:tcPr>
            <w:tcW w:type="dxa" w:w="2100"/>
            <w:tcMar>
              <w:top w:w="80" w:type="dxa"/>
              <w:start w:w="120" w:type="dxa"/>
              <w:bottom w:w="80" w:type="dxa"/>
              <w:end w:w="120" w:type="dxa"/>
            </w:tcMar>
            <w:vAlign w:val="center"/>
            <w:shd w:fill="F2F4F7"/>
          </w:tcPr>
          <w:p>
            <w:pPr>
              <w:spacing w:before="0" w:after="0" w:line="264" w:lineRule="auto"/>
            </w:pPr>
            <w:r>
              <w:rPr>
                <w:rFonts w:ascii="Calibri" w:hAnsi="Calibri"/>
                <w:b/>
                <w:color w:val="162236"/>
                <w:sz w:val="18"/>
              </w:rPr>
              <w:t>Field</w:t>
            </w:r>
          </w:p>
        </w:tc>
        <w:tc>
          <w:tcPr>
            <w:tcW w:type="dxa" w:w="7260"/>
            <w:tcMar>
              <w:top w:w="80" w:type="dxa"/>
              <w:start w:w="120" w:type="dxa"/>
              <w:bottom w:w="80" w:type="dxa"/>
              <w:end w:w="120" w:type="dxa"/>
            </w:tcMar>
            <w:vAlign w:val="center"/>
            <w:shd w:fill="F2F4F7"/>
          </w:tcPr>
          <w:p>
            <w:pPr>
              <w:spacing w:before="0" w:after="0" w:line="264" w:lineRule="auto"/>
            </w:pPr>
            <w:r>
              <w:rPr>
                <w:rFonts w:ascii="Calibri" w:hAnsi="Calibri"/>
                <w:b/>
                <w:color w:val="162236"/>
                <w:sz w:val="18"/>
              </w:rPr>
              <w:t>Recommendation</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Route</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/zygoma-pterygoid-planning/</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Search focus</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zygomatic implant planning; pterygoid implant planning</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SEO title</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Zygomatic &amp; Pterygoid Implant Planning | I3DC</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Meta description</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Advanced digital planning support for zygomatic and pterygoid implant cases, coordinated around anatomy, restorative intent and clinician approval.</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Visible H1</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Advanced implant planning where anatomy and restoration must agree.</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Primary CTA</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Discuss an Advanced Case</w:t>
            </w:r>
          </w:p>
        </w:tc>
      </w:tr>
    </w:tbl>
    <w:p>
      <w:pPr>
        <w:spacing w:after="60"/>
      </w:pPr>
    </w:p>
    <w:p>
      <w:pPr>
        <w:pStyle w:val="ListBullet"/>
        <w:keepLines/>
        <w:spacing w:before="0" w:after="80" w:line="300" w:lineRule="auto"/>
      </w:pPr>
      <w:r>
        <w:rPr>
          <w:rFonts w:ascii="Calibri" w:hAnsi="Calibri"/>
          <w:color w:val="162236"/>
          <w:sz w:val="22"/>
        </w:rPr>
        <w:t>State clearly that this is planning and workflow support for qualified treating clinicians.</w:t>
      </w:r>
    </w:p>
    <w:p>
      <w:pPr>
        <w:pStyle w:val="ListBullet"/>
        <w:keepLines/>
        <w:spacing w:before="0" w:after="80" w:line="300" w:lineRule="auto"/>
      </w:pPr>
      <w:r>
        <w:rPr>
          <w:rFonts w:ascii="Calibri" w:hAnsi="Calibri"/>
          <w:color w:val="162236"/>
          <w:sz w:val="22"/>
        </w:rPr>
        <w:t>Show anatomy review, implant trajectory, prosthetic reference, guide concept and approval as distinct stages.</w:t>
      </w:r>
    </w:p>
    <w:p>
      <w:pPr>
        <w:pStyle w:val="ListBullet"/>
        <w:keepLines/>
        <w:spacing w:before="0" w:after="80" w:line="300" w:lineRule="auto"/>
      </w:pPr>
      <w:r>
        <w:rPr>
          <w:rFonts w:ascii="Calibri" w:hAnsi="Calibri"/>
          <w:color w:val="162236"/>
          <w:sz w:val="22"/>
        </w:rPr>
        <w:t>Identify the additional imaging, scan and prosthetic records that may be required.</w:t>
      </w:r>
    </w:p>
    <w:p>
      <w:pPr>
        <w:pStyle w:val="ListBullet"/>
        <w:keepLines/>
        <w:spacing w:before="0" w:after="80" w:line="300" w:lineRule="auto"/>
      </w:pPr>
      <w:r>
        <w:rPr>
          <w:rFonts w:ascii="Calibri" w:hAnsi="Calibri"/>
          <w:color w:val="162236"/>
          <w:sz w:val="22"/>
        </w:rPr>
        <w:t>Use restrained language; never imply the guide removes the clinical risk of advanced surgery.</w:t>
      </w:r>
    </w:p>
    <w:p>
      <w:pPr>
        <w:pStyle w:val="ListBullet"/>
        <w:keepLines/>
        <w:spacing w:before="0" w:after="80" w:line="300" w:lineRule="auto"/>
      </w:pPr>
      <w:r>
        <w:rPr>
          <w:rFonts w:ascii="Calibri" w:hAnsi="Calibri"/>
          <w:color w:val="162236"/>
          <w:sz w:val="22"/>
        </w:rPr>
        <w:t>Include named technical and clinical review roles once verified.</w:t>
      </w:r>
    </w:p>
    <w:p>
      <w:pPr>
        <w:pStyle w:val="Heading2"/>
        <w:spacing w:before="280" w:after="140" w:line="252" w:lineRule="auto"/>
        <w:keepNext w:val="1"/>
        <w:pageBreakBefore w:val="0"/>
      </w:pPr>
      <w:r>
        <w:rPr>
          <w:rFonts w:ascii="Calibri" w:hAnsi="Calibri"/>
          <w:b/>
          <w:color w:val="2E74B5"/>
          <w:sz w:val="26"/>
        </w:rPr>
        <w:t>Immediate-Loading Prosthetic Workflow</w:t>
      </w:r>
    </w:p>
    <w:tbl>
      <w:tblPr>
        <w:tblStyle w:val="TableGrid"/>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100"/>
        <w:gridCol w:w="7260"/>
      </w:tblGrid>
      <w:tr>
        <w:trPr>
          <w:tblHeader w:val="true"/>
          <w:cantSplit/>
        </w:trPr>
        <w:tc>
          <w:tcPr>
            <w:tcW w:type="dxa" w:w="2100"/>
            <w:tcMar>
              <w:top w:w="80" w:type="dxa"/>
              <w:start w:w="120" w:type="dxa"/>
              <w:bottom w:w="80" w:type="dxa"/>
              <w:end w:w="120" w:type="dxa"/>
            </w:tcMar>
            <w:vAlign w:val="center"/>
            <w:shd w:fill="F2F4F7"/>
          </w:tcPr>
          <w:p>
            <w:pPr>
              <w:spacing w:before="0" w:after="0" w:line="264" w:lineRule="auto"/>
            </w:pPr>
            <w:r>
              <w:rPr>
                <w:rFonts w:ascii="Calibri" w:hAnsi="Calibri"/>
                <w:b/>
                <w:color w:val="162236"/>
                <w:sz w:val="18"/>
              </w:rPr>
              <w:t>Field</w:t>
            </w:r>
          </w:p>
        </w:tc>
        <w:tc>
          <w:tcPr>
            <w:tcW w:type="dxa" w:w="7260"/>
            <w:tcMar>
              <w:top w:w="80" w:type="dxa"/>
              <w:start w:w="120" w:type="dxa"/>
              <w:bottom w:w="80" w:type="dxa"/>
              <w:end w:w="120" w:type="dxa"/>
            </w:tcMar>
            <w:vAlign w:val="center"/>
            <w:shd w:fill="F2F4F7"/>
          </w:tcPr>
          <w:p>
            <w:pPr>
              <w:spacing w:before="0" w:after="0" w:line="264" w:lineRule="auto"/>
            </w:pPr>
            <w:r>
              <w:rPr>
                <w:rFonts w:ascii="Calibri" w:hAnsi="Calibri"/>
                <w:b/>
                <w:color w:val="162236"/>
                <w:sz w:val="18"/>
              </w:rPr>
              <w:t>Recommendation</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Route</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/immediate-loading-workflow/</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Search focus</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immediate-loading implant workflow; immediate provisional prosthesis planning</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SEO title</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Immediate-Loading Implant &amp; Prosthetic Workflow | I3DC</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Meta description</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Coordinate the implant plan, surgical guide and immediate provisional references before the planned loading appointment.</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Visible H1</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Align the plan, the guide and the provisional before surgery.</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Primary CTA</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Review Immediate-Loading Requirements</w:t>
            </w:r>
          </w:p>
        </w:tc>
      </w:tr>
    </w:tbl>
    <w:p>
      <w:pPr>
        <w:spacing w:after="60"/>
      </w:pPr>
    </w:p>
    <w:p>
      <w:pPr>
        <w:pStyle w:val="ListBullet"/>
        <w:keepLines/>
        <w:spacing w:before="0" w:after="80" w:line="300" w:lineRule="auto"/>
      </w:pPr>
      <w:r>
        <w:rPr>
          <w:rFonts w:ascii="Calibri" w:hAnsi="Calibri"/>
          <w:color w:val="162236"/>
          <w:sz w:val="22"/>
        </w:rPr>
        <w:t>Clarify FP1, FP2 and FP3 planning language where it affects the design.</w:t>
      </w:r>
    </w:p>
    <w:p>
      <w:pPr>
        <w:pStyle w:val="ListBullet"/>
        <w:keepLines/>
        <w:spacing w:before="0" w:after="80" w:line="300" w:lineRule="auto"/>
      </w:pPr>
      <w:r>
        <w:rPr>
          <w:rFonts w:ascii="Calibri" w:hAnsi="Calibri"/>
          <w:color w:val="162236"/>
          <w:sz w:val="22"/>
        </w:rPr>
        <w:t>Show how smile reference, vertical dimension, occlusion and restorative space inform the workflow.</w:t>
      </w:r>
    </w:p>
    <w:p>
      <w:pPr>
        <w:pStyle w:val="ListBullet"/>
        <w:keepLines/>
        <w:spacing w:before="0" w:after="80" w:line="300" w:lineRule="auto"/>
      </w:pPr>
      <w:r>
        <w:rPr>
          <w:rFonts w:ascii="Calibri" w:hAnsi="Calibri"/>
          <w:color w:val="162236"/>
          <w:sz w:val="22"/>
        </w:rPr>
        <w:t>Separate preoperative design, intraoperative pickup and definitive restoration; do not merge them into one promise.</w:t>
      </w:r>
    </w:p>
    <w:p>
      <w:pPr>
        <w:pStyle w:val="ListBullet"/>
        <w:keepLines/>
        <w:spacing w:before="0" w:after="80" w:line="300" w:lineRule="auto"/>
      </w:pPr>
      <w:r>
        <w:rPr>
          <w:rFonts w:ascii="Calibri" w:hAnsi="Calibri"/>
          <w:color w:val="162236"/>
          <w:sz w:val="22"/>
        </w:rPr>
        <w:t>Define what must be approved before guide and provisional production.</w:t>
      </w:r>
    </w:p>
    <w:p>
      <w:pPr>
        <w:pStyle w:val="Heading2"/>
        <w:spacing w:before="280" w:after="140" w:line="252" w:lineRule="auto"/>
        <w:keepNext w:val="1"/>
        <w:pageBreakBefore w:val="0"/>
      </w:pPr>
      <w:r>
        <w:rPr>
          <w:rFonts w:ascii="Calibri" w:hAnsi="Calibri"/>
          <w:b/>
          <w:color w:val="2E74B5"/>
          <w:sz w:val="26"/>
        </w:rPr>
        <w:t>Case Data &amp; Diagnostic Preparation</w:t>
      </w:r>
    </w:p>
    <w:tbl>
      <w:tblPr>
        <w:tblStyle w:val="TableGrid"/>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100"/>
        <w:gridCol w:w="7260"/>
      </w:tblGrid>
      <w:tr>
        <w:trPr>
          <w:tblHeader w:val="true"/>
          <w:cantSplit/>
        </w:trPr>
        <w:tc>
          <w:tcPr>
            <w:tcW w:type="dxa" w:w="2100"/>
            <w:tcMar>
              <w:top w:w="80" w:type="dxa"/>
              <w:start w:w="120" w:type="dxa"/>
              <w:bottom w:w="80" w:type="dxa"/>
              <w:end w:w="120" w:type="dxa"/>
            </w:tcMar>
            <w:vAlign w:val="center"/>
            <w:shd w:fill="F2F4F7"/>
          </w:tcPr>
          <w:p>
            <w:pPr>
              <w:spacing w:before="0" w:after="0" w:line="264" w:lineRule="auto"/>
            </w:pPr>
            <w:r>
              <w:rPr>
                <w:rFonts w:ascii="Calibri" w:hAnsi="Calibri"/>
                <w:b/>
                <w:color w:val="162236"/>
                <w:sz w:val="18"/>
              </w:rPr>
              <w:t>Field</w:t>
            </w:r>
          </w:p>
        </w:tc>
        <w:tc>
          <w:tcPr>
            <w:tcW w:type="dxa" w:w="7260"/>
            <w:tcMar>
              <w:top w:w="80" w:type="dxa"/>
              <w:start w:w="120" w:type="dxa"/>
              <w:bottom w:w="80" w:type="dxa"/>
              <w:end w:w="120" w:type="dxa"/>
            </w:tcMar>
            <w:vAlign w:val="center"/>
            <w:shd w:fill="F2F4F7"/>
          </w:tcPr>
          <w:p>
            <w:pPr>
              <w:spacing w:before="0" w:after="0" w:line="264" w:lineRule="auto"/>
            </w:pPr>
            <w:r>
              <w:rPr>
                <w:rFonts w:ascii="Calibri" w:hAnsi="Calibri"/>
                <w:b/>
                <w:color w:val="162236"/>
                <w:sz w:val="18"/>
              </w:rPr>
              <w:t>Recommendation</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Route</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/case-data-preparation/</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Search focus</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DICOM to STL dental; dental CBCT segmentation; radiology reporting</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SEO title</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DICOM to STL, CBCT Segmentation &amp; Case Preparation | I3DC</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Meta description</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Prepare dental case data with DICOM-to-STL conversion, CBCT segmentation, scan alignment and diagnostic support for digital workflows.</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Visible H1</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Reliable planning begins with usable case data.</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Primary CTA</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Review File Requirements</w:t>
            </w:r>
          </w:p>
        </w:tc>
      </w:tr>
    </w:tbl>
    <w:p>
      <w:pPr>
        <w:spacing w:after="60"/>
      </w:pPr>
    </w:p>
    <w:p>
      <w:pPr>
        <w:pStyle w:val="ListBullet"/>
        <w:keepLines/>
        <w:spacing w:before="0" w:after="80" w:line="300" w:lineRule="auto"/>
      </w:pPr>
      <w:r>
        <w:rPr>
          <w:rFonts w:ascii="Calibri" w:hAnsi="Calibri"/>
          <w:color w:val="162236"/>
          <w:sz w:val="22"/>
        </w:rPr>
        <w:t>Explain DICOM handling, IOS/model scan use, segmentation and alignment in plain language.</w:t>
      </w:r>
    </w:p>
    <w:p>
      <w:pPr>
        <w:pStyle w:val="ListBullet"/>
        <w:keepLines/>
        <w:spacing w:before="0" w:after="80" w:line="300" w:lineRule="auto"/>
      </w:pPr>
      <w:r>
        <w:rPr>
          <w:rFonts w:ascii="Calibri" w:hAnsi="Calibri"/>
          <w:color w:val="162236"/>
          <w:sz w:val="22"/>
        </w:rPr>
        <w:t>Separate technical preparation from radiology interpretation and state who provides each service.</w:t>
      </w:r>
    </w:p>
    <w:p>
      <w:pPr>
        <w:pStyle w:val="ListBullet"/>
        <w:keepLines/>
        <w:spacing w:before="0" w:after="80" w:line="300" w:lineRule="auto"/>
      </w:pPr>
      <w:r>
        <w:rPr>
          <w:rFonts w:ascii="Calibri" w:hAnsi="Calibri"/>
          <w:color w:val="162236"/>
          <w:sz w:val="22"/>
        </w:rPr>
        <w:t>Show accepted file types and common reasons files cannot move into planning.</w:t>
      </w:r>
    </w:p>
    <w:p>
      <w:pPr>
        <w:pStyle w:val="ListBullet"/>
        <w:keepLines/>
        <w:spacing w:before="0" w:after="80" w:line="300" w:lineRule="auto"/>
      </w:pPr>
      <w:r>
        <w:rPr>
          <w:rFonts w:ascii="Calibri" w:hAnsi="Calibri"/>
          <w:color w:val="162236"/>
          <w:sz w:val="22"/>
        </w:rPr>
        <w:t>Link directly to scan protocols and the secure portal.</w:t>
      </w:r>
    </w:p>
    <w:p>
      <w:pPr>
        <w:pStyle w:val="Heading2"/>
        <w:spacing w:before="280" w:after="140" w:line="252" w:lineRule="auto"/>
        <w:keepNext w:val="1"/>
        <w:pageBreakBefore w:val="0"/>
      </w:pPr>
      <w:r>
        <w:rPr>
          <w:rFonts w:ascii="Calibri" w:hAnsi="Calibri"/>
          <w:b/>
          <w:color w:val="2E74B5"/>
          <w:sz w:val="26"/>
        </w:rPr>
        <w:t>Design-Only Workflow</w:t>
      </w:r>
    </w:p>
    <w:tbl>
      <w:tblPr>
        <w:tblStyle w:val="TableGrid"/>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100"/>
        <w:gridCol w:w="7260"/>
      </w:tblGrid>
      <w:tr>
        <w:trPr>
          <w:tblHeader w:val="true"/>
          <w:cantSplit/>
        </w:trPr>
        <w:tc>
          <w:tcPr>
            <w:tcW w:type="dxa" w:w="2100"/>
            <w:tcMar>
              <w:top w:w="80" w:type="dxa"/>
              <w:start w:w="120" w:type="dxa"/>
              <w:bottom w:w="80" w:type="dxa"/>
              <w:end w:w="120" w:type="dxa"/>
            </w:tcMar>
            <w:vAlign w:val="center"/>
            <w:shd w:fill="F2F4F7"/>
          </w:tcPr>
          <w:p>
            <w:pPr>
              <w:spacing w:before="0" w:after="0" w:line="264" w:lineRule="auto"/>
            </w:pPr>
            <w:r>
              <w:rPr>
                <w:rFonts w:ascii="Calibri" w:hAnsi="Calibri"/>
                <w:b/>
                <w:color w:val="162236"/>
                <w:sz w:val="18"/>
              </w:rPr>
              <w:t>Field</w:t>
            </w:r>
          </w:p>
        </w:tc>
        <w:tc>
          <w:tcPr>
            <w:tcW w:type="dxa" w:w="7260"/>
            <w:tcMar>
              <w:top w:w="80" w:type="dxa"/>
              <w:start w:w="120" w:type="dxa"/>
              <w:bottom w:w="80" w:type="dxa"/>
              <w:end w:w="120" w:type="dxa"/>
            </w:tcMar>
            <w:vAlign w:val="center"/>
            <w:shd w:fill="F2F4F7"/>
          </w:tcPr>
          <w:p>
            <w:pPr>
              <w:spacing w:before="0" w:after="0" w:line="264" w:lineRule="auto"/>
            </w:pPr>
            <w:r>
              <w:rPr>
                <w:rFonts w:ascii="Calibri" w:hAnsi="Calibri"/>
                <w:b/>
                <w:color w:val="162236"/>
                <w:sz w:val="18"/>
              </w:rPr>
              <w:t>Recommendation</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Route</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/design-only-workflow/</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Search focus</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surgical guide STL design service; dental CAD design service</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SEO title</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Dental Surgical Guide Design &amp; Ready-to-Print STL | I3DC</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Meta description</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Receive reviewed, ready-to-print dental planning and guide files for production through your own validated printing workflow.</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Visible H1</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Expert design files for your own production workflow.</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Primary CTA</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Start a Design-Only Case</w:t>
            </w:r>
          </w:p>
        </w:tc>
      </w:tr>
    </w:tbl>
    <w:p>
      <w:pPr>
        <w:spacing w:after="60"/>
      </w:pPr>
    </w:p>
    <w:p>
      <w:pPr>
        <w:pStyle w:val="ListBullet"/>
        <w:keepLines/>
        <w:spacing w:before="0" w:after="80" w:line="300" w:lineRule="auto"/>
      </w:pPr>
      <w:r>
        <w:rPr>
          <w:rFonts w:ascii="Calibri" w:hAnsi="Calibri"/>
          <w:color w:val="162236"/>
          <w:sz w:val="22"/>
        </w:rPr>
        <w:t>Define exactly which files can be supplied and what the receiving lab or practice must validate.</w:t>
      </w:r>
    </w:p>
    <w:p>
      <w:pPr>
        <w:pStyle w:val="ListBullet"/>
        <w:keepLines/>
        <w:spacing w:before="0" w:after="80" w:line="300" w:lineRule="auto"/>
      </w:pPr>
      <w:r>
        <w:rPr>
          <w:rFonts w:ascii="Calibri" w:hAnsi="Calibri"/>
          <w:color w:val="162236"/>
          <w:sz w:val="22"/>
        </w:rPr>
        <w:t>State that print orientation, material, printer calibration, post-processing and device release remain production responsibilities unless included in scope.</w:t>
      </w:r>
    </w:p>
    <w:p>
      <w:pPr>
        <w:pStyle w:val="ListBullet"/>
        <w:keepLines/>
        <w:spacing w:before="0" w:after="80" w:line="300" w:lineRule="auto"/>
      </w:pPr>
      <w:r>
        <w:rPr>
          <w:rFonts w:ascii="Calibri" w:hAnsi="Calibri"/>
          <w:color w:val="162236"/>
          <w:sz w:val="22"/>
        </w:rPr>
        <w:t>Show revision and approval rules before final file release.</w:t>
      </w:r>
    </w:p>
    <w:p>
      <w:pPr>
        <w:pStyle w:val="Heading2"/>
        <w:spacing w:before="280" w:after="140" w:line="252" w:lineRule="auto"/>
        <w:keepNext w:val="1"/>
        <w:pageBreakBefore w:val="0"/>
      </w:pPr>
      <w:r>
        <w:rPr>
          <w:rFonts w:ascii="Calibri" w:hAnsi="Calibri"/>
          <w:b/>
          <w:color w:val="2E74B5"/>
          <w:sz w:val="26"/>
        </w:rPr>
        <w:t>Design-to-Delivery Workflow</w:t>
      </w:r>
    </w:p>
    <w:tbl>
      <w:tblPr>
        <w:tblStyle w:val="TableGrid"/>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100"/>
        <w:gridCol w:w="7260"/>
      </w:tblGrid>
      <w:tr>
        <w:trPr>
          <w:tblHeader w:val="true"/>
          <w:cantSplit/>
        </w:trPr>
        <w:tc>
          <w:tcPr>
            <w:tcW w:type="dxa" w:w="2100"/>
            <w:tcMar>
              <w:top w:w="80" w:type="dxa"/>
              <w:start w:w="120" w:type="dxa"/>
              <w:bottom w:w="80" w:type="dxa"/>
              <w:end w:w="120" w:type="dxa"/>
            </w:tcMar>
            <w:vAlign w:val="center"/>
            <w:shd w:fill="F2F4F7"/>
          </w:tcPr>
          <w:p>
            <w:pPr>
              <w:spacing w:before="0" w:after="0" w:line="264" w:lineRule="auto"/>
            </w:pPr>
            <w:r>
              <w:rPr>
                <w:rFonts w:ascii="Calibri" w:hAnsi="Calibri"/>
                <w:b/>
                <w:color w:val="162236"/>
                <w:sz w:val="18"/>
              </w:rPr>
              <w:t>Field</w:t>
            </w:r>
          </w:p>
        </w:tc>
        <w:tc>
          <w:tcPr>
            <w:tcW w:type="dxa" w:w="7260"/>
            <w:tcMar>
              <w:top w:w="80" w:type="dxa"/>
              <w:start w:w="120" w:type="dxa"/>
              <w:bottom w:w="80" w:type="dxa"/>
              <w:end w:w="120" w:type="dxa"/>
            </w:tcMar>
            <w:vAlign w:val="center"/>
            <w:shd w:fill="F2F4F7"/>
          </w:tcPr>
          <w:p>
            <w:pPr>
              <w:spacing w:before="0" w:after="0" w:line="264" w:lineRule="auto"/>
            </w:pPr>
            <w:r>
              <w:rPr>
                <w:rFonts w:ascii="Calibri" w:hAnsi="Calibri"/>
                <w:b/>
                <w:color w:val="162236"/>
                <w:sz w:val="18"/>
              </w:rPr>
              <w:t>Recommendation</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Route</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/design-to-delivery/</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Search focus</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implant planning guide design and delivery</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SEO title</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Implant Planning, Guide Design &amp; Delivery | I3DC</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Meta description</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Coordinate digital implant planning, guide design, production checks and delivery through one visible case workflow.</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Visible H1</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One coordinated path from case data to surgery-ready delivery.</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Primary CTA</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Start a Complete Workflow</w:t>
            </w:r>
          </w:p>
        </w:tc>
      </w:tr>
    </w:tbl>
    <w:p>
      <w:pPr>
        <w:spacing w:after="60"/>
      </w:pPr>
    </w:p>
    <w:p>
      <w:pPr>
        <w:pStyle w:val="ListBullet"/>
        <w:keepLines/>
        <w:spacing w:before="0" w:after="80" w:line="300" w:lineRule="auto"/>
      </w:pPr>
      <w:r>
        <w:rPr>
          <w:rFonts w:ascii="Calibri" w:hAnsi="Calibri"/>
          <w:color w:val="162236"/>
          <w:sz w:val="22"/>
        </w:rPr>
        <w:t>Show scope confirmation, quotation, planning, approval, production, quality check and dispatch.</w:t>
      </w:r>
    </w:p>
    <w:p>
      <w:pPr>
        <w:pStyle w:val="ListBullet"/>
        <w:keepLines/>
        <w:spacing w:before="0" w:after="80" w:line="300" w:lineRule="auto"/>
      </w:pPr>
      <w:r>
        <w:rPr>
          <w:rFonts w:ascii="Calibri" w:hAnsi="Calibri"/>
          <w:color w:val="162236"/>
          <w:sz w:val="22"/>
        </w:rPr>
        <w:t>Separate committed turnaround from courier transit and from delays caused by incomplete records or pending approval.</w:t>
      </w:r>
    </w:p>
    <w:p>
      <w:pPr>
        <w:pStyle w:val="ListBullet"/>
        <w:keepLines/>
        <w:spacing w:before="0" w:after="80" w:line="300" w:lineRule="auto"/>
      </w:pPr>
      <w:r>
        <w:rPr>
          <w:rFonts w:ascii="Calibri" w:hAnsi="Calibri"/>
          <w:color w:val="162236"/>
          <w:sz w:val="22"/>
        </w:rPr>
        <w:t>List regions served only after logistics and regulatory requirements are verified.</w:t>
      </w:r>
    </w:p>
    <w:p>
      <w:pPr>
        <w:pStyle w:val="Heading2"/>
        <w:spacing w:before="280" w:after="140" w:line="252" w:lineRule="auto"/>
        <w:keepNext w:val="1"/>
        <w:pageBreakBefore w:val="0"/>
      </w:pPr>
      <w:r>
        <w:rPr>
          <w:rFonts w:ascii="Calibri" w:hAnsi="Calibri"/>
          <w:b/>
          <w:color w:val="2E74B5"/>
          <w:sz w:val="26"/>
        </w:rPr>
        <w:t>White-Label Workflow Partnership</w:t>
      </w:r>
    </w:p>
    <w:tbl>
      <w:tblPr>
        <w:tblStyle w:val="TableGrid"/>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100"/>
        <w:gridCol w:w="7260"/>
      </w:tblGrid>
      <w:tr>
        <w:trPr>
          <w:tblHeader w:val="true"/>
          <w:cantSplit/>
        </w:trPr>
        <w:tc>
          <w:tcPr>
            <w:tcW w:type="dxa" w:w="2100"/>
            <w:tcMar>
              <w:top w:w="80" w:type="dxa"/>
              <w:start w:w="120" w:type="dxa"/>
              <w:bottom w:w="80" w:type="dxa"/>
              <w:end w:w="120" w:type="dxa"/>
            </w:tcMar>
            <w:vAlign w:val="center"/>
            <w:shd w:fill="F2F4F7"/>
          </w:tcPr>
          <w:p>
            <w:pPr>
              <w:spacing w:before="0" w:after="0" w:line="264" w:lineRule="auto"/>
            </w:pPr>
            <w:r>
              <w:rPr>
                <w:rFonts w:ascii="Calibri" w:hAnsi="Calibri"/>
                <w:b/>
                <w:color w:val="162236"/>
                <w:sz w:val="18"/>
              </w:rPr>
              <w:t>Field</w:t>
            </w:r>
          </w:p>
        </w:tc>
        <w:tc>
          <w:tcPr>
            <w:tcW w:type="dxa" w:w="7260"/>
            <w:tcMar>
              <w:top w:w="80" w:type="dxa"/>
              <w:start w:w="120" w:type="dxa"/>
              <w:bottom w:w="80" w:type="dxa"/>
              <w:end w:w="120" w:type="dxa"/>
            </w:tcMar>
            <w:vAlign w:val="center"/>
            <w:shd w:fill="F2F4F7"/>
          </w:tcPr>
          <w:p>
            <w:pPr>
              <w:spacing w:before="0" w:after="0" w:line="264" w:lineRule="auto"/>
            </w:pPr>
            <w:r>
              <w:rPr>
                <w:rFonts w:ascii="Calibri" w:hAnsi="Calibri"/>
                <w:b/>
                <w:color w:val="162236"/>
                <w:sz w:val="18"/>
              </w:rPr>
              <w:t>Recommendation</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Route</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/white-label-workflow-partner/</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Search focus</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white-label dental implant planning; outsourced surgical guide design</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SEO title</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White-Label Dental Implant Planning Services | I3DC</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Meta description</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Add digital implant planning, guide design and production capacity behind your laboratory, DSO, implant system or international practice network.</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Visible H1</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Add workflow capacity without losing your customer relationship.</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Primary CTA</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Request a Workflow Review</w:t>
            </w:r>
          </w:p>
        </w:tc>
      </w:tr>
    </w:tbl>
    <w:p>
      <w:pPr>
        <w:spacing w:after="60"/>
      </w:pPr>
    </w:p>
    <w:p>
      <w:pPr>
        <w:pStyle w:val="ListBullet"/>
        <w:keepLines/>
        <w:spacing w:before="0" w:after="80" w:line="300" w:lineRule="auto"/>
      </w:pPr>
      <w:r>
        <w:rPr>
          <w:rFonts w:ascii="Calibri" w:hAnsi="Calibri"/>
          <w:color w:val="162236"/>
          <w:sz w:val="22"/>
        </w:rPr>
        <w:t>Audiences: laboratories, DSOs, implant systems, distributors and overseas practice networks.</w:t>
      </w:r>
    </w:p>
    <w:p>
      <w:pPr>
        <w:pStyle w:val="ListBullet"/>
        <w:keepLines/>
        <w:spacing w:before="0" w:after="80" w:line="300" w:lineRule="auto"/>
      </w:pPr>
      <w:r>
        <w:rPr>
          <w:rFonts w:ascii="Calibri" w:hAnsi="Calibri"/>
          <w:color w:val="162236"/>
          <w:sz w:val="22"/>
        </w:rPr>
        <w:t>Explain brand handling, scope, turnaround bands, communication model and escalation path.</w:t>
      </w:r>
    </w:p>
    <w:p>
      <w:pPr>
        <w:pStyle w:val="ListBullet"/>
        <w:keepLines/>
        <w:spacing w:before="0" w:after="80" w:line="300" w:lineRule="auto"/>
      </w:pPr>
      <w:r>
        <w:rPr>
          <w:rFonts w:ascii="Calibri" w:hAnsi="Calibri"/>
          <w:color w:val="162236"/>
          <w:sz w:val="22"/>
        </w:rPr>
        <w:t>Show design-only, production-supported and volume workflows as separate options.</w:t>
      </w:r>
    </w:p>
    <w:p>
      <w:pPr>
        <w:pStyle w:val="ListBullet"/>
        <w:keepLines/>
        <w:spacing w:before="0" w:after="80" w:line="300" w:lineRule="auto"/>
      </w:pPr>
      <w:r>
        <w:rPr>
          <w:rFonts w:ascii="Calibri" w:hAnsi="Calibri"/>
          <w:color w:val="162236"/>
          <w:sz w:val="22"/>
        </w:rPr>
        <w:t>Do not publish bulk prices, minimum volumes or territory promises until commercially approved.</w:t>
      </w:r>
    </w:p>
    <w:p>
      <w:pPr>
        <w:pStyle w:val="Heading2"/>
        <w:spacing w:before="280" w:after="140" w:line="252" w:lineRule="auto"/>
        <w:keepNext w:val="1"/>
        <w:pageBreakBefore w:val="0"/>
      </w:pPr>
      <w:r>
        <w:rPr>
          <w:rFonts w:ascii="Calibri" w:hAnsi="Calibri"/>
          <w:b/>
          <w:color w:val="2E74B5"/>
          <w:sz w:val="26"/>
        </w:rPr>
        <w:t>Expanded Digital Dentistry Solutions</w:t>
      </w:r>
    </w:p>
    <w:tbl>
      <w:tblPr>
        <w:tblStyle w:val="TableGrid"/>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100"/>
        <w:gridCol w:w="7260"/>
      </w:tblGrid>
      <w:tr>
        <w:trPr>
          <w:tblHeader w:val="true"/>
          <w:cantSplit/>
        </w:trPr>
        <w:tc>
          <w:tcPr>
            <w:tcW w:type="dxa" w:w="2100"/>
            <w:tcMar>
              <w:top w:w="80" w:type="dxa"/>
              <w:start w:w="120" w:type="dxa"/>
              <w:bottom w:w="80" w:type="dxa"/>
              <w:end w:w="120" w:type="dxa"/>
            </w:tcMar>
            <w:vAlign w:val="center"/>
            <w:shd w:fill="F2F4F7"/>
          </w:tcPr>
          <w:p>
            <w:pPr>
              <w:spacing w:before="0" w:after="0" w:line="264" w:lineRule="auto"/>
            </w:pPr>
            <w:r>
              <w:rPr>
                <w:rFonts w:ascii="Calibri" w:hAnsi="Calibri"/>
                <w:b/>
                <w:color w:val="162236"/>
                <w:sz w:val="18"/>
              </w:rPr>
              <w:t>Field</w:t>
            </w:r>
          </w:p>
        </w:tc>
        <w:tc>
          <w:tcPr>
            <w:tcW w:type="dxa" w:w="7260"/>
            <w:tcMar>
              <w:top w:w="80" w:type="dxa"/>
              <w:start w:w="120" w:type="dxa"/>
              <w:bottom w:w="80" w:type="dxa"/>
              <w:end w:w="120" w:type="dxa"/>
            </w:tcMar>
            <w:vAlign w:val="center"/>
            <w:shd w:fill="F2F4F7"/>
          </w:tcPr>
          <w:p>
            <w:pPr>
              <w:spacing w:before="0" w:after="0" w:line="264" w:lineRule="auto"/>
            </w:pPr>
            <w:r>
              <w:rPr>
                <w:rFonts w:ascii="Calibri" w:hAnsi="Calibri"/>
                <w:b/>
                <w:color w:val="162236"/>
                <w:sz w:val="18"/>
              </w:rPr>
              <w:t>Recommendation</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Route</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/digital-dentistry-solutions/</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Search focus</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digital dentistry design services</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SEO title</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Digital Dentistry Design Services | Image3DConversion</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Meta description</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Access specialised digital design support for smile planning, digital dentures, crown lengthening, endodontic and selected maxillofacial workflows.</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Visible H1</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Specialised digital workflows beyond implant guides.</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Primary CTA</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Discuss a Specialised Workflow</w:t>
            </w:r>
          </w:p>
        </w:tc>
      </w:tr>
    </w:tbl>
    <w:p>
      <w:pPr>
        <w:spacing w:after="60"/>
      </w:pPr>
    </w:p>
    <w:p>
      <w:pPr>
        <w:pStyle w:val="ListBullet"/>
        <w:keepLines/>
        <w:spacing w:before="0" w:after="80" w:line="300" w:lineRule="auto"/>
      </w:pPr>
      <w:r>
        <w:rPr>
          <w:rFonts w:ascii="Calibri" w:hAnsi="Calibri"/>
          <w:color w:val="162236"/>
          <w:sz w:val="22"/>
        </w:rPr>
        <w:t>Visible now, if operationally available: smile design, digital denture, crown and bridge, wax-up, crown-lengthening or gingivectomy guides, endodontic guides and radiology support.</w:t>
      </w:r>
    </w:p>
    <w:p>
      <w:pPr>
        <w:pStyle w:val="ListBullet"/>
        <w:keepLines/>
        <w:spacing w:before="0" w:after="80" w:line="300" w:lineRule="auto"/>
      </w:pPr>
      <w:r>
        <w:rPr>
          <w:rFonts w:ascii="Calibri" w:hAnsi="Calibri"/>
          <w:color w:val="162236"/>
          <w:sz w:val="22"/>
        </w:rPr>
        <w:t>Advanced / developing capabilities must be marked accurately: PSI planning, maxillectomy, mandibular advancement or other OMFS workflows should not be presented as live unless validated.</w:t>
      </w:r>
    </w:p>
    <w:p>
      <w:pPr>
        <w:pStyle w:val="ListBullet"/>
        <w:keepLines/>
        <w:spacing w:before="0" w:after="80" w:line="300" w:lineRule="auto"/>
      </w:pPr>
      <w:r>
        <w:rPr>
          <w:rFonts w:ascii="Calibri" w:hAnsi="Calibri"/>
          <w:color w:val="162236"/>
          <w:sz w:val="22"/>
        </w:rPr>
        <w:t>Keep this page secondary so guided implantology remains the brand’s dominant category.</w:t>
      </w:r>
    </w:p>
    <w:p>
      <w:pPr>
        <w:pStyle w:val="Heading1"/>
        <w:spacing w:before="360" w:after="200" w:line="252" w:lineRule="auto"/>
        <w:keepNext w:val="1"/>
        <w:pageBreakBefore w:val="0"/>
      </w:pPr>
      <w:r>
        <w:rPr>
          <w:rFonts w:ascii="Calibri" w:hAnsi="Calibri"/>
          <w:b/>
          <w:color w:val="2E74B5"/>
          <w:sz w:val="32"/>
        </w:rPr>
        <w:t>7. Trust and support pages</w:t>
      </w:r>
    </w:p>
    <w:p>
      <w:pPr>
        <w:pStyle w:val="Heading2"/>
        <w:spacing w:before="280" w:after="140" w:line="252" w:lineRule="auto"/>
        <w:keepNext w:val="1"/>
        <w:pageBreakBefore w:val="0"/>
      </w:pPr>
      <w:r>
        <w:rPr>
          <w:rFonts w:ascii="Calibri" w:hAnsi="Calibri"/>
          <w:b/>
          <w:color w:val="2E74B5"/>
          <w:sz w:val="26"/>
        </w:rPr>
        <w:t>How It Works</w:t>
      </w:r>
    </w:p>
    <w:tbl>
      <w:tblPr>
        <w:tblStyle w:val="TableGrid"/>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100"/>
        <w:gridCol w:w="7260"/>
      </w:tblGrid>
      <w:tr>
        <w:trPr>
          <w:tblHeader w:val="true"/>
          <w:cantSplit/>
        </w:trPr>
        <w:tc>
          <w:tcPr>
            <w:tcW w:type="dxa" w:w="2100"/>
            <w:tcMar>
              <w:top w:w="80" w:type="dxa"/>
              <w:start w:w="120" w:type="dxa"/>
              <w:bottom w:w="80" w:type="dxa"/>
              <w:end w:w="120" w:type="dxa"/>
            </w:tcMar>
            <w:vAlign w:val="center"/>
            <w:shd w:fill="F2F4F7"/>
          </w:tcPr>
          <w:p>
            <w:pPr>
              <w:spacing w:before="0" w:after="0" w:line="264" w:lineRule="auto"/>
            </w:pPr>
            <w:r>
              <w:rPr>
                <w:rFonts w:ascii="Calibri" w:hAnsi="Calibri"/>
                <w:b/>
                <w:color w:val="162236"/>
                <w:sz w:val="18"/>
              </w:rPr>
              <w:t>Field</w:t>
            </w:r>
          </w:p>
        </w:tc>
        <w:tc>
          <w:tcPr>
            <w:tcW w:type="dxa" w:w="7260"/>
            <w:tcMar>
              <w:top w:w="80" w:type="dxa"/>
              <w:start w:w="120" w:type="dxa"/>
              <w:bottom w:w="80" w:type="dxa"/>
              <w:end w:w="120" w:type="dxa"/>
            </w:tcMar>
            <w:vAlign w:val="center"/>
            <w:shd w:fill="F2F4F7"/>
          </w:tcPr>
          <w:p>
            <w:pPr>
              <w:spacing w:before="0" w:after="0" w:line="264" w:lineRule="auto"/>
            </w:pPr>
            <w:r>
              <w:rPr>
                <w:rFonts w:ascii="Calibri" w:hAnsi="Calibri"/>
                <w:b/>
                <w:color w:val="162236"/>
                <w:sz w:val="18"/>
              </w:rPr>
              <w:t>Recommendation</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Route</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/how-it-works/</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Search focus</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digital implant workflow process</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SEO title</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How Our Digital Implant Workflow Works | I3DC</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Meta description</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See how a case moves from secure submission and data validation to plan review, approval, production and delivery.</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Visible H1</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A visible workflow from case submission to delivery.</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Primary CTA</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Review Case Requirements</w:t>
            </w:r>
          </w:p>
        </w:tc>
      </w:tr>
    </w:tbl>
    <w:p>
      <w:pPr>
        <w:spacing w:after="60"/>
      </w:pPr>
    </w:p>
    <w:p>
      <w:pPr>
        <w:keepLines/>
        <w:spacing w:before="0" w:after="100" w:line="300" w:lineRule="auto"/>
        <w:numPr>
          <w:ilvl w:val="0"/>
          <w:numId w:val="12"/>
        </w:numPr>
      </w:pPr>
      <w:r>
        <w:rPr>
          <w:rFonts w:ascii="Calibri" w:hAnsi="Calibri"/>
          <w:b/>
          <w:color w:val="162236"/>
          <w:sz w:val="22"/>
        </w:rPr>
        <w:t xml:space="preserve">Create the practice account. </w:t>
      </w:r>
      <w:r>
        <w:rPr>
          <w:rFonts w:ascii="Calibri" w:hAnsi="Calibri"/>
          <w:color w:val="162236"/>
          <w:sz w:val="22"/>
        </w:rPr>
        <w:t>Identity, contact, billing and delivery information are held once for future cases.</w:t>
      </w:r>
    </w:p>
    <w:p>
      <w:pPr>
        <w:keepLines/>
        <w:spacing w:before="0" w:after="100" w:line="300" w:lineRule="auto"/>
        <w:numPr>
          <w:ilvl w:val="0"/>
          <w:numId w:val="12"/>
        </w:numPr>
      </w:pPr>
      <w:r>
        <w:rPr>
          <w:rFonts w:ascii="Calibri" w:hAnsi="Calibri"/>
          <w:b/>
          <w:color w:val="162236"/>
          <w:sz w:val="22"/>
        </w:rPr>
        <w:t xml:space="preserve">Start the case securely. </w:t>
      </w:r>
      <w:r>
        <w:rPr>
          <w:rFonts w:ascii="Calibri" w:hAnsi="Calibri"/>
          <w:color w:val="162236"/>
          <w:sz w:val="22"/>
        </w:rPr>
        <w:t>Select the workflow and upload DICOM, STL and supporting records inside the portal.</w:t>
      </w:r>
    </w:p>
    <w:p>
      <w:pPr>
        <w:keepLines/>
        <w:spacing w:before="0" w:after="100" w:line="300" w:lineRule="auto"/>
        <w:numPr>
          <w:ilvl w:val="0"/>
          <w:numId w:val="12"/>
        </w:numPr>
      </w:pPr>
      <w:r>
        <w:rPr>
          <w:rFonts w:ascii="Calibri" w:hAnsi="Calibri"/>
          <w:b/>
          <w:color w:val="162236"/>
          <w:sz w:val="22"/>
        </w:rPr>
        <w:t xml:space="preserve">Complete data validation. </w:t>
      </w:r>
      <w:r>
        <w:rPr>
          <w:rFonts w:ascii="Calibri" w:hAnsi="Calibri"/>
          <w:color w:val="162236"/>
          <w:sz w:val="22"/>
        </w:rPr>
        <w:t>The case team checks whether the files and instructions are usable before planning begins.</w:t>
      </w:r>
    </w:p>
    <w:p>
      <w:pPr>
        <w:keepLines/>
        <w:spacing w:before="0" w:after="100" w:line="300" w:lineRule="auto"/>
        <w:numPr>
          <w:ilvl w:val="0"/>
          <w:numId w:val="12"/>
        </w:numPr>
      </w:pPr>
      <w:r>
        <w:rPr>
          <w:rFonts w:ascii="Calibri" w:hAnsi="Calibri"/>
          <w:b/>
          <w:color w:val="162236"/>
          <w:sz w:val="22"/>
        </w:rPr>
        <w:t xml:space="preserve">Confirm scope and quotation. </w:t>
      </w:r>
      <w:r>
        <w:rPr>
          <w:rFonts w:ascii="Calibri" w:hAnsi="Calibri"/>
          <w:color w:val="162236"/>
          <w:sz w:val="22"/>
        </w:rPr>
        <w:t>Deliverables, fees and expected timing are confirmed against the actual case.</w:t>
      </w:r>
    </w:p>
    <w:p>
      <w:pPr>
        <w:keepLines/>
        <w:spacing w:before="0" w:after="100" w:line="300" w:lineRule="auto"/>
        <w:numPr>
          <w:ilvl w:val="0"/>
          <w:numId w:val="12"/>
        </w:numPr>
      </w:pPr>
      <w:r>
        <w:rPr>
          <w:rFonts w:ascii="Calibri" w:hAnsi="Calibri"/>
          <w:b/>
          <w:color w:val="162236"/>
          <w:sz w:val="22"/>
        </w:rPr>
        <w:t xml:space="preserve">Review the plan. </w:t>
      </w:r>
      <w:r>
        <w:rPr>
          <w:rFonts w:ascii="Calibri" w:hAnsi="Calibri"/>
          <w:color w:val="162236"/>
          <w:sz w:val="22"/>
        </w:rPr>
        <w:t>The clinician reviews the proposed plan, responds to questions and requests changes if needed.</w:t>
      </w:r>
    </w:p>
    <w:p>
      <w:pPr>
        <w:keepLines/>
        <w:spacing w:before="0" w:after="100" w:line="300" w:lineRule="auto"/>
        <w:numPr>
          <w:ilvl w:val="0"/>
          <w:numId w:val="12"/>
        </w:numPr>
      </w:pPr>
      <w:r>
        <w:rPr>
          <w:rFonts w:ascii="Calibri" w:hAnsi="Calibri"/>
          <w:b/>
          <w:color w:val="162236"/>
          <w:sz w:val="22"/>
        </w:rPr>
        <w:t xml:space="preserve">Approve production. </w:t>
      </w:r>
      <w:r>
        <w:rPr>
          <w:rFonts w:ascii="Calibri" w:hAnsi="Calibri"/>
          <w:color w:val="162236"/>
          <w:sz w:val="22"/>
        </w:rPr>
        <w:t>The documented approval releases the relevant deliverables to production.</w:t>
      </w:r>
    </w:p>
    <w:p>
      <w:pPr>
        <w:keepLines/>
        <w:spacing w:before="0" w:after="100" w:line="300" w:lineRule="auto"/>
        <w:numPr>
          <w:ilvl w:val="0"/>
          <w:numId w:val="12"/>
        </w:numPr>
      </w:pPr>
      <w:r>
        <w:rPr>
          <w:rFonts w:ascii="Calibri" w:hAnsi="Calibri"/>
          <w:b/>
          <w:color w:val="162236"/>
          <w:sz w:val="22"/>
        </w:rPr>
        <w:t xml:space="preserve">Track and receive. </w:t>
      </w:r>
      <w:r>
        <w:rPr>
          <w:rFonts w:ascii="Calibri" w:hAnsi="Calibri"/>
          <w:color w:val="162236"/>
          <w:sz w:val="22"/>
        </w:rPr>
        <w:t>The portal shows production, quality check, dispatch or file readiness.</w:t>
      </w:r>
    </w:p>
    <w:p>
      <w:pPr>
        <w:pStyle w:val="Heading2"/>
        <w:spacing w:before="280" w:after="140" w:line="252" w:lineRule="auto"/>
        <w:keepNext w:val="1"/>
        <w:pageBreakBefore w:val="0"/>
      </w:pPr>
      <w:r>
        <w:rPr>
          <w:rFonts w:ascii="Calibri" w:hAnsi="Calibri"/>
          <w:b/>
          <w:color w:val="2E74B5"/>
          <w:sz w:val="26"/>
        </w:rPr>
        <w:t>Case Requirements</w:t>
      </w:r>
    </w:p>
    <w:tbl>
      <w:tblPr>
        <w:tblStyle w:val="TableGrid"/>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100"/>
        <w:gridCol w:w="7260"/>
      </w:tblGrid>
      <w:tr>
        <w:trPr>
          <w:tblHeader w:val="true"/>
          <w:cantSplit/>
        </w:trPr>
        <w:tc>
          <w:tcPr>
            <w:tcW w:type="dxa" w:w="2100"/>
            <w:tcMar>
              <w:top w:w="80" w:type="dxa"/>
              <w:start w:w="120" w:type="dxa"/>
              <w:bottom w:w="80" w:type="dxa"/>
              <w:end w:w="120" w:type="dxa"/>
            </w:tcMar>
            <w:vAlign w:val="center"/>
            <w:shd w:fill="F2F4F7"/>
          </w:tcPr>
          <w:p>
            <w:pPr>
              <w:spacing w:before="0" w:after="0" w:line="264" w:lineRule="auto"/>
            </w:pPr>
            <w:r>
              <w:rPr>
                <w:rFonts w:ascii="Calibri" w:hAnsi="Calibri"/>
                <w:b/>
                <w:color w:val="162236"/>
                <w:sz w:val="18"/>
              </w:rPr>
              <w:t>Field</w:t>
            </w:r>
          </w:p>
        </w:tc>
        <w:tc>
          <w:tcPr>
            <w:tcW w:type="dxa" w:w="7260"/>
            <w:tcMar>
              <w:top w:w="80" w:type="dxa"/>
              <w:start w:w="120" w:type="dxa"/>
              <w:bottom w:w="80" w:type="dxa"/>
              <w:end w:w="120" w:type="dxa"/>
            </w:tcMar>
            <w:vAlign w:val="center"/>
            <w:shd w:fill="F2F4F7"/>
          </w:tcPr>
          <w:p>
            <w:pPr>
              <w:spacing w:before="0" w:after="0" w:line="264" w:lineRule="auto"/>
            </w:pPr>
            <w:r>
              <w:rPr>
                <w:rFonts w:ascii="Calibri" w:hAnsi="Calibri"/>
                <w:b/>
                <w:color w:val="162236"/>
                <w:sz w:val="18"/>
              </w:rPr>
              <w:t>Recommendation</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Route</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/case-requirements/</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Search focus</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files needed for surgical guide; guided surgery scan protocol</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SEO title</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Dental Implant Case Submission Requirements | I3DC</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Meta description</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Check the DICOM, intraoral scan, prosthetic reference and case details needed before submitting a guided implant workflow.</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Visible H1</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Send the right data before planning begins.</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Primary CTA</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Download / View the Relevant Protocol</w:t>
            </w:r>
          </w:p>
        </w:tc>
      </w:tr>
    </w:tbl>
    <w:p>
      <w:pPr>
        <w:spacing w:after="60"/>
      </w:pPr>
    </w:p>
    <w:p>
      <w:pPr>
        <w:pStyle w:val="ListBullet"/>
        <w:keepLines/>
        <w:spacing w:before="0" w:after="80" w:line="300" w:lineRule="auto"/>
      </w:pPr>
      <w:r>
        <w:rPr>
          <w:rFonts w:ascii="Calibri" w:hAnsi="Calibri"/>
          <w:color w:val="162236"/>
          <w:sz w:val="22"/>
        </w:rPr>
        <w:t>Use workflow-specific checklists rather than one universal upload list.</w:t>
      </w:r>
    </w:p>
    <w:p>
      <w:pPr>
        <w:pStyle w:val="ListBullet"/>
        <w:keepLines/>
        <w:spacing w:before="0" w:after="80" w:line="300" w:lineRule="auto"/>
      </w:pPr>
      <w:r>
        <w:rPr>
          <w:rFonts w:ascii="Calibri" w:hAnsi="Calibri"/>
          <w:color w:val="162236"/>
          <w:sz w:val="22"/>
        </w:rPr>
        <w:t>Include CBCT acquisition guidance, IOS or model scan guidance, bite / prosthetic reference, denture markers where relevant, implant system and drill-kit details.</w:t>
      </w:r>
    </w:p>
    <w:p>
      <w:pPr>
        <w:pStyle w:val="ListBullet"/>
        <w:keepLines/>
        <w:spacing w:before="0" w:after="80" w:line="300" w:lineRule="auto"/>
      </w:pPr>
      <w:r>
        <w:rPr>
          <w:rFonts w:ascii="Calibri" w:hAnsi="Calibri"/>
          <w:color w:val="162236"/>
          <w:sz w:val="22"/>
        </w:rPr>
        <w:t>Show accepted file types: DICOM, STL and supporting JPG/PNG files; add other formats only after portal validation.</w:t>
      </w:r>
    </w:p>
    <w:p>
      <w:pPr>
        <w:pStyle w:val="ListBullet"/>
        <w:keepLines/>
        <w:spacing w:before="0" w:after="80" w:line="300" w:lineRule="auto"/>
      </w:pPr>
      <w:r>
        <w:rPr>
          <w:rFonts w:ascii="Calibri" w:hAnsi="Calibri"/>
          <w:color w:val="162236"/>
          <w:sz w:val="22"/>
        </w:rPr>
        <w:t>Explain common rejection or clarification reasons with example images.</w:t>
      </w:r>
    </w:p>
    <w:p>
      <w:pPr>
        <w:pStyle w:val="ListBullet"/>
        <w:keepLines/>
        <w:spacing w:before="0" w:after="80" w:line="300" w:lineRule="auto"/>
      </w:pPr>
      <w:r>
        <w:rPr>
          <w:rFonts w:ascii="Calibri" w:hAnsi="Calibri"/>
          <w:color w:val="162236"/>
          <w:sz w:val="22"/>
        </w:rPr>
        <w:t>Add a prominent notice: do not email or submit patient files through a public enquiry form.</w:t>
      </w:r>
    </w:p>
    <w:p>
      <w:pPr>
        <w:pStyle w:val="Heading2"/>
        <w:spacing w:before="280" w:after="140" w:line="252" w:lineRule="auto"/>
        <w:keepNext w:val="1"/>
        <w:pageBreakBefore w:val="0"/>
      </w:pPr>
      <w:r>
        <w:rPr>
          <w:rFonts w:ascii="Calibri" w:hAnsi="Calibri"/>
          <w:b/>
          <w:color w:val="2E74B5"/>
          <w:sz w:val="26"/>
        </w:rPr>
        <w:t>Case Evidence</w:t>
      </w:r>
    </w:p>
    <w:tbl>
      <w:tblPr>
        <w:tblStyle w:val="TableGrid"/>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100"/>
        <w:gridCol w:w="7260"/>
      </w:tblGrid>
      <w:tr>
        <w:trPr>
          <w:tblHeader w:val="true"/>
          <w:cantSplit/>
        </w:trPr>
        <w:tc>
          <w:tcPr>
            <w:tcW w:type="dxa" w:w="2100"/>
            <w:tcMar>
              <w:top w:w="80" w:type="dxa"/>
              <w:start w:w="120" w:type="dxa"/>
              <w:bottom w:w="80" w:type="dxa"/>
              <w:end w:w="120" w:type="dxa"/>
            </w:tcMar>
            <w:vAlign w:val="center"/>
            <w:shd w:fill="F2F4F7"/>
          </w:tcPr>
          <w:p>
            <w:pPr>
              <w:spacing w:before="0" w:after="0" w:line="264" w:lineRule="auto"/>
            </w:pPr>
            <w:r>
              <w:rPr>
                <w:rFonts w:ascii="Calibri" w:hAnsi="Calibri"/>
                <w:b/>
                <w:color w:val="162236"/>
                <w:sz w:val="18"/>
              </w:rPr>
              <w:t>Field</w:t>
            </w:r>
          </w:p>
        </w:tc>
        <w:tc>
          <w:tcPr>
            <w:tcW w:type="dxa" w:w="7260"/>
            <w:tcMar>
              <w:top w:w="80" w:type="dxa"/>
              <w:start w:w="120" w:type="dxa"/>
              <w:bottom w:w="80" w:type="dxa"/>
              <w:end w:w="120" w:type="dxa"/>
            </w:tcMar>
            <w:vAlign w:val="center"/>
            <w:shd w:fill="F2F4F7"/>
          </w:tcPr>
          <w:p>
            <w:pPr>
              <w:spacing w:before="0" w:after="0" w:line="264" w:lineRule="auto"/>
            </w:pPr>
            <w:r>
              <w:rPr>
                <w:rFonts w:ascii="Calibri" w:hAnsi="Calibri"/>
                <w:b/>
                <w:color w:val="162236"/>
                <w:sz w:val="18"/>
              </w:rPr>
              <w:t>Recommendation</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Route</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/case-evidence/</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Search focus</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guided implant workflow cases; stackable guide case examples</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SEO title</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Guided Implant Workflow Case Evidence | Image3DConversion</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Meta description</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Review anonymised digital implant workflows showing the case objective, records, planning decisions, approvals and delivered components.</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Visible H1</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See the workflow, not only the finished guide.</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Primary CTA</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View a Relevant Workflow</w:t>
            </w:r>
          </w:p>
        </w:tc>
      </w:tr>
    </w:tbl>
    <w:p>
      <w:pPr>
        <w:spacing w:after="60"/>
      </w:pPr>
    </w:p>
    <w:p>
      <w:pPr>
        <w:pStyle w:val="ListBullet"/>
        <w:keepLines/>
        <w:spacing w:before="0" w:after="80" w:line="300" w:lineRule="auto"/>
      </w:pPr>
      <w:r>
        <w:rPr>
          <w:rFonts w:ascii="Calibri" w:hAnsi="Calibri"/>
          <w:color w:val="162236"/>
          <w:sz w:val="22"/>
        </w:rPr>
        <w:t>Organise by case objective: single / multiple, full arch, immediate loading, zygoma / pterygoid and specialised.</w:t>
      </w:r>
    </w:p>
    <w:p>
      <w:pPr>
        <w:pStyle w:val="ListBullet"/>
        <w:keepLines/>
        <w:spacing w:before="0" w:after="80" w:line="300" w:lineRule="auto"/>
      </w:pPr>
      <w:r>
        <w:rPr>
          <w:rFonts w:ascii="Calibri" w:hAnsi="Calibri"/>
          <w:color w:val="162236"/>
          <w:sz w:val="22"/>
        </w:rPr>
        <w:t>Each case uses the same evidence pattern: starting condition → treatment objective → data received → key planning decision → approval point → deliverables → disclosed limitations.</w:t>
      </w:r>
    </w:p>
    <w:p>
      <w:pPr>
        <w:pStyle w:val="ListBullet"/>
        <w:keepLines/>
        <w:spacing w:before="0" w:after="80" w:line="300" w:lineRule="auto"/>
      </w:pPr>
      <w:r>
        <w:rPr>
          <w:rFonts w:ascii="Calibri" w:hAnsi="Calibri"/>
          <w:color w:val="162236"/>
          <w:sz w:val="22"/>
        </w:rPr>
        <w:t>Use anonymised and consent-cleared images only.</w:t>
      </w:r>
    </w:p>
    <w:p>
      <w:pPr>
        <w:pStyle w:val="ListBullet"/>
        <w:keepLines/>
        <w:spacing w:before="0" w:after="80" w:line="300" w:lineRule="auto"/>
      </w:pPr>
      <w:r>
        <w:rPr>
          <w:rFonts w:ascii="Calibri" w:hAnsi="Calibri"/>
          <w:color w:val="162236"/>
          <w:sz w:val="22"/>
        </w:rPr>
        <w:t>Avoid outcome claims that cannot be attributed to the treating clinician and documented follow-up.</w:t>
      </w:r>
    </w:p>
    <w:p>
      <w:pPr>
        <w:pStyle w:val="Heading2"/>
        <w:spacing w:before="280" w:after="140" w:line="252" w:lineRule="auto"/>
        <w:keepNext w:val="1"/>
        <w:pageBreakBefore w:val="0"/>
      </w:pPr>
      <w:r>
        <w:rPr>
          <w:rFonts w:ascii="Calibri" w:hAnsi="Calibri"/>
          <w:b/>
          <w:color w:val="2E74B5"/>
          <w:sz w:val="26"/>
        </w:rPr>
        <w:t>About</w:t>
      </w:r>
    </w:p>
    <w:tbl>
      <w:tblPr>
        <w:tblStyle w:val="TableGrid"/>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100"/>
        <w:gridCol w:w="7260"/>
      </w:tblGrid>
      <w:tr>
        <w:trPr>
          <w:tblHeader w:val="true"/>
          <w:cantSplit/>
        </w:trPr>
        <w:tc>
          <w:tcPr>
            <w:tcW w:type="dxa" w:w="2100"/>
            <w:tcMar>
              <w:top w:w="80" w:type="dxa"/>
              <w:start w:w="120" w:type="dxa"/>
              <w:bottom w:w="80" w:type="dxa"/>
              <w:end w:w="120" w:type="dxa"/>
            </w:tcMar>
            <w:vAlign w:val="center"/>
            <w:shd w:fill="F2F4F7"/>
          </w:tcPr>
          <w:p>
            <w:pPr>
              <w:spacing w:before="0" w:after="0" w:line="264" w:lineRule="auto"/>
            </w:pPr>
            <w:r>
              <w:rPr>
                <w:rFonts w:ascii="Calibri" w:hAnsi="Calibri"/>
                <w:b/>
                <w:color w:val="162236"/>
                <w:sz w:val="18"/>
              </w:rPr>
              <w:t>Field</w:t>
            </w:r>
          </w:p>
        </w:tc>
        <w:tc>
          <w:tcPr>
            <w:tcW w:type="dxa" w:w="7260"/>
            <w:tcMar>
              <w:top w:w="80" w:type="dxa"/>
              <w:start w:w="120" w:type="dxa"/>
              <w:bottom w:w="80" w:type="dxa"/>
              <w:end w:w="120" w:type="dxa"/>
            </w:tcMar>
            <w:vAlign w:val="center"/>
            <w:shd w:fill="F2F4F7"/>
          </w:tcPr>
          <w:p>
            <w:pPr>
              <w:spacing w:before="0" w:after="0" w:line="264" w:lineRule="auto"/>
            </w:pPr>
            <w:r>
              <w:rPr>
                <w:rFonts w:ascii="Calibri" w:hAnsi="Calibri"/>
                <w:b/>
                <w:color w:val="162236"/>
                <w:sz w:val="18"/>
              </w:rPr>
              <w:t>Recommendation</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Route</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/about/</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Search focus</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digital dentistry company India; implant planning team</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SEO title</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About Image3DConversion | Digital Implant Workflow Team</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Meta description</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Meet the digital workflow team supporting dental professionals with implant planning, surgical guides and complex case coordination from India to global practices.</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Visible H1</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Built around the work that happens before surgery.</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Primary CTA</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See How the Workflow Works</w:t>
            </w:r>
          </w:p>
        </w:tc>
      </w:tr>
    </w:tbl>
    <w:p>
      <w:pPr>
        <w:spacing w:after="60"/>
      </w:pPr>
    </w:p>
    <w:p>
      <w:pPr>
        <w:pStyle w:val="ListBullet"/>
        <w:keepLines/>
        <w:spacing w:before="0" w:after="80" w:line="300" w:lineRule="auto"/>
      </w:pPr>
      <w:r>
        <w:rPr>
          <w:rFonts w:ascii="Calibri" w:hAnsi="Calibri"/>
          <w:color w:val="162236"/>
          <w:sz w:val="22"/>
        </w:rPr>
        <w:t>Tell the company evolution briefly: experience, operational depth and why Image3DConversion was built.</w:t>
      </w:r>
    </w:p>
    <w:p>
      <w:pPr>
        <w:pStyle w:val="ListBullet"/>
        <w:keepLines/>
        <w:spacing w:before="0" w:after="80" w:line="300" w:lineRule="auto"/>
      </w:pPr>
      <w:r>
        <w:rPr>
          <w:rFonts w:ascii="Calibri" w:hAnsi="Calibri"/>
          <w:color w:val="162236"/>
          <w:sz w:val="22"/>
        </w:rPr>
        <w:t>Introduce Sudeep Paul accurately as Founder &amp; CEO and Biomedical Application Expert; never prefix his name with “Dr.”</w:t>
      </w:r>
    </w:p>
    <w:p>
      <w:pPr>
        <w:pStyle w:val="ListBullet"/>
        <w:keepLines/>
        <w:spacing w:before="0" w:after="80" w:line="300" w:lineRule="auto"/>
      </w:pPr>
      <w:r>
        <w:rPr>
          <w:rFonts w:ascii="Calibri" w:hAnsi="Calibri"/>
          <w:color w:val="162236"/>
          <w:sz w:val="22"/>
        </w:rPr>
        <w:t>Show the technical team, clinical review model and production / quality roles only with verified names and credentials.</w:t>
      </w:r>
    </w:p>
    <w:p>
      <w:pPr>
        <w:pStyle w:val="ListBullet"/>
        <w:keepLines/>
        <w:spacing w:before="0" w:after="80" w:line="300" w:lineRule="auto"/>
      </w:pPr>
      <w:r>
        <w:rPr>
          <w:rFonts w:ascii="Calibri" w:hAnsi="Calibri"/>
          <w:color w:val="162236"/>
          <w:sz w:val="22"/>
        </w:rPr>
        <w:t>Publish verified locations, legal entity, contact channels and professional partnerships.</w:t>
      </w:r>
    </w:p>
    <w:p>
      <w:pPr>
        <w:pStyle w:val="ListBullet"/>
        <w:keepLines/>
        <w:spacing w:before="0" w:after="80" w:line="300" w:lineRule="auto"/>
      </w:pPr>
      <w:r>
        <w:rPr>
          <w:rFonts w:ascii="Calibri" w:hAnsi="Calibri"/>
          <w:color w:val="162236"/>
          <w:sz w:val="22"/>
        </w:rPr>
        <w:t>Link education leadership to PaulSudeep.com without turning the page into a speaker profile.</w:t>
      </w:r>
    </w:p>
    <w:p>
      <w:pPr>
        <w:pStyle w:val="Heading2"/>
        <w:spacing w:before="280" w:after="140" w:line="252" w:lineRule="auto"/>
        <w:keepNext w:val="1"/>
        <w:pageBreakBefore w:val="0"/>
      </w:pPr>
      <w:r>
        <w:rPr>
          <w:rFonts w:ascii="Calibri" w:hAnsi="Calibri"/>
          <w:b/>
          <w:color w:val="2E74B5"/>
          <w:sz w:val="26"/>
        </w:rPr>
        <w:t>Discuss a Complex Case</w:t>
      </w:r>
    </w:p>
    <w:tbl>
      <w:tblPr>
        <w:tblStyle w:val="TableGrid"/>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100"/>
        <w:gridCol w:w="7260"/>
      </w:tblGrid>
      <w:tr>
        <w:trPr>
          <w:tblHeader w:val="true"/>
          <w:cantSplit/>
        </w:trPr>
        <w:tc>
          <w:tcPr>
            <w:tcW w:type="dxa" w:w="2100"/>
            <w:tcMar>
              <w:top w:w="80" w:type="dxa"/>
              <w:start w:w="120" w:type="dxa"/>
              <w:bottom w:w="80" w:type="dxa"/>
              <w:end w:w="120" w:type="dxa"/>
            </w:tcMar>
            <w:vAlign w:val="center"/>
            <w:shd w:fill="F2F4F7"/>
          </w:tcPr>
          <w:p>
            <w:pPr>
              <w:spacing w:before="0" w:after="0" w:line="264" w:lineRule="auto"/>
            </w:pPr>
            <w:r>
              <w:rPr>
                <w:rFonts w:ascii="Calibri" w:hAnsi="Calibri"/>
                <w:b/>
                <w:color w:val="162236"/>
                <w:sz w:val="18"/>
              </w:rPr>
              <w:t>Field</w:t>
            </w:r>
          </w:p>
        </w:tc>
        <w:tc>
          <w:tcPr>
            <w:tcW w:type="dxa" w:w="7260"/>
            <w:tcMar>
              <w:top w:w="80" w:type="dxa"/>
              <w:start w:w="120" w:type="dxa"/>
              <w:bottom w:w="80" w:type="dxa"/>
              <w:end w:w="120" w:type="dxa"/>
            </w:tcMar>
            <w:vAlign w:val="center"/>
            <w:shd w:fill="F2F4F7"/>
          </w:tcPr>
          <w:p>
            <w:pPr>
              <w:spacing w:before="0" w:after="0" w:line="264" w:lineRule="auto"/>
            </w:pPr>
            <w:r>
              <w:rPr>
                <w:rFonts w:ascii="Calibri" w:hAnsi="Calibri"/>
                <w:b/>
                <w:color w:val="162236"/>
                <w:sz w:val="18"/>
              </w:rPr>
              <w:t>Recommendation</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Route</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/discuss-a-case/</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Search focus</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complex implant workflow consultation</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SEO title</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Discuss a Complex Implant Case | Image3DConversion</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Meta description</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Tell us the workflow you are considering for a full-arch, immediate-loading, zygomatic, pterygoid or other complex implant case.</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Visible H1</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Discuss the workflow before you submit the full case.</w:t>
            </w:r>
          </w:p>
        </w:tc>
      </w:tr>
      <w:tr>
        <w:trPr>
          <w:cantSplit/>
        </w:trPr>
        <w:tc>
          <w:tcPr>
            <w:tcW w:type="dxa" w:w="2100"/>
            <w:vAlign w:val="center"/>
            <w:tcMar>
              <w:top w:w="80" w:type="dxa"/>
              <w:start w:w="120" w:type="dxa"/>
              <w:bottom w:w="80" w:type="dxa"/>
              <w:end w:w="120" w:type="dxa"/>
            </w:tcMar>
          </w:tcPr>
          <w:p>
            <w:pPr>
              <w:spacing w:before="0" w:after="0" w:line="271" w:lineRule="auto"/>
            </w:pPr>
            <w:r>
              <w:rPr>
                <w:rFonts w:ascii="Calibri" w:hAnsi="Calibri"/>
                <w:color w:val="162236"/>
                <w:sz w:val="18"/>
              </w:rPr>
              <w:t>Primary CTA</w:t>
            </w:r>
          </w:p>
        </w:tc>
        <w:tc>
          <w:tcPr>
            <w:tcW w:type="dxa" w:w="7260"/>
            <w:vAlign w:val="center"/>
            <w:tcMar>
              <w:top w:w="80" w:type="dxa"/>
              <w:start w:w="120" w:type="dxa"/>
              <w:bottom w:w="80" w:type="dxa"/>
              <w:end w:w="120" w:type="dxa"/>
            </w:tcMar>
          </w:tcPr>
          <w:p>
            <w:pPr>
              <w:spacing w:before="0" w:after="0" w:line="271" w:lineRule="auto"/>
            </w:pPr>
            <w:r>
              <w:rPr>
                <w:rFonts w:ascii="Calibri" w:hAnsi="Calibri"/>
                <w:color w:val="162236"/>
                <w:sz w:val="18"/>
              </w:rPr>
              <w:t>Request a Case Discussion</w:t>
            </w:r>
          </w:p>
        </w:tc>
      </w:tr>
    </w:tbl>
    <w:p>
      <w:pPr>
        <w:spacing w:after="60"/>
      </w:pPr>
    </w:p>
    <w:p>
      <w:pPr>
        <w:pStyle w:val="ListBullet"/>
        <w:keepLines/>
        <w:spacing w:before="0" w:after="80" w:line="300" w:lineRule="auto"/>
      </w:pPr>
      <w:r>
        <w:rPr>
          <w:rFonts w:ascii="Calibri" w:hAnsi="Calibri"/>
          <w:color w:val="162236"/>
          <w:sz w:val="22"/>
        </w:rPr>
        <w:t>Public form fields: name, practice / organisation, professional email, phone, country, workflow of interest, short non-clinical question and preferred contact method.</w:t>
      </w:r>
    </w:p>
    <w:p>
      <w:pPr>
        <w:pStyle w:val="ListBullet"/>
        <w:keepLines/>
        <w:spacing w:before="0" w:after="80" w:line="300" w:lineRule="auto"/>
      </w:pPr>
      <w:r>
        <w:rPr>
          <w:rFonts w:ascii="Calibri" w:hAnsi="Calibri"/>
          <w:color w:val="162236"/>
          <w:sz w:val="22"/>
        </w:rPr>
        <w:t>Place this instruction above the message field: “Do not include patient-identifying information or upload clinical files here.”</w:t>
      </w:r>
    </w:p>
    <w:p>
      <w:pPr>
        <w:pStyle w:val="ListBullet"/>
        <w:keepLines/>
        <w:spacing w:before="0" w:after="80" w:line="300" w:lineRule="auto"/>
      </w:pPr>
      <w:r>
        <w:rPr>
          <w:rFonts w:ascii="Calibri" w:hAnsi="Calibri"/>
          <w:color w:val="162236"/>
          <w:sz w:val="22"/>
        </w:rPr>
        <w:t>After submission, route the user to the secure Case Portal if case files are needed.</w:t>
      </w:r>
    </w:p>
    <w:p>
      <w:pPr>
        <w:pStyle w:val="ListBullet"/>
        <w:keepLines/>
        <w:spacing w:before="0" w:after="80" w:line="300" w:lineRule="auto"/>
      </w:pPr>
      <w:r>
        <w:rPr>
          <w:rFonts w:ascii="Calibri" w:hAnsi="Calibri"/>
          <w:color w:val="162236"/>
          <w:sz w:val="22"/>
        </w:rPr>
        <w:t>This must be a new, tested form / URL when implemented; do not silently replace the current live Zoho-embedded form.</w:t>
      </w:r>
    </w:p>
    <w:p>
      <w:pPr>
        <w:pStyle w:val="Heading1"/>
        <w:spacing w:before="360" w:after="200" w:line="252" w:lineRule="auto"/>
        <w:keepNext w:val="1"/>
        <w:pageBreakBefore w:val="1"/>
      </w:pPr>
      <w:r>
        <w:rPr>
          <w:rFonts w:ascii="Calibri" w:hAnsi="Calibri"/>
          <w:b/>
          <w:color w:val="2E74B5"/>
          <w:sz w:val="32"/>
        </w:rPr>
        <w:t>8. Case Portal content system</w:t>
      </w:r>
    </w:p>
    <w:p>
      <w:pPr>
        <w:spacing w:before="100" w:after="180" w:line="300" w:lineRule="auto"/>
        <w:ind w:left="202" w:right="144"/>
        <w:shd w:fill="E8EEF5"/>
        <w:pBdr>
          <w:left w:val="single" w:sz="16" w:space="8" w:color="2E74B5"/>
        </w:pBdr>
        <w:keepLines w:val="1"/>
      </w:pPr>
      <w:r>
        <w:rPr>
          <w:rFonts w:ascii="Calibri" w:hAnsi="Calibri"/>
          <w:b/>
          <w:color w:val="2E74B5"/>
          <w:sz w:val="18"/>
        </w:rPr>
        <w:t xml:space="preserve">PORTAL NAME  </w:t>
      </w:r>
      <w:r>
        <w:rPr>
          <w:rFonts w:ascii="Calibri" w:hAnsi="Calibri"/>
          <w:b/>
          <w:color w:val="162236"/>
          <w:sz w:val="22"/>
        </w:rPr>
        <w:t>Image3DConversion Case Portal</w:t>
      </w:r>
    </w:p>
    <w:p>
      <w:pPr>
        <w:spacing w:before="0" w:after="120" w:line="300" w:lineRule="auto"/>
        <w:jc w:val="left"/>
      </w:pPr>
      <w:r>
        <w:rPr>
          <w:rFonts w:ascii="Calibri" w:hAnsi="Calibri"/>
          <w:i w:val="0"/>
          <w:color w:val="162236"/>
          <w:sz w:val="22"/>
        </w:rPr>
        <w:t>Do not call it “Customer Portal” or “Dentist Portal.” The case portal also serves practices, laboratories, coordinators and partners. Its language should revolve around cases, required actions and documented approvals.</w:t>
      </w:r>
    </w:p>
    <w:p>
      <w:pPr>
        <w:pStyle w:val="Heading2"/>
        <w:spacing w:before="280" w:after="140" w:line="252" w:lineRule="auto"/>
        <w:keepNext w:val="1"/>
        <w:pageBreakBefore w:val="0"/>
      </w:pPr>
      <w:r>
        <w:rPr>
          <w:rFonts w:ascii="Calibri" w:hAnsi="Calibri"/>
          <w:b/>
          <w:color w:val="2E74B5"/>
          <w:sz w:val="26"/>
        </w:rPr>
        <w:t>The three-question rule</w:t>
      </w:r>
    </w:p>
    <w:p>
      <w:pPr>
        <w:keepLines/>
        <w:spacing w:before="0" w:after="100" w:line="300" w:lineRule="auto"/>
        <w:numPr>
          <w:ilvl w:val="0"/>
          <w:numId w:val="13"/>
        </w:numPr>
      </w:pPr>
      <w:r>
        <w:rPr>
          <w:rFonts w:ascii="Calibri" w:hAnsi="Calibri"/>
          <w:color w:val="162236"/>
          <w:sz w:val="22"/>
        </w:rPr>
        <w:t>Where is my case?</w:t>
      </w:r>
    </w:p>
    <w:p>
      <w:pPr>
        <w:keepLines/>
        <w:spacing w:before="0" w:after="100" w:line="300" w:lineRule="auto"/>
        <w:numPr>
          <w:ilvl w:val="0"/>
          <w:numId w:val="13"/>
        </w:numPr>
      </w:pPr>
      <w:r>
        <w:rPr>
          <w:rFonts w:ascii="Calibri" w:hAnsi="Calibri"/>
          <w:color w:val="162236"/>
          <w:sz w:val="22"/>
        </w:rPr>
        <w:t>What is happening now?</w:t>
      </w:r>
    </w:p>
    <w:p>
      <w:pPr>
        <w:keepLines/>
        <w:spacing w:before="0" w:after="100" w:line="300" w:lineRule="auto"/>
        <w:numPr>
          <w:ilvl w:val="0"/>
          <w:numId w:val="13"/>
        </w:numPr>
      </w:pPr>
      <w:r>
        <w:rPr>
          <w:rFonts w:ascii="Calibri" w:hAnsi="Calibri"/>
          <w:color w:val="162236"/>
          <w:sz w:val="22"/>
        </w:rPr>
        <w:t>What do I need to do next?</w:t>
      </w:r>
    </w:p>
    <w:p>
      <w:pPr>
        <w:pStyle w:val="Heading2"/>
        <w:spacing w:before="280" w:after="140" w:line="252" w:lineRule="auto"/>
        <w:keepNext w:val="1"/>
        <w:pageBreakBefore w:val="0"/>
      </w:pPr>
      <w:r>
        <w:rPr>
          <w:rFonts w:ascii="Calibri" w:hAnsi="Calibri"/>
          <w:b/>
          <w:color w:val="2E74B5"/>
          <w:sz w:val="26"/>
        </w:rPr>
        <w:t>Primary portal actions</w:t>
      </w:r>
    </w:p>
    <w:p>
      <w:pPr>
        <w:pStyle w:val="ListBullet"/>
        <w:keepLines/>
        <w:spacing w:before="0" w:after="80" w:line="300" w:lineRule="auto"/>
      </w:pPr>
      <w:r>
        <w:rPr>
          <w:rFonts w:ascii="Calibri" w:hAnsi="Calibri"/>
          <w:color w:val="162236"/>
          <w:sz w:val="22"/>
        </w:rPr>
        <w:t>Start a Case</w:t>
      </w:r>
    </w:p>
    <w:p>
      <w:pPr>
        <w:pStyle w:val="ListBullet"/>
        <w:keepLines/>
        <w:spacing w:before="0" w:after="80" w:line="300" w:lineRule="auto"/>
      </w:pPr>
      <w:r>
        <w:rPr>
          <w:rFonts w:ascii="Calibri" w:hAnsi="Calibri"/>
          <w:color w:val="162236"/>
          <w:sz w:val="22"/>
        </w:rPr>
        <w:t>Track a Case</w:t>
      </w:r>
    </w:p>
    <w:p>
      <w:pPr>
        <w:pStyle w:val="ListBullet"/>
        <w:keepLines/>
        <w:spacing w:before="0" w:after="80" w:line="300" w:lineRule="auto"/>
      </w:pPr>
      <w:r>
        <w:rPr>
          <w:rFonts w:ascii="Calibri" w:hAnsi="Calibri"/>
          <w:color w:val="162236"/>
          <w:sz w:val="22"/>
        </w:rPr>
        <w:t>Review Plan</w:t>
      </w:r>
    </w:p>
    <w:p>
      <w:pPr>
        <w:pStyle w:val="ListBullet"/>
        <w:keepLines/>
        <w:spacing w:before="0" w:after="80" w:line="300" w:lineRule="auto"/>
      </w:pPr>
      <w:r>
        <w:rPr>
          <w:rFonts w:ascii="Calibri" w:hAnsi="Calibri"/>
          <w:color w:val="162236"/>
          <w:sz w:val="22"/>
        </w:rPr>
        <w:t>Request Changes</w:t>
      </w:r>
    </w:p>
    <w:p>
      <w:pPr>
        <w:pStyle w:val="ListBullet"/>
        <w:keepLines/>
        <w:spacing w:before="0" w:after="80" w:line="300" w:lineRule="auto"/>
      </w:pPr>
      <w:r>
        <w:rPr>
          <w:rFonts w:ascii="Calibri" w:hAnsi="Calibri"/>
          <w:color w:val="162236"/>
          <w:sz w:val="22"/>
        </w:rPr>
        <w:t>Approve for Production</w:t>
      </w:r>
    </w:p>
    <w:p>
      <w:pPr>
        <w:pStyle w:val="ListBullet"/>
        <w:keepLines/>
        <w:spacing w:before="0" w:after="80" w:line="300" w:lineRule="auto"/>
      </w:pPr>
      <w:r>
        <w:rPr>
          <w:rFonts w:ascii="Calibri" w:hAnsi="Calibri"/>
          <w:color w:val="162236"/>
          <w:sz w:val="22"/>
        </w:rPr>
        <w:t>View Quotation</w:t>
      </w:r>
    </w:p>
    <w:p>
      <w:pPr>
        <w:pStyle w:val="ListBullet"/>
        <w:keepLines/>
        <w:spacing w:before="0" w:after="80" w:line="300" w:lineRule="auto"/>
      </w:pPr>
      <w:r>
        <w:rPr>
          <w:rFonts w:ascii="Calibri" w:hAnsi="Calibri"/>
          <w:color w:val="162236"/>
          <w:sz w:val="22"/>
        </w:rPr>
        <w:t>Prepare for Surgery</w:t>
      </w:r>
    </w:p>
    <w:p>
      <w:pPr>
        <w:pStyle w:val="ListBullet"/>
        <w:keepLines/>
        <w:spacing w:before="0" w:after="80" w:line="300" w:lineRule="auto"/>
      </w:pPr>
      <w:r>
        <w:rPr>
          <w:rFonts w:ascii="Calibri" w:hAnsi="Calibri"/>
          <w:color w:val="162236"/>
          <w:sz w:val="22"/>
        </w:rPr>
        <w:t>Download Final Files</w:t>
      </w:r>
    </w:p>
    <w:p>
      <w:pPr>
        <w:pStyle w:val="Heading2"/>
        <w:spacing w:before="280" w:after="140" w:line="252" w:lineRule="auto"/>
        <w:keepNext w:val="1"/>
        <w:pageBreakBefore w:val="0"/>
      </w:pPr>
      <w:r>
        <w:rPr>
          <w:rFonts w:ascii="Calibri" w:hAnsi="Calibri"/>
          <w:b/>
          <w:color w:val="2E74B5"/>
          <w:sz w:val="26"/>
        </w:rPr>
        <w:t>Case submission fields</w:t>
      </w:r>
    </w:p>
    <w:tbl>
      <w:tblPr>
        <w:tblStyle w:val="TableGrid"/>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200"/>
        <w:gridCol w:w="7160"/>
      </w:tblGrid>
      <w:tr>
        <w:trPr>
          <w:tblHeader w:val="true"/>
          <w:cantSplit/>
        </w:trPr>
        <w:tc>
          <w:tcPr>
            <w:tcW w:type="dxa" w:w="2200"/>
            <w:tcMar>
              <w:top w:w="80" w:type="dxa"/>
              <w:start w:w="120" w:type="dxa"/>
              <w:bottom w:w="80" w:type="dxa"/>
              <w:end w:w="120" w:type="dxa"/>
            </w:tcMar>
            <w:vAlign w:val="center"/>
            <w:shd w:fill="E8EEF5"/>
          </w:tcPr>
          <w:p>
            <w:pPr>
              <w:spacing w:before="0" w:after="0" w:line="264" w:lineRule="auto"/>
            </w:pPr>
            <w:r>
              <w:rPr>
                <w:rFonts w:ascii="Calibri" w:hAnsi="Calibri"/>
                <w:b/>
                <w:color w:val="162236"/>
                <w:sz w:val="18"/>
              </w:rPr>
              <w:t>Group</w:t>
            </w:r>
          </w:p>
        </w:tc>
        <w:tc>
          <w:tcPr>
            <w:tcW w:type="dxa" w:w="7160"/>
            <w:tcMar>
              <w:top w:w="80" w:type="dxa"/>
              <w:start w:w="120" w:type="dxa"/>
              <w:bottom w:w="80" w:type="dxa"/>
              <w:end w:w="120" w:type="dxa"/>
            </w:tcMar>
            <w:vAlign w:val="center"/>
            <w:shd w:fill="E8EEF5"/>
          </w:tcPr>
          <w:p>
            <w:pPr>
              <w:spacing w:before="0" w:after="0" w:line="264" w:lineRule="auto"/>
            </w:pPr>
            <w:r>
              <w:rPr>
                <w:rFonts w:ascii="Calibri" w:hAnsi="Calibri"/>
                <w:b/>
                <w:color w:val="162236"/>
                <w:sz w:val="18"/>
              </w:rPr>
              <w:t>Fields</w:t>
            </w:r>
          </w:p>
        </w:tc>
      </w:tr>
      <w:tr>
        <w:trPr>
          <w:cantSplit/>
        </w:trPr>
        <w:tc>
          <w:tcPr>
            <w:tcW w:type="dxa" w:w="2200"/>
            <w:vAlign w:val="center"/>
            <w:tcMar>
              <w:top w:w="80" w:type="dxa"/>
              <w:start w:w="120" w:type="dxa"/>
              <w:bottom w:w="80" w:type="dxa"/>
              <w:end w:w="120" w:type="dxa"/>
            </w:tcMar>
          </w:tcPr>
          <w:p>
            <w:pPr>
              <w:spacing w:before="0" w:after="0" w:line="271" w:lineRule="auto"/>
            </w:pPr>
            <w:r>
              <w:rPr>
                <w:rFonts w:ascii="Calibri" w:hAnsi="Calibri"/>
                <w:color w:val="162236"/>
                <w:sz w:val="18"/>
              </w:rPr>
              <w:t>Practice</w:t>
            </w:r>
          </w:p>
        </w:tc>
        <w:tc>
          <w:tcPr>
            <w:tcW w:type="dxa" w:w="7160"/>
            <w:vAlign w:val="center"/>
            <w:tcMar>
              <w:top w:w="80" w:type="dxa"/>
              <w:start w:w="120" w:type="dxa"/>
              <w:bottom w:w="80" w:type="dxa"/>
              <w:end w:w="120" w:type="dxa"/>
            </w:tcMar>
          </w:tcPr>
          <w:p>
            <w:pPr>
              <w:spacing w:before="0" w:after="0" w:line="271" w:lineRule="auto"/>
            </w:pPr>
            <w:r>
              <w:rPr>
                <w:rFonts w:ascii="Calibri" w:hAnsi="Calibri"/>
                <w:color w:val="162236"/>
                <w:sz w:val="18"/>
              </w:rPr>
              <w:t>Name · Clinic / Organisation Name · Email · Phone (optional)</w:t>
            </w:r>
          </w:p>
        </w:tc>
      </w:tr>
      <w:tr>
        <w:trPr>
          <w:cantSplit/>
        </w:trPr>
        <w:tc>
          <w:tcPr>
            <w:tcW w:type="dxa" w:w="2200"/>
            <w:vAlign w:val="center"/>
            <w:tcMar>
              <w:top w:w="80" w:type="dxa"/>
              <w:start w:w="120" w:type="dxa"/>
              <w:bottom w:w="80" w:type="dxa"/>
              <w:end w:w="120" w:type="dxa"/>
            </w:tcMar>
          </w:tcPr>
          <w:p>
            <w:pPr>
              <w:spacing w:before="0" w:after="0" w:line="271" w:lineRule="auto"/>
            </w:pPr>
            <w:r>
              <w:rPr>
                <w:rFonts w:ascii="Calibri" w:hAnsi="Calibri"/>
                <w:color w:val="162236"/>
                <w:sz w:val="18"/>
              </w:rPr>
              <w:t>Case</w:t>
            </w:r>
          </w:p>
        </w:tc>
        <w:tc>
          <w:tcPr>
            <w:tcW w:type="dxa" w:w="7160"/>
            <w:vAlign w:val="center"/>
            <w:tcMar>
              <w:top w:w="80" w:type="dxa"/>
              <w:start w:w="120" w:type="dxa"/>
              <w:bottom w:w="80" w:type="dxa"/>
              <w:end w:w="120" w:type="dxa"/>
            </w:tcMar>
          </w:tcPr>
          <w:p>
            <w:pPr>
              <w:spacing w:before="0" w:after="0" w:line="271" w:lineRule="auto"/>
            </w:pPr>
            <w:r>
              <w:rPr>
                <w:rFonts w:ascii="Calibri" w:hAnsi="Calibri"/>
                <w:color w:val="162236"/>
                <w:sz w:val="18"/>
              </w:rPr>
              <w:t>Case Type: Single Implant · Full Arch · Immediate Loading · Zygoma · Pterygoid · Other</w:t>
            </w:r>
          </w:p>
        </w:tc>
      </w:tr>
      <w:tr>
        <w:trPr>
          <w:cantSplit/>
        </w:trPr>
        <w:tc>
          <w:tcPr>
            <w:tcW w:type="dxa" w:w="2200"/>
            <w:vAlign w:val="center"/>
            <w:tcMar>
              <w:top w:w="80" w:type="dxa"/>
              <w:start w:w="120" w:type="dxa"/>
              <w:bottom w:w="80" w:type="dxa"/>
              <w:end w:w="120" w:type="dxa"/>
            </w:tcMar>
          </w:tcPr>
          <w:p>
            <w:pPr>
              <w:spacing w:before="0" w:after="0" w:line="271" w:lineRule="auto"/>
            </w:pPr>
            <w:r>
              <w:rPr>
                <w:rFonts w:ascii="Calibri" w:hAnsi="Calibri"/>
                <w:color w:val="162236"/>
                <w:sz w:val="18"/>
              </w:rPr>
              <w:t>System</w:t>
            </w:r>
          </w:p>
        </w:tc>
        <w:tc>
          <w:tcPr>
            <w:tcW w:type="dxa" w:w="7160"/>
            <w:vAlign w:val="center"/>
            <w:tcMar>
              <w:top w:w="80" w:type="dxa"/>
              <w:start w:w="120" w:type="dxa"/>
              <w:bottom w:w="80" w:type="dxa"/>
              <w:end w:w="120" w:type="dxa"/>
            </w:tcMar>
          </w:tcPr>
          <w:p>
            <w:pPr>
              <w:spacing w:before="0" w:after="0" w:line="271" w:lineRule="auto"/>
            </w:pPr>
            <w:r>
              <w:rPr>
                <w:rFonts w:ascii="Calibri" w:hAnsi="Calibri"/>
                <w:color w:val="162236"/>
                <w:sz w:val="18"/>
              </w:rPr>
              <w:t>Implant System Preference: Nobel · Straumann · Osstem · Adin · Other</w:t>
            </w:r>
          </w:p>
        </w:tc>
      </w:tr>
      <w:tr>
        <w:trPr>
          <w:cantSplit/>
        </w:trPr>
        <w:tc>
          <w:tcPr>
            <w:tcW w:type="dxa" w:w="2200"/>
            <w:vAlign w:val="center"/>
            <w:tcMar>
              <w:top w:w="80" w:type="dxa"/>
              <w:start w:w="120" w:type="dxa"/>
              <w:bottom w:w="80" w:type="dxa"/>
              <w:end w:w="120" w:type="dxa"/>
            </w:tcMar>
          </w:tcPr>
          <w:p>
            <w:pPr>
              <w:spacing w:before="0" w:after="0" w:line="271" w:lineRule="auto"/>
            </w:pPr>
            <w:r>
              <w:rPr>
                <w:rFonts w:ascii="Calibri" w:hAnsi="Calibri"/>
                <w:color w:val="162236"/>
                <w:sz w:val="18"/>
              </w:rPr>
              <w:t>Prosthetic</w:t>
            </w:r>
          </w:p>
        </w:tc>
        <w:tc>
          <w:tcPr>
            <w:tcW w:type="dxa" w:w="7160"/>
            <w:vAlign w:val="center"/>
            <w:tcMar>
              <w:top w:w="80" w:type="dxa"/>
              <w:start w:w="120" w:type="dxa"/>
              <w:bottom w:w="80" w:type="dxa"/>
              <w:end w:w="120" w:type="dxa"/>
            </w:tcMar>
          </w:tcPr>
          <w:p>
            <w:pPr>
              <w:spacing w:before="0" w:after="0" w:line="271" w:lineRule="auto"/>
            </w:pPr>
            <w:r>
              <w:rPr>
                <w:rFonts w:ascii="Calibri" w:hAnsi="Calibri"/>
                <w:color w:val="162236"/>
                <w:sz w:val="18"/>
              </w:rPr>
              <w:t>Prosthetic Type: FP1 · FP2 · FP3</w:t>
            </w:r>
          </w:p>
        </w:tc>
      </w:tr>
      <w:tr>
        <w:trPr>
          <w:cantSplit/>
        </w:trPr>
        <w:tc>
          <w:tcPr>
            <w:tcW w:type="dxa" w:w="2200"/>
            <w:vAlign w:val="center"/>
            <w:tcMar>
              <w:top w:w="80" w:type="dxa"/>
              <w:start w:w="120" w:type="dxa"/>
              <w:bottom w:w="80" w:type="dxa"/>
              <w:end w:w="120" w:type="dxa"/>
            </w:tcMar>
          </w:tcPr>
          <w:p>
            <w:pPr>
              <w:spacing w:before="0" w:after="0" w:line="271" w:lineRule="auto"/>
            </w:pPr>
            <w:r>
              <w:rPr>
                <w:rFonts w:ascii="Calibri" w:hAnsi="Calibri"/>
                <w:color w:val="162236"/>
                <w:sz w:val="18"/>
              </w:rPr>
              <w:t>Instructions</w:t>
            </w:r>
          </w:p>
        </w:tc>
        <w:tc>
          <w:tcPr>
            <w:tcW w:type="dxa" w:w="7160"/>
            <w:vAlign w:val="center"/>
            <w:tcMar>
              <w:top w:w="80" w:type="dxa"/>
              <w:start w:w="120" w:type="dxa"/>
              <w:bottom w:w="80" w:type="dxa"/>
              <w:end w:w="120" w:type="dxa"/>
            </w:tcMar>
          </w:tcPr>
          <w:p>
            <w:pPr>
              <w:spacing w:before="0" w:after="0" w:line="271" w:lineRule="auto"/>
            </w:pPr>
            <w:r>
              <w:rPr>
                <w:rFonts w:ascii="Calibri" w:hAnsi="Calibri"/>
                <w:color w:val="162236"/>
                <w:sz w:val="18"/>
              </w:rPr>
              <w:t>Notes (optional) and workflow-specific questions</w:t>
            </w:r>
          </w:p>
        </w:tc>
      </w:tr>
      <w:tr>
        <w:trPr>
          <w:cantSplit/>
        </w:trPr>
        <w:tc>
          <w:tcPr>
            <w:tcW w:type="dxa" w:w="2200"/>
            <w:vAlign w:val="center"/>
            <w:tcMar>
              <w:top w:w="80" w:type="dxa"/>
              <w:start w:w="120" w:type="dxa"/>
              <w:bottom w:w="80" w:type="dxa"/>
              <w:end w:w="120" w:type="dxa"/>
            </w:tcMar>
          </w:tcPr>
          <w:p>
            <w:pPr>
              <w:spacing w:before="0" w:after="0" w:line="271" w:lineRule="auto"/>
            </w:pPr>
            <w:r>
              <w:rPr>
                <w:rFonts w:ascii="Calibri" w:hAnsi="Calibri"/>
                <w:color w:val="162236"/>
                <w:sz w:val="18"/>
              </w:rPr>
              <w:t>Files</w:t>
            </w:r>
          </w:p>
        </w:tc>
        <w:tc>
          <w:tcPr>
            <w:tcW w:type="dxa" w:w="7160"/>
            <w:vAlign w:val="center"/>
            <w:tcMar>
              <w:top w:w="80" w:type="dxa"/>
              <w:start w:w="120" w:type="dxa"/>
              <w:bottom w:w="80" w:type="dxa"/>
              <w:end w:w="120" w:type="dxa"/>
            </w:tcMar>
          </w:tcPr>
          <w:p>
            <w:pPr>
              <w:spacing w:before="0" w:after="0" w:line="271" w:lineRule="auto"/>
            </w:pPr>
            <w:r>
              <w:rPr>
                <w:rFonts w:ascii="Calibri" w:hAnsi="Calibri"/>
                <w:color w:val="162236"/>
                <w:sz w:val="18"/>
              </w:rPr>
              <w:t>DICOM · STL · JPG/PNG, with workflow-specific requirements displayed before upload</w:t>
            </w:r>
          </w:p>
        </w:tc>
      </w:tr>
    </w:tbl>
    <w:p>
      <w:pPr>
        <w:spacing w:after="60"/>
      </w:pPr>
    </w:p>
    <w:p>
      <w:pPr>
        <w:spacing w:before="0" w:after="120" w:line="300" w:lineRule="auto"/>
        <w:jc w:val="left"/>
      </w:pPr>
      <w:r>
        <w:rPr>
          <w:rFonts w:ascii="Calibri" w:hAnsi="Calibri"/>
          <w:i/>
          <w:color w:val="5F6B7A"/>
          <w:sz w:val="22"/>
        </w:rPr>
        <w:t>These fields belong after login inside the practice dashboard. The public site may explain requirements but must not accept clinical uploads.</w:t>
      </w:r>
    </w:p>
    <w:p>
      <w:pPr>
        <w:pStyle w:val="Heading2"/>
        <w:spacing w:before="280" w:after="140" w:line="252" w:lineRule="auto"/>
        <w:keepNext w:val="1"/>
        <w:pageBreakBefore w:val="0"/>
      </w:pPr>
      <w:r>
        <w:rPr>
          <w:rFonts w:ascii="Calibri" w:hAnsi="Calibri"/>
          <w:b/>
          <w:color w:val="2E74B5"/>
          <w:sz w:val="26"/>
        </w:rPr>
        <w:t>Dentist-facing case statuses</w:t>
      </w:r>
    </w:p>
    <w:tbl>
      <w:tblPr>
        <w:tblStyle w:val="TableGrid"/>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1900"/>
        <w:gridCol w:w="3830"/>
        <w:gridCol w:w="3630"/>
      </w:tblGrid>
      <w:tr>
        <w:trPr>
          <w:tblHeader w:val="true"/>
          <w:cantSplit/>
        </w:trPr>
        <w:tc>
          <w:tcPr>
            <w:tcW w:type="dxa" w:w="1900"/>
            <w:tcMar>
              <w:top w:w="80" w:type="dxa"/>
              <w:start w:w="120" w:type="dxa"/>
              <w:bottom w:w="80" w:type="dxa"/>
              <w:end w:w="120" w:type="dxa"/>
            </w:tcMar>
            <w:vAlign w:val="center"/>
            <w:shd w:fill="E8EEF5"/>
          </w:tcPr>
          <w:p>
            <w:pPr>
              <w:spacing w:before="0" w:after="0" w:line="264" w:lineRule="auto"/>
            </w:pPr>
            <w:r>
              <w:rPr>
                <w:rFonts w:ascii="Calibri" w:hAnsi="Calibri"/>
                <w:b/>
                <w:color w:val="162236"/>
                <w:sz w:val="16"/>
              </w:rPr>
              <w:t>Status</w:t>
            </w:r>
          </w:p>
        </w:tc>
        <w:tc>
          <w:tcPr>
            <w:tcW w:type="dxa" w:w="3830"/>
            <w:tcMar>
              <w:top w:w="80" w:type="dxa"/>
              <w:start w:w="120" w:type="dxa"/>
              <w:bottom w:w="80" w:type="dxa"/>
              <w:end w:w="120" w:type="dxa"/>
            </w:tcMar>
            <w:vAlign w:val="center"/>
            <w:shd w:fill="E8EEF5"/>
          </w:tcPr>
          <w:p>
            <w:pPr>
              <w:spacing w:before="0" w:after="0" w:line="264" w:lineRule="auto"/>
            </w:pPr>
            <w:r>
              <w:rPr>
                <w:rFonts w:ascii="Calibri" w:hAnsi="Calibri"/>
                <w:b/>
                <w:color w:val="162236"/>
                <w:sz w:val="16"/>
              </w:rPr>
              <w:t>What it means</w:t>
            </w:r>
          </w:p>
        </w:tc>
        <w:tc>
          <w:tcPr>
            <w:tcW w:type="dxa" w:w="3630"/>
            <w:tcMar>
              <w:top w:w="80" w:type="dxa"/>
              <w:start w:w="120" w:type="dxa"/>
              <w:bottom w:w="80" w:type="dxa"/>
              <w:end w:w="120" w:type="dxa"/>
            </w:tcMar>
            <w:vAlign w:val="center"/>
            <w:shd w:fill="E8EEF5"/>
          </w:tcPr>
          <w:p>
            <w:pPr>
              <w:spacing w:before="0" w:after="0" w:line="264" w:lineRule="auto"/>
            </w:pPr>
            <w:r>
              <w:rPr>
                <w:rFonts w:ascii="Calibri" w:hAnsi="Calibri"/>
                <w:b/>
                <w:color w:val="162236"/>
                <w:sz w:val="16"/>
              </w:rPr>
              <w:t>What you need to do</w:t>
            </w:r>
          </w:p>
        </w:tc>
      </w:tr>
      <w:tr>
        <w:trPr>
          <w:cantSplit/>
        </w:trPr>
        <w:tc>
          <w:tcPr>
            <w:tcW w:type="dxa" w:w="1900"/>
            <w:vAlign w:val="center"/>
            <w:tcMar>
              <w:top w:w="80" w:type="dxa"/>
              <w:start w:w="120" w:type="dxa"/>
              <w:bottom w:w="80" w:type="dxa"/>
              <w:end w:w="120" w:type="dxa"/>
            </w:tcMar>
          </w:tcPr>
          <w:p>
            <w:pPr>
              <w:spacing w:before="0" w:after="0" w:line="271" w:lineRule="auto"/>
            </w:pPr>
            <w:r>
              <w:rPr>
                <w:rFonts w:ascii="Calibri" w:hAnsi="Calibri"/>
                <w:color w:val="162236"/>
                <w:sz w:val="16"/>
              </w:rPr>
              <w:t>Draft</w:t>
            </w:r>
          </w:p>
        </w:tc>
        <w:tc>
          <w:tcPr>
            <w:tcW w:type="dxa" w:w="3830"/>
            <w:vAlign w:val="center"/>
            <w:tcMar>
              <w:top w:w="80" w:type="dxa"/>
              <w:start w:w="120" w:type="dxa"/>
              <w:bottom w:w="80" w:type="dxa"/>
              <w:end w:w="120" w:type="dxa"/>
            </w:tcMar>
          </w:tcPr>
          <w:p>
            <w:pPr>
              <w:spacing w:before="0" w:after="0" w:line="271" w:lineRule="auto"/>
            </w:pPr>
            <w:r>
              <w:rPr>
                <w:rFonts w:ascii="Calibri" w:hAnsi="Calibri"/>
                <w:color w:val="162236"/>
                <w:sz w:val="16"/>
              </w:rPr>
              <w:t>The case has not been submitted.</w:t>
            </w:r>
          </w:p>
        </w:tc>
        <w:tc>
          <w:tcPr>
            <w:tcW w:type="dxa" w:w="3630"/>
            <w:vAlign w:val="center"/>
            <w:tcMar>
              <w:top w:w="80" w:type="dxa"/>
              <w:start w:w="120" w:type="dxa"/>
              <w:bottom w:w="80" w:type="dxa"/>
              <w:end w:w="120" w:type="dxa"/>
            </w:tcMar>
          </w:tcPr>
          <w:p>
            <w:pPr>
              <w:spacing w:before="0" w:after="0" w:line="271" w:lineRule="auto"/>
            </w:pPr>
            <w:r>
              <w:rPr>
                <w:rFonts w:ascii="Calibri" w:hAnsi="Calibri"/>
                <w:color w:val="162236"/>
                <w:sz w:val="16"/>
              </w:rPr>
              <w:t>Complete details and upload the required files.</w:t>
            </w:r>
          </w:p>
        </w:tc>
      </w:tr>
      <w:tr>
        <w:trPr>
          <w:cantSplit/>
        </w:trPr>
        <w:tc>
          <w:tcPr>
            <w:tcW w:type="dxa" w:w="1900"/>
            <w:vAlign w:val="center"/>
            <w:tcMar>
              <w:top w:w="80" w:type="dxa"/>
              <w:start w:w="120" w:type="dxa"/>
              <w:bottom w:w="80" w:type="dxa"/>
              <w:end w:w="120" w:type="dxa"/>
            </w:tcMar>
          </w:tcPr>
          <w:p>
            <w:pPr>
              <w:spacing w:before="0" w:after="0" w:line="271" w:lineRule="auto"/>
            </w:pPr>
            <w:r>
              <w:rPr>
                <w:rFonts w:ascii="Calibri" w:hAnsi="Calibri"/>
                <w:color w:val="162236"/>
                <w:sz w:val="16"/>
              </w:rPr>
              <w:t>Submitted</w:t>
            </w:r>
          </w:p>
        </w:tc>
        <w:tc>
          <w:tcPr>
            <w:tcW w:type="dxa" w:w="3830"/>
            <w:vAlign w:val="center"/>
            <w:tcMar>
              <w:top w:w="80" w:type="dxa"/>
              <w:start w:w="120" w:type="dxa"/>
              <w:bottom w:w="80" w:type="dxa"/>
              <w:end w:w="120" w:type="dxa"/>
            </w:tcMar>
          </w:tcPr>
          <w:p>
            <w:pPr>
              <w:spacing w:before="0" w:after="0" w:line="271" w:lineRule="auto"/>
            </w:pPr>
            <w:r>
              <w:rPr>
                <w:rFonts w:ascii="Calibri" w:hAnsi="Calibri"/>
                <w:color w:val="162236"/>
                <w:sz w:val="16"/>
              </w:rPr>
              <w:t>The case has entered the queue.</w:t>
            </w:r>
          </w:p>
        </w:tc>
        <w:tc>
          <w:tcPr>
            <w:tcW w:type="dxa" w:w="3630"/>
            <w:vAlign w:val="center"/>
            <w:tcMar>
              <w:top w:w="80" w:type="dxa"/>
              <w:start w:w="120" w:type="dxa"/>
              <w:bottom w:w="80" w:type="dxa"/>
              <w:end w:w="120" w:type="dxa"/>
            </w:tcMar>
          </w:tcPr>
          <w:p>
            <w:pPr>
              <w:spacing w:before="0" w:after="0" w:line="271" w:lineRule="auto"/>
            </w:pPr>
            <w:r>
              <w:rPr>
                <w:rFonts w:ascii="Calibri" w:hAnsi="Calibri"/>
                <w:color w:val="162236"/>
                <w:sz w:val="16"/>
              </w:rPr>
              <w:t>No action unless the case team contacts you.</w:t>
            </w:r>
          </w:p>
        </w:tc>
      </w:tr>
      <w:tr>
        <w:trPr>
          <w:cantSplit/>
        </w:trPr>
        <w:tc>
          <w:tcPr>
            <w:tcW w:type="dxa" w:w="1900"/>
            <w:vAlign w:val="center"/>
            <w:tcMar>
              <w:top w:w="80" w:type="dxa"/>
              <w:start w:w="120" w:type="dxa"/>
              <w:bottom w:w="80" w:type="dxa"/>
              <w:end w:w="120" w:type="dxa"/>
            </w:tcMar>
          </w:tcPr>
          <w:p>
            <w:pPr>
              <w:spacing w:before="0" w:after="0" w:line="271" w:lineRule="auto"/>
            </w:pPr>
            <w:r>
              <w:rPr>
                <w:rFonts w:ascii="Calibri" w:hAnsi="Calibri"/>
                <w:color w:val="162236"/>
                <w:sz w:val="16"/>
              </w:rPr>
              <w:t>Data Check</w:t>
            </w:r>
          </w:p>
        </w:tc>
        <w:tc>
          <w:tcPr>
            <w:tcW w:type="dxa" w:w="3830"/>
            <w:vAlign w:val="center"/>
            <w:tcMar>
              <w:top w:w="80" w:type="dxa"/>
              <w:start w:w="120" w:type="dxa"/>
              <w:bottom w:w="80" w:type="dxa"/>
              <w:end w:w="120" w:type="dxa"/>
            </w:tcMar>
          </w:tcPr>
          <w:p>
            <w:pPr>
              <w:spacing w:before="0" w:after="0" w:line="271" w:lineRule="auto"/>
            </w:pPr>
            <w:r>
              <w:rPr>
                <w:rFonts w:ascii="Calibri" w:hAnsi="Calibri"/>
                <w:color w:val="162236"/>
                <w:sz w:val="16"/>
              </w:rPr>
              <w:t>Files and instructions are being checked.</w:t>
            </w:r>
          </w:p>
        </w:tc>
        <w:tc>
          <w:tcPr>
            <w:tcW w:type="dxa" w:w="3630"/>
            <w:vAlign w:val="center"/>
            <w:tcMar>
              <w:top w:w="80" w:type="dxa"/>
              <w:start w:w="120" w:type="dxa"/>
              <w:bottom w:w="80" w:type="dxa"/>
              <w:end w:w="120" w:type="dxa"/>
            </w:tcMar>
          </w:tcPr>
          <w:p>
            <w:pPr>
              <w:spacing w:before="0" w:after="0" w:line="271" w:lineRule="auto"/>
            </w:pPr>
            <w:r>
              <w:rPr>
                <w:rFonts w:ascii="Calibri" w:hAnsi="Calibri"/>
                <w:color w:val="162236"/>
                <w:sz w:val="16"/>
              </w:rPr>
              <w:t>Wait for validation or a request for information.</w:t>
            </w:r>
          </w:p>
        </w:tc>
      </w:tr>
      <w:tr>
        <w:trPr>
          <w:cantSplit/>
        </w:trPr>
        <w:tc>
          <w:tcPr>
            <w:tcW w:type="dxa" w:w="1900"/>
            <w:vAlign w:val="center"/>
            <w:tcMar>
              <w:top w:w="80" w:type="dxa"/>
              <w:start w:w="120" w:type="dxa"/>
              <w:bottom w:w="80" w:type="dxa"/>
              <w:end w:w="120" w:type="dxa"/>
            </w:tcMar>
          </w:tcPr>
          <w:p>
            <w:pPr>
              <w:spacing w:before="0" w:after="0" w:line="271" w:lineRule="auto"/>
            </w:pPr>
            <w:r>
              <w:rPr>
                <w:rFonts w:ascii="Calibri" w:hAnsi="Calibri"/>
                <w:color w:val="162236"/>
                <w:sz w:val="16"/>
              </w:rPr>
              <w:t>Information Needed</w:t>
            </w:r>
          </w:p>
        </w:tc>
        <w:tc>
          <w:tcPr>
            <w:tcW w:type="dxa" w:w="3830"/>
            <w:vAlign w:val="center"/>
            <w:tcMar>
              <w:top w:w="80" w:type="dxa"/>
              <w:start w:w="120" w:type="dxa"/>
              <w:bottom w:w="80" w:type="dxa"/>
              <w:end w:w="120" w:type="dxa"/>
            </w:tcMar>
          </w:tcPr>
          <w:p>
            <w:pPr>
              <w:spacing w:before="0" w:after="0" w:line="271" w:lineRule="auto"/>
            </w:pPr>
            <w:r>
              <w:rPr>
                <w:rFonts w:ascii="Calibri" w:hAnsi="Calibri"/>
                <w:color w:val="162236"/>
                <w:sz w:val="16"/>
              </w:rPr>
              <w:t>The case cannot move forward yet.</w:t>
            </w:r>
          </w:p>
        </w:tc>
        <w:tc>
          <w:tcPr>
            <w:tcW w:type="dxa" w:w="3630"/>
            <w:vAlign w:val="center"/>
            <w:tcMar>
              <w:top w:w="80" w:type="dxa"/>
              <w:start w:w="120" w:type="dxa"/>
              <w:bottom w:w="80" w:type="dxa"/>
              <w:end w:w="120" w:type="dxa"/>
            </w:tcMar>
          </w:tcPr>
          <w:p>
            <w:pPr>
              <w:spacing w:before="0" w:after="0" w:line="271" w:lineRule="auto"/>
            </w:pPr>
            <w:r>
              <w:rPr>
                <w:rFonts w:ascii="Calibri" w:hAnsi="Calibri"/>
                <w:color w:val="162236"/>
                <w:sz w:val="16"/>
              </w:rPr>
              <w:t>Open the request and add the missing item.</w:t>
            </w:r>
          </w:p>
        </w:tc>
      </w:tr>
      <w:tr>
        <w:trPr>
          <w:cantSplit/>
        </w:trPr>
        <w:tc>
          <w:tcPr>
            <w:tcW w:type="dxa" w:w="1900"/>
            <w:vAlign w:val="center"/>
            <w:tcMar>
              <w:top w:w="80" w:type="dxa"/>
              <w:start w:w="120" w:type="dxa"/>
              <w:bottom w:w="80" w:type="dxa"/>
              <w:end w:w="120" w:type="dxa"/>
            </w:tcMar>
          </w:tcPr>
          <w:p>
            <w:pPr>
              <w:spacing w:before="0" w:after="0" w:line="271" w:lineRule="auto"/>
            </w:pPr>
            <w:r>
              <w:rPr>
                <w:rFonts w:ascii="Calibri" w:hAnsi="Calibri"/>
                <w:color w:val="162236"/>
                <w:sz w:val="16"/>
              </w:rPr>
              <w:t>Scope &amp; Quote</w:t>
            </w:r>
          </w:p>
        </w:tc>
        <w:tc>
          <w:tcPr>
            <w:tcW w:type="dxa" w:w="3830"/>
            <w:vAlign w:val="center"/>
            <w:tcMar>
              <w:top w:w="80" w:type="dxa"/>
              <w:start w:w="120" w:type="dxa"/>
              <w:bottom w:w="80" w:type="dxa"/>
              <w:end w:w="120" w:type="dxa"/>
            </w:tcMar>
          </w:tcPr>
          <w:p>
            <w:pPr>
              <w:spacing w:before="0" w:after="0" w:line="271" w:lineRule="auto"/>
            </w:pPr>
            <w:r>
              <w:rPr>
                <w:rFonts w:ascii="Calibri" w:hAnsi="Calibri"/>
                <w:color w:val="162236"/>
                <w:sz w:val="16"/>
              </w:rPr>
              <w:t>Deliverables and fees are being confirmed.</w:t>
            </w:r>
          </w:p>
        </w:tc>
        <w:tc>
          <w:tcPr>
            <w:tcW w:type="dxa" w:w="3630"/>
            <w:vAlign w:val="center"/>
            <w:tcMar>
              <w:top w:w="80" w:type="dxa"/>
              <w:start w:w="120" w:type="dxa"/>
              <w:bottom w:w="80" w:type="dxa"/>
              <w:end w:w="120" w:type="dxa"/>
            </w:tcMar>
          </w:tcPr>
          <w:p>
            <w:pPr>
              <w:spacing w:before="0" w:after="0" w:line="271" w:lineRule="auto"/>
            </w:pPr>
            <w:r>
              <w:rPr>
                <w:rFonts w:ascii="Calibri" w:hAnsi="Calibri"/>
                <w:color w:val="162236"/>
                <w:sz w:val="16"/>
              </w:rPr>
              <w:t>Review and accept the quotation.</w:t>
            </w:r>
          </w:p>
        </w:tc>
      </w:tr>
      <w:tr>
        <w:trPr>
          <w:cantSplit/>
        </w:trPr>
        <w:tc>
          <w:tcPr>
            <w:tcW w:type="dxa" w:w="1900"/>
            <w:vAlign w:val="center"/>
            <w:tcMar>
              <w:top w:w="80" w:type="dxa"/>
              <w:start w:w="120" w:type="dxa"/>
              <w:bottom w:w="80" w:type="dxa"/>
              <w:end w:w="120" w:type="dxa"/>
            </w:tcMar>
          </w:tcPr>
          <w:p>
            <w:pPr>
              <w:spacing w:before="0" w:after="0" w:line="271" w:lineRule="auto"/>
            </w:pPr>
            <w:r>
              <w:rPr>
                <w:rFonts w:ascii="Calibri" w:hAnsi="Calibri"/>
                <w:color w:val="162236"/>
                <w:sz w:val="16"/>
              </w:rPr>
              <w:t>In Planning</w:t>
            </w:r>
          </w:p>
        </w:tc>
        <w:tc>
          <w:tcPr>
            <w:tcW w:type="dxa" w:w="3830"/>
            <w:vAlign w:val="center"/>
            <w:tcMar>
              <w:top w:w="80" w:type="dxa"/>
              <w:start w:w="120" w:type="dxa"/>
              <w:bottom w:w="80" w:type="dxa"/>
              <w:end w:w="120" w:type="dxa"/>
            </w:tcMar>
          </w:tcPr>
          <w:p>
            <w:pPr>
              <w:spacing w:before="0" w:after="0" w:line="271" w:lineRule="auto"/>
            </w:pPr>
            <w:r>
              <w:rPr>
                <w:rFonts w:ascii="Calibri" w:hAnsi="Calibri"/>
                <w:color w:val="162236"/>
                <w:sz w:val="16"/>
              </w:rPr>
              <w:t>The digital plan is being prepared.</w:t>
            </w:r>
          </w:p>
        </w:tc>
        <w:tc>
          <w:tcPr>
            <w:tcW w:type="dxa" w:w="3630"/>
            <w:vAlign w:val="center"/>
            <w:tcMar>
              <w:top w:w="80" w:type="dxa"/>
              <w:start w:w="120" w:type="dxa"/>
              <w:bottom w:w="80" w:type="dxa"/>
              <w:end w:w="120" w:type="dxa"/>
            </w:tcMar>
          </w:tcPr>
          <w:p>
            <w:pPr>
              <w:spacing w:before="0" w:after="0" w:line="271" w:lineRule="auto"/>
            </w:pPr>
            <w:r>
              <w:rPr>
                <w:rFonts w:ascii="Calibri" w:hAnsi="Calibri"/>
                <w:color w:val="162236"/>
                <w:sz w:val="16"/>
              </w:rPr>
              <w:t>No action unless a question appears.</w:t>
            </w:r>
          </w:p>
        </w:tc>
      </w:tr>
      <w:tr>
        <w:trPr>
          <w:cantSplit/>
        </w:trPr>
        <w:tc>
          <w:tcPr>
            <w:tcW w:type="dxa" w:w="1900"/>
            <w:vAlign w:val="center"/>
            <w:tcMar>
              <w:top w:w="80" w:type="dxa"/>
              <w:start w:w="120" w:type="dxa"/>
              <w:bottom w:w="80" w:type="dxa"/>
              <w:end w:w="120" w:type="dxa"/>
            </w:tcMar>
          </w:tcPr>
          <w:p>
            <w:pPr>
              <w:spacing w:before="0" w:after="0" w:line="271" w:lineRule="auto"/>
            </w:pPr>
            <w:r>
              <w:rPr>
                <w:rFonts w:ascii="Calibri" w:hAnsi="Calibri"/>
                <w:color w:val="162236"/>
                <w:sz w:val="16"/>
              </w:rPr>
              <w:t>Plan Ready for Review</w:t>
            </w:r>
          </w:p>
        </w:tc>
        <w:tc>
          <w:tcPr>
            <w:tcW w:type="dxa" w:w="3830"/>
            <w:vAlign w:val="center"/>
            <w:tcMar>
              <w:top w:w="80" w:type="dxa"/>
              <w:start w:w="120" w:type="dxa"/>
              <w:bottom w:w="80" w:type="dxa"/>
              <w:end w:w="120" w:type="dxa"/>
            </w:tcMar>
          </w:tcPr>
          <w:p>
            <w:pPr>
              <w:spacing w:before="0" w:after="0" w:line="271" w:lineRule="auto"/>
            </w:pPr>
            <w:r>
              <w:rPr>
                <w:rFonts w:ascii="Calibri" w:hAnsi="Calibri"/>
                <w:color w:val="162236"/>
                <w:sz w:val="16"/>
              </w:rPr>
              <w:t>The proposed plan is available.</w:t>
            </w:r>
          </w:p>
        </w:tc>
        <w:tc>
          <w:tcPr>
            <w:tcW w:type="dxa" w:w="3630"/>
            <w:vAlign w:val="center"/>
            <w:tcMar>
              <w:top w:w="80" w:type="dxa"/>
              <w:start w:w="120" w:type="dxa"/>
              <w:bottom w:w="80" w:type="dxa"/>
              <w:end w:w="120" w:type="dxa"/>
            </w:tcMar>
          </w:tcPr>
          <w:p>
            <w:pPr>
              <w:spacing w:before="0" w:after="0" w:line="271" w:lineRule="auto"/>
            </w:pPr>
            <w:r>
              <w:rPr>
                <w:rFonts w:ascii="Calibri" w:hAnsi="Calibri"/>
                <w:color w:val="162236"/>
                <w:sz w:val="16"/>
              </w:rPr>
              <w:t>Review the plan and respond.</w:t>
            </w:r>
          </w:p>
        </w:tc>
      </w:tr>
      <w:tr>
        <w:trPr>
          <w:cantSplit/>
        </w:trPr>
        <w:tc>
          <w:tcPr>
            <w:tcW w:type="dxa" w:w="1900"/>
            <w:vAlign w:val="center"/>
            <w:tcMar>
              <w:top w:w="80" w:type="dxa"/>
              <w:start w:w="120" w:type="dxa"/>
              <w:bottom w:w="80" w:type="dxa"/>
              <w:end w:w="120" w:type="dxa"/>
            </w:tcMar>
          </w:tcPr>
          <w:p>
            <w:pPr>
              <w:spacing w:before="0" w:after="0" w:line="271" w:lineRule="auto"/>
            </w:pPr>
            <w:r>
              <w:rPr>
                <w:rFonts w:ascii="Calibri" w:hAnsi="Calibri"/>
                <w:color w:val="162236"/>
                <w:sz w:val="16"/>
              </w:rPr>
              <w:t>Changes Requested</w:t>
            </w:r>
          </w:p>
        </w:tc>
        <w:tc>
          <w:tcPr>
            <w:tcW w:type="dxa" w:w="3830"/>
            <w:vAlign w:val="center"/>
            <w:tcMar>
              <w:top w:w="80" w:type="dxa"/>
              <w:start w:w="120" w:type="dxa"/>
              <w:bottom w:w="80" w:type="dxa"/>
              <w:end w:w="120" w:type="dxa"/>
            </w:tcMar>
          </w:tcPr>
          <w:p>
            <w:pPr>
              <w:spacing w:before="0" w:after="0" w:line="271" w:lineRule="auto"/>
            </w:pPr>
            <w:r>
              <w:rPr>
                <w:rFonts w:ascii="Calibri" w:hAnsi="Calibri"/>
                <w:color w:val="162236"/>
                <w:sz w:val="16"/>
              </w:rPr>
              <w:t>Your requested changes are being assessed.</w:t>
            </w:r>
          </w:p>
        </w:tc>
        <w:tc>
          <w:tcPr>
            <w:tcW w:type="dxa" w:w="3630"/>
            <w:vAlign w:val="center"/>
            <w:tcMar>
              <w:top w:w="80" w:type="dxa"/>
              <w:start w:w="120" w:type="dxa"/>
              <w:bottom w:w="80" w:type="dxa"/>
              <w:end w:w="120" w:type="dxa"/>
            </w:tcMar>
          </w:tcPr>
          <w:p>
            <w:pPr>
              <w:spacing w:before="0" w:after="0" w:line="271" w:lineRule="auto"/>
            </w:pPr>
            <w:r>
              <w:rPr>
                <w:rFonts w:ascii="Calibri" w:hAnsi="Calibri"/>
                <w:color w:val="162236"/>
                <w:sz w:val="16"/>
              </w:rPr>
              <w:t>Wait for the revised plan.</w:t>
            </w:r>
          </w:p>
        </w:tc>
      </w:tr>
      <w:tr>
        <w:trPr>
          <w:cantSplit/>
        </w:trPr>
        <w:tc>
          <w:tcPr>
            <w:tcW w:type="dxa" w:w="1900"/>
            <w:vAlign w:val="center"/>
            <w:tcMar>
              <w:top w:w="80" w:type="dxa"/>
              <w:start w:w="120" w:type="dxa"/>
              <w:bottom w:w="80" w:type="dxa"/>
              <w:end w:w="120" w:type="dxa"/>
            </w:tcMar>
          </w:tcPr>
          <w:p>
            <w:pPr>
              <w:spacing w:before="0" w:after="0" w:line="271" w:lineRule="auto"/>
            </w:pPr>
            <w:r>
              <w:rPr>
                <w:rFonts w:ascii="Calibri" w:hAnsi="Calibri"/>
                <w:color w:val="162236"/>
                <w:sz w:val="16"/>
              </w:rPr>
              <w:t>Approval Required</w:t>
            </w:r>
          </w:p>
        </w:tc>
        <w:tc>
          <w:tcPr>
            <w:tcW w:type="dxa" w:w="3830"/>
            <w:vAlign w:val="center"/>
            <w:tcMar>
              <w:top w:w="80" w:type="dxa"/>
              <w:start w:w="120" w:type="dxa"/>
              <w:bottom w:w="80" w:type="dxa"/>
              <w:end w:w="120" w:type="dxa"/>
            </w:tcMar>
          </w:tcPr>
          <w:p>
            <w:pPr>
              <w:spacing w:before="0" w:after="0" w:line="271" w:lineRule="auto"/>
            </w:pPr>
            <w:r>
              <w:rPr>
                <w:rFonts w:ascii="Calibri" w:hAnsi="Calibri"/>
                <w:color w:val="162236"/>
                <w:sz w:val="16"/>
              </w:rPr>
              <w:t>The plan is ready for the production decision.</w:t>
            </w:r>
          </w:p>
        </w:tc>
        <w:tc>
          <w:tcPr>
            <w:tcW w:type="dxa" w:w="3630"/>
            <w:vAlign w:val="center"/>
            <w:tcMar>
              <w:top w:w="80" w:type="dxa"/>
              <w:start w:w="120" w:type="dxa"/>
              <w:bottom w:w="80" w:type="dxa"/>
              <w:end w:w="120" w:type="dxa"/>
            </w:tcMar>
          </w:tcPr>
          <w:p>
            <w:pPr>
              <w:spacing w:before="0" w:after="0" w:line="271" w:lineRule="auto"/>
            </w:pPr>
            <w:r>
              <w:rPr>
                <w:rFonts w:ascii="Calibri" w:hAnsi="Calibri"/>
                <w:color w:val="162236"/>
                <w:sz w:val="16"/>
              </w:rPr>
              <w:t>Approve or request changes.</w:t>
            </w:r>
          </w:p>
        </w:tc>
      </w:tr>
      <w:tr>
        <w:trPr>
          <w:cantSplit/>
        </w:trPr>
        <w:tc>
          <w:tcPr>
            <w:tcW w:type="dxa" w:w="1900"/>
            <w:vAlign w:val="center"/>
            <w:tcMar>
              <w:top w:w="80" w:type="dxa"/>
              <w:start w:w="120" w:type="dxa"/>
              <w:bottom w:w="80" w:type="dxa"/>
              <w:end w:w="120" w:type="dxa"/>
            </w:tcMar>
          </w:tcPr>
          <w:p>
            <w:pPr>
              <w:spacing w:before="0" w:after="0" w:line="271" w:lineRule="auto"/>
            </w:pPr>
            <w:r>
              <w:rPr>
                <w:rFonts w:ascii="Calibri" w:hAnsi="Calibri"/>
                <w:color w:val="162236"/>
                <w:sz w:val="16"/>
              </w:rPr>
              <w:t>In Production</w:t>
            </w:r>
          </w:p>
        </w:tc>
        <w:tc>
          <w:tcPr>
            <w:tcW w:type="dxa" w:w="3830"/>
            <w:vAlign w:val="center"/>
            <w:tcMar>
              <w:top w:w="80" w:type="dxa"/>
              <w:start w:w="120" w:type="dxa"/>
              <w:bottom w:w="80" w:type="dxa"/>
              <w:end w:w="120" w:type="dxa"/>
            </w:tcMar>
          </w:tcPr>
          <w:p>
            <w:pPr>
              <w:spacing w:before="0" w:after="0" w:line="271" w:lineRule="auto"/>
            </w:pPr>
            <w:r>
              <w:rPr>
                <w:rFonts w:ascii="Calibri" w:hAnsi="Calibri"/>
                <w:color w:val="162236"/>
                <w:sz w:val="16"/>
              </w:rPr>
              <w:t>Approved deliverables are being produced.</w:t>
            </w:r>
          </w:p>
        </w:tc>
        <w:tc>
          <w:tcPr>
            <w:tcW w:type="dxa" w:w="3630"/>
            <w:vAlign w:val="center"/>
            <w:tcMar>
              <w:top w:w="80" w:type="dxa"/>
              <w:start w:w="120" w:type="dxa"/>
              <w:bottom w:w="80" w:type="dxa"/>
              <w:end w:w="120" w:type="dxa"/>
            </w:tcMar>
          </w:tcPr>
          <w:p>
            <w:pPr>
              <w:spacing w:before="0" w:after="0" w:line="271" w:lineRule="auto"/>
            </w:pPr>
            <w:r>
              <w:rPr>
                <w:rFonts w:ascii="Calibri" w:hAnsi="Calibri"/>
                <w:color w:val="162236"/>
                <w:sz w:val="16"/>
              </w:rPr>
              <w:t>Review preparation information.</w:t>
            </w:r>
          </w:p>
        </w:tc>
      </w:tr>
      <w:tr>
        <w:trPr>
          <w:cantSplit/>
        </w:trPr>
        <w:tc>
          <w:tcPr>
            <w:tcW w:type="dxa" w:w="1900"/>
            <w:vAlign w:val="center"/>
            <w:tcMar>
              <w:top w:w="80" w:type="dxa"/>
              <w:start w:w="120" w:type="dxa"/>
              <w:bottom w:w="80" w:type="dxa"/>
              <w:end w:w="120" w:type="dxa"/>
            </w:tcMar>
          </w:tcPr>
          <w:p>
            <w:pPr>
              <w:spacing w:before="0" w:after="0" w:line="271" w:lineRule="auto"/>
            </w:pPr>
            <w:r>
              <w:rPr>
                <w:rFonts w:ascii="Calibri" w:hAnsi="Calibri"/>
                <w:color w:val="162236"/>
                <w:sz w:val="16"/>
              </w:rPr>
              <w:t>Quality Check</w:t>
            </w:r>
          </w:p>
        </w:tc>
        <w:tc>
          <w:tcPr>
            <w:tcW w:type="dxa" w:w="3830"/>
            <w:vAlign w:val="center"/>
            <w:tcMar>
              <w:top w:w="80" w:type="dxa"/>
              <w:start w:w="120" w:type="dxa"/>
              <w:bottom w:w="80" w:type="dxa"/>
              <w:end w:w="120" w:type="dxa"/>
            </w:tcMar>
          </w:tcPr>
          <w:p>
            <w:pPr>
              <w:spacing w:before="0" w:after="0" w:line="271" w:lineRule="auto"/>
            </w:pPr>
            <w:r>
              <w:rPr>
                <w:rFonts w:ascii="Calibri" w:hAnsi="Calibri"/>
                <w:color w:val="162236"/>
                <w:sz w:val="16"/>
              </w:rPr>
              <w:t>Deliverables are undergoing final checks.</w:t>
            </w:r>
          </w:p>
        </w:tc>
        <w:tc>
          <w:tcPr>
            <w:tcW w:type="dxa" w:w="3630"/>
            <w:vAlign w:val="center"/>
            <w:tcMar>
              <w:top w:w="80" w:type="dxa"/>
              <w:start w:w="120" w:type="dxa"/>
              <w:bottom w:w="80" w:type="dxa"/>
              <w:end w:w="120" w:type="dxa"/>
            </w:tcMar>
          </w:tcPr>
          <w:p>
            <w:pPr>
              <w:spacing w:before="0" w:after="0" w:line="271" w:lineRule="auto"/>
            </w:pPr>
            <w:r>
              <w:rPr>
                <w:rFonts w:ascii="Calibri" w:hAnsi="Calibri"/>
                <w:color w:val="162236"/>
                <w:sz w:val="16"/>
              </w:rPr>
              <w:t>No action.</w:t>
            </w:r>
          </w:p>
        </w:tc>
      </w:tr>
      <w:tr>
        <w:trPr>
          <w:cantSplit/>
        </w:trPr>
        <w:tc>
          <w:tcPr>
            <w:tcW w:type="dxa" w:w="1900"/>
            <w:vAlign w:val="center"/>
            <w:tcMar>
              <w:top w:w="80" w:type="dxa"/>
              <w:start w:w="120" w:type="dxa"/>
              <w:bottom w:w="80" w:type="dxa"/>
              <w:end w:w="120" w:type="dxa"/>
            </w:tcMar>
          </w:tcPr>
          <w:p>
            <w:pPr>
              <w:spacing w:before="0" w:after="0" w:line="271" w:lineRule="auto"/>
            </w:pPr>
            <w:r>
              <w:rPr>
                <w:rFonts w:ascii="Calibri" w:hAnsi="Calibri"/>
                <w:color w:val="162236"/>
                <w:sz w:val="16"/>
              </w:rPr>
              <w:t>Dispatched / Files Ready</w:t>
            </w:r>
          </w:p>
        </w:tc>
        <w:tc>
          <w:tcPr>
            <w:tcW w:type="dxa" w:w="3830"/>
            <w:vAlign w:val="center"/>
            <w:tcMar>
              <w:top w:w="80" w:type="dxa"/>
              <w:start w:w="120" w:type="dxa"/>
              <w:bottom w:w="80" w:type="dxa"/>
              <w:end w:w="120" w:type="dxa"/>
            </w:tcMar>
          </w:tcPr>
          <w:p>
            <w:pPr>
              <w:spacing w:before="0" w:after="0" w:line="271" w:lineRule="auto"/>
            </w:pPr>
            <w:r>
              <w:rPr>
                <w:rFonts w:ascii="Calibri" w:hAnsi="Calibri"/>
                <w:color w:val="162236"/>
                <w:sz w:val="16"/>
              </w:rPr>
              <w:t>The physical package is moving or files are available.</w:t>
            </w:r>
          </w:p>
        </w:tc>
        <w:tc>
          <w:tcPr>
            <w:tcW w:type="dxa" w:w="3630"/>
            <w:vAlign w:val="center"/>
            <w:tcMar>
              <w:top w:w="80" w:type="dxa"/>
              <w:start w:w="120" w:type="dxa"/>
              <w:bottom w:w="80" w:type="dxa"/>
              <w:end w:w="120" w:type="dxa"/>
            </w:tcMar>
          </w:tcPr>
          <w:p>
            <w:pPr>
              <w:spacing w:before="0" w:after="0" w:line="271" w:lineRule="auto"/>
            </w:pPr>
            <w:r>
              <w:rPr>
                <w:rFonts w:ascii="Calibri" w:hAnsi="Calibri"/>
                <w:color w:val="162236"/>
                <w:sz w:val="16"/>
              </w:rPr>
              <w:t>Track shipment or download files.</w:t>
            </w:r>
          </w:p>
        </w:tc>
      </w:tr>
      <w:tr>
        <w:trPr>
          <w:cantSplit/>
        </w:trPr>
        <w:tc>
          <w:tcPr>
            <w:tcW w:type="dxa" w:w="1900"/>
            <w:vAlign w:val="center"/>
            <w:tcMar>
              <w:top w:w="80" w:type="dxa"/>
              <w:start w:w="120" w:type="dxa"/>
              <w:bottom w:w="80" w:type="dxa"/>
              <w:end w:w="120" w:type="dxa"/>
            </w:tcMar>
          </w:tcPr>
          <w:p>
            <w:pPr>
              <w:spacing w:before="0" w:after="0" w:line="271" w:lineRule="auto"/>
            </w:pPr>
            <w:r>
              <w:rPr>
                <w:rFonts w:ascii="Calibri" w:hAnsi="Calibri"/>
                <w:color w:val="162236"/>
                <w:sz w:val="16"/>
              </w:rPr>
              <w:t>Completed</w:t>
            </w:r>
          </w:p>
        </w:tc>
        <w:tc>
          <w:tcPr>
            <w:tcW w:type="dxa" w:w="3830"/>
            <w:vAlign w:val="center"/>
            <w:tcMar>
              <w:top w:w="80" w:type="dxa"/>
              <w:start w:w="120" w:type="dxa"/>
              <w:bottom w:w="80" w:type="dxa"/>
              <w:end w:w="120" w:type="dxa"/>
            </w:tcMar>
          </w:tcPr>
          <w:p>
            <w:pPr>
              <w:spacing w:before="0" w:after="0" w:line="271" w:lineRule="auto"/>
            </w:pPr>
            <w:r>
              <w:rPr>
                <w:rFonts w:ascii="Calibri" w:hAnsi="Calibri"/>
                <w:color w:val="162236"/>
                <w:sz w:val="16"/>
              </w:rPr>
              <w:t>The agreed deliverables have been supplied.</w:t>
            </w:r>
          </w:p>
        </w:tc>
        <w:tc>
          <w:tcPr>
            <w:tcW w:type="dxa" w:w="3630"/>
            <w:vAlign w:val="center"/>
            <w:tcMar>
              <w:top w:w="80" w:type="dxa"/>
              <w:start w:w="120" w:type="dxa"/>
              <w:bottom w:w="80" w:type="dxa"/>
              <w:end w:w="120" w:type="dxa"/>
            </w:tcMar>
          </w:tcPr>
          <w:p>
            <w:pPr>
              <w:spacing w:before="0" w:after="0" w:line="271" w:lineRule="auto"/>
            </w:pPr>
            <w:r>
              <w:rPr>
                <w:rFonts w:ascii="Calibri" w:hAnsi="Calibri"/>
                <w:color w:val="162236"/>
                <w:sz w:val="16"/>
              </w:rPr>
              <w:t>Access records or request support.</w:t>
            </w:r>
          </w:p>
        </w:tc>
      </w:tr>
    </w:tbl>
    <w:p>
      <w:pPr>
        <w:spacing w:after="60"/>
      </w:pPr>
    </w:p>
    <w:p>
      <w:pPr>
        <w:pStyle w:val="Heading2"/>
        <w:spacing w:before="280" w:after="140" w:line="252" w:lineRule="auto"/>
        <w:keepNext w:val="1"/>
        <w:pageBreakBefore w:val="0"/>
      </w:pPr>
      <w:r>
        <w:rPr>
          <w:rFonts w:ascii="Calibri" w:hAnsi="Calibri"/>
          <w:b/>
          <w:color w:val="2E74B5"/>
          <w:sz w:val="26"/>
        </w:rPr>
        <w:t>Microcopy examples</w:t>
      </w:r>
    </w:p>
    <w:p>
      <w:pPr>
        <w:spacing w:before="100" w:after="180" w:line="300" w:lineRule="auto"/>
        <w:ind w:left="202" w:right="144"/>
        <w:shd w:fill="F2F4F7"/>
        <w:pBdr>
          <w:left w:val="single" w:sz="16" w:space="8" w:color="5F6B7A"/>
        </w:pBdr>
        <w:keepLines w:val="1"/>
      </w:pPr>
      <w:r>
        <w:rPr>
          <w:rFonts w:ascii="Calibri" w:hAnsi="Calibri"/>
          <w:b/>
          <w:color w:val="5F6B7A"/>
          <w:sz w:val="18"/>
        </w:rPr>
        <w:t xml:space="preserve">DATA CHECK  </w:t>
      </w:r>
      <w:r>
        <w:rPr>
          <w:rFonts w:ascii="Calibri" w:hAnsi="Calibri"/>
          <w:b/>
          <w:color w:val="162236"/>
          <w:sz w:val="22"/>
        </w:rPr>
        <w:t>Your CBCT and scan files are being checked. If anything is missing or does not align, the case team will ask before planning begins.</w:t>
      </w:r>
    </w:p>
    <w:p>
      <w:pPr>
        <w:spacing w:before="100" w:after="180" w:line="300" w:lineRule="auto"/>
        <w:ind w:left="202" w:right="144"/>
        <w:shd w:fill="F2F4F7"/>
        <w:pBdr>
          <w:left w:val="single" w:sz="16" w:space="8" w:color="5F6B7A"/>
        </w:pBdr>
        <w:keepLines w:val="1"/>
      </w:pPr>
      <w:r>
        <w:rPr>
          <w:rFonts w:ascii="Calibri" w:hAnsi="Calibri"/>
          <w:b/>
          <w:color w:val="5F6B7A"/>
          <w:sz w:val="18"/>
        </w:rPr>
        <w:t xml:space="preserve">PLAN READY FOR REVIEW  </w:t>
      </w:r>
      <w:r>
        <w:rPr>
          <w:rFonts w:ascii="Calibri" w:hAnsi="Calibri"/>
          <w:b/>
          <w:color w:val="162236"/>
          <w:sz w:val="22"/>
        </w:rPr>
        <w:t>Review the proposed implant positions, prosthetic reference and case notes. Production does not begin until the required approval is recorded.</w:t>
      </w:r>
    </w:p>
    <w:p>
      <w:pPr>
        <w:spacing w:before="100" w:after="180" w:line="300" w:lineRule="auto"/>
        <w:ind w:left="202" w:right="144"/>
        <w:shd w:fill="F2F4F7"/>
        <w:pBdr>
          <w:left w:val="single" w:sz="16" w:space="8" w:color="A67C00"/>
        </w:pBdr>
        <w:keepLines w:val="1"/>
      </w:pPr>
      <w:r>
        <w:rPr>
          <w:rFonts w:ascii="Calibri" w:hAnsi="Calibri"/>
          <w:b/>
          <w:color w:val="A67C00"/>
          <w:sz w:val="18"/>
        </w:rPr>
        <w:t xml:space="preserve">INFORMATION NEEDED  </w:t>
      </w:r>
      <w:r>
        <w:rPr>
          <w:rFonts w:ascii="Calibri" w:hAnsi="Calibri"/>
          <w:b/>
          <w:color w:val="162236"/>
          <w:sz w:val="22"/>
        </w:rPr>
        <w:t>This case needs one more item before it can move forward. Open the request to see exactly what is missing.</w:t>
      </w:r>
    </w:p>
    <w:p>
      <w:pPr>
        <w:pStyle w:val="Heading2"/>
        <w:spacing w:before="280" w:after="140" w:line="252" w:lineRule="auto"/>
        <w:keepNext w:val="1"/>
        <w:pageBreakBefore w:val="0"/>
      </w:pPr>
      <w:r>
        <w:rPr>
          <w:rFonts w:ascii="Calibri" w:hAnsi="Calibri"/>
          <w:b/>
          <w:color w:val="2E74B5"/>
          <w:sz w:val="26"/>
        </w:rPr>
        <w:t>Portal SEO and privacy boundary</w:t>
      </w:r>
    </w:p>
    <w:p>
      <w:pPr>
        <w:pStyle w:val="ListBullet"/>
        <w:keepLines/>
        <w:spacing w:before="0" w:after="80" w:line="300" w:lineRule="auto"/>
      </w:pPr>
      <w:r>
        <w:rPr>
          <w:rFonts w:ascii="Calibri" w:hAnsi="Calibri"/>
          <w:color w:val="162236"/>
          <w:sz w:val="22"/>
        </w:rPr>
        <w:t>The public Case Portal gateway may be indexed; authenticated account, case, upload, plan, quotation, payment, file and tracking screens must be noindex.</w:t>
      </w:r>
    </w:p>
    <w:p>
      <w:pPr>
        <w:pStyle w:val="ListBullet"/>
        <w:keepLines/>
        <w:spacing w:before="0" w:after="80" w:line="300" w:lineRule="auto"/>
      </w:pPr>
      <w:r>
        <w:rPr>
          <w:rFonts w:ascii="Calibri" w:hAnsi="Calibri"/>
          <w:color w:val="162236"/>
          <w:sz w:val="22"/>
        </w:rPr>
        <w:t>Authentication and authorisation protect clinical data. A robots directive is not a security control.</w:t>
      </w:r>
    </w:p>
    <w:p>
      <w:pPr>
        <w:pStyle w:val="ListBullet"/>
        <w:keepLines/>
        <w:spacing w:before="0" w:after="80" w:line="300" w:lineRule="auto"/>
      </w:pPr>
      <w:r>
        <w:rPr>
          <w:rFonts w:ascii="Calibri" w:hAnsi="Calibri"/>
          <w:color w:val="162236"/>
          <w:sz w:val="22"/>
        </w:rPr>
        <w:t>Do not expose patient names, case identifiers, file URLs, thumbnails or document metadata in public HTML, sitemaps or analytics events.</w:t>
      </w:r>
    </w:p>
    <w:p>
      <w:pPr>
        <w:pStyle w:val="ListBullet"/>
        <w:keepLines/>
        <w:spacing w:before="0" w:after="80" w:line="300" w:lineRule="auto"/>
      </w:pPr>
      <w:r>
        <w:rPr>
          <w:rFonts w:ascii="Calibri" w:hAnsi="Calibri"/>
          <w:color w:val="162236"/>
          <w:sz w:val="22"/>
        </w:rPr>
        <w:t>Use human-readable case reference numbers in the interface while retaining secure internal identifiers in the system.</w:t>
      </w:r>
    </w:p>
    <w:p>
      <w:pPr>
        <w:pStyle w:val="Heading1"/>
        <w:spacing w:before="360" w:after="200" w:line="252" w:lineRule="auto"/>
        <w:keepNext w:val="1"/>
        <w:pageBreakBefore w:val="1"/>
      </w:pPr>
      <w:r>
        <w:rPr>
          <w:rFonts w:ascii="Calibri" w:hAnsi="Calibri"/>
          <w:b/>
          <w:color w:val="2E74B5"/>
          <w:sz w:val="32"/>
        </w:rPr>
        <w:t>9. Evidence and trust system</w:t>
      </w:r>
    </w:p>
    <w:p>
      <w:pPr>
        <w:spacing w:before="0" w:after="120" w:line="300" w:lineRule="auto"/>
        <w:jc w:val="left"/>
      </w:pPr>
      <w:r>
        <w:rPr>
          <w:rFonts w:ascii="Calibri" w:hAnsi="Calibri"/>
          <w:i w:val="0"/>
          <w:color w:val="162236"/>
          <w:sz w:val="22"/>
        </w:rPr>
        <w:t>The strongest content will come from the operation itself. A dentist should see how Image3DConversion thinks, checks, communicates and records approval.</w:t>
      </w:r>
    </w:p>
    <w:p>
      <w:pPr>
        <w:pStyle w:val="Heading2"/>
        <w:spacing w:before="280" w:after="140" w:line="252" w:lineRule="auto"/>
        <w:keepNext w:val="1"/>
        <w:pageBreakBefore w:val="0"/>
      </w:pPr>
      <w:r>
        <w:rPr>
          <w:rFonts w:ascii="Calibri" w:hAnsi="Calibri"/>
          <w:b/>
          <w:color w:val="2E74B5"/>
          <w:sz w:val="26"/>
        </w:rPr>
        <w:t>Proof hierarchy</w:t>
      </w:r>
    </w:p>
    <w:p>
      <w:pPr>
        <w:keepLines/>
        <w:spacing w:before="0" w:after="100" w:line="300" w:lineRule="auto"/>
        <w:numPr>
          <w:ilvl w:val="0"/>
          <w:numId w:val="14"/>
        </w:numPr>
      </w:pPr>
      <w:r>
        <w:rPr>
          <w:rFonts w:ascii="Calibri" w:hAnsi="Calibri"/>
          <w:b/>
          <w:color w:val="162236"/>
          <w:sz w:val="22"/>
        </w:rPr>
        <w:t xml:space="preserve">Case evidence. </w:t>
      </w:r>
      <w:r>
        <w:rPr>
          <w:rFonts w:ascii="Calibri" w:hAnsi="Calibri"/>
          <w:color w:val="162236"/>
          <w:sz w:val="22"/>
        </w:rPr>
        <w:t>Anonymised examples that show the objective, data, planning decision, approval and deliverables.</w:t>
      </w:r>
    </w:p>
    <w:p>
      <w:pPr>
        <w:keepLines/>
        <w:spacing w:before="0" w:after="100" w:line="300" w:lineRule="auto"/>
        <w:numPr>
          <w:ilvl w:val="0"/>
          <w:numId w:val="14"/>
        </w:numPr>
      </w:pPr>
      <w:r>
        <w:rPr>
          <w:rFonts w:ascii="Calibri" w:hAnsi="Calibri"/>
          <w:b/>
          <w:color w:val="162236"/>
          <w:sz w:val="22"/>
        </w:rPr>
        <w:t xml:space="preserve">Process evidence. </w:t>
      </w:r>
      <w:r>
        <w:rPr>
          <w:rFonts w:ascii="Calibri" w:hAnsi="Calibri"/>
          <w:color w:val="162236"/>
          <w:sz w:val="22"/>
        </w:rPr>
        <w:t>Screenshots or diagrams showing validation, revision control and status visibility.</w:t>
      </w:r>
    </w:p>
    <w:p>
      <w:pPr>
        <w:keepLines/>
        <w:spacing w:before="0" w:after="100" w:line="300" w:lineRule="auto"/>
        <w:numPr>
          <w:ilvl w:val="0"/>
          <w:numId w:val="14"/>
        </w:numPr>
      </w:pPr>
      <w:r>
        <w:rPr>
          <w:rFonts w:ascii="Calibri" w:hAnsi="Calibri"/>
          <w:b/>
          <w:color w:val="162236"/>
          <w:sz w:val="22"/>
        </w:rPr>
        <w:t xml:space="preserve">People evidence. </w:t>
      </w:r>
      <w:r>
        <w:rPr>
          <w:rFonts w:ascii="Calibri" w:hAnsi="Calibri"/>
          <w:color w:val="162236"/>
          <w:sz w:val="22"/>
        </w:rPr>
        <w:t>Real technical specialists, clinical reviewers and case coordinators with accurate roles.</w:t>
      </w:r>
    </w:p>
    <w:p>
      <w:pPr>
        <w:keepLines/>
        <w:spacing w:before="0" w:after="100" w:line="300" w:lineRule="auto"/>
        <w:numPr>
          <w:ilvl w:val="0"/>
          <w:numId w:val="14"/>
        </w:numPr>
      </w:pPr>
      <w:r>
        <w:rPr>
          <w:rFonts w:ascii="Calibri" w:hAnsi="Calibri"/>
          <w:b/>
          <w:color w:val="162236"/>
          <w:sz w:val="22"/>
        </w:rPr>
        <w:t xml:space="preserve">Scale evidence. </w:t>
      </w:r>
      <w:r>
        <w:rPr>
          <w:rFonts w:ascii="Calibri" w:hAnsi="Calibri"/>
          <w:color w:val="162236"/>
          <w:sz w:val="22"/>
        </w:rPr>
        <w:t>Verified counts, years, countries, active practices or cases, with a source owner and as-of date.</w:t>
      </w:r>
    </w:p>
    <w:p>
      <w:pPr>
        <w:keepLines/>
        <w:spacing w:before="0" w:after="100" w:line="300" w:lineRule="auto"/>
        <w:numPr>
          <w:ilvl w:val="0"/>
          <w:numId w:val="14"/>
        </w:numPr>
      </w:pPr>
      <w:r>
        <w:rPr>
          <w:rFonts w:ascii="Calibri" w:hAnsi="Calibri"/>
          <w:b/>
          <w:color w:val="162236"/>
          <w:sz w:val="22"/>
        </w:rPr>
        <w:t xml:space="preserve">Partner evidence. </w:t>
      </w:r>
      <w:r>
        <w:rPr>
          <w:rFonts w:ascii="Calibri" w:hAnsi="Calibri"/>
          <w:color w:val="162236"/>
          <w:sz w:val="22"/>
        </w:rPr>
        <w:t>Logo or relationship statements used only with current permission.</w:t>
      </w:r>
    </w:p>
    <w:p>
      <w:pPr>
        <w:keepLines/>
        <w:spacing w:before="0" w:after="100" w:line="300" w:lineRule="auto"/>
        <w:numPr>
          <w:ilvl w:val="0"/>
          <w:numId w:val="14"/>
        </w:numPr>
      </w:pPr>
      <w:r>
        <w:rPr>
          <w:rFonts w:ascii="Calibri" w:hAnsi="Calibri"/>
          <w:b/>
          <w:color w:val="162236"/>
          <w:sz w:val="22"/>
        </w:rPr>
        <w:t xml:space="preserve">Quality evidence. </w:t>
      </w:r>
      <w:r>
        <w:rPr>
          <w:rFonts w:ascii="Calibri" w:hAnsi="Calibri"/>
          <w:color w:val="162236"/>
          <w:sz w:val="22"/>
        </w:rPr>
        <w:t>Documented materials, devices, calibration, production checks and release responsibilities.</w:t>
      </w:r>
    </w:p>
    <w:p>
      <w:pPr>
        <w:pStyle w:val="Heading2"/>
        <w:spacing w:before="280" w:after="140" w:line="252" w:lineRule="auto"/>
        <w:keepNext w:val="1"/>
        <w:pageBreakBefore w:val="0"/>
      </w:pPr>
      <w:r>
        <w:rPr>
          <w:rFonts w:ascii="Calibri" w:hAnsi="Calibri"/>
          <w:b/>
          <w:color w:val="2E74B5"/>
          <w:sz w:val="26"/>
        </w:rPr>
        <w:t>Candidate proof points requiring verification</w:t>
      </w:r>
    </w:p>
    <w:tbl>
      <w:tblPr>
        <w:tblStyle w:val="TableGrid"/>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3000"/>
        <w:gridCol w:w="6360"/>
      </w:tblGrid>
      <w:tr>
        <w:trPr>
          <w:tblHeader w:val="true"/>
          <w:cantSplit/>
        </w:trPr>
        <w:tc>
          <w:tcPr>
            <w:tcW w:type="dxa" w:w="3000"/>
            <w:tcMar>
              <w:top w:w="80" w:type="dxa"/>
              <w:start w:w="120" w:type="dxa"/>
              <w:bottom w:w="80" w:type="dxa"/>
              <w:end w:w="120" w:type="dxa"/>
            </w:tcMar>
            <w:vAlign w:val="center"/>
            <w:shd w:fill="E8EEF5"/>
          </w:tcPr>
          <w:p>
            <w:pPr>
              <w:spacing w:before="0" w:after="0" w:line="264" w:lineRule="auto"/>
            </w:pPr>
            <w:r>
              <w:rPr>
                <w:rFonts w:ascii="Calibri" w:hAnsi="Calibri"/>
                <w:b/>
                <w:color w:val="162236"/>
                <w:sz w:val="18"/>
              </w:rPr>
              <w:t>Candidate claim</w:t>
            </w:r>
          </w:p>
        </w:tc>
        <w:tc>
          <w:tcPr>
            <w:tcW w:type="dxa" w:w="6360"/>
            <w:tcMar>
              <w:top w:w="80" w:type="dxa"/>
              <w:start w:w="120" w:type="dxa"/>
              <w:bottom w:w="80" w:type="dxa"/>
              <w:end w:w="120" w:type="dxa"/>
            </w:tcMar>
            <w:vAlign w:val="center"/>
            <w:shd w:fill="E8EEF5"/>
          </w:tcPr>
          <w:p>
            <w:pPr>
              <w:spacing w:before="0" w:after="0" w:line="264" w:lineRule="auto"/>
            </w:pPr>
            <w:r>
              <w:rPr>
                <w:rFonts w:ascii="Calibri" w:hAnsi="Calibri"/>
                <w:b/>
                <w:color w:val="162236"/>
                <w:sz w:val="18"/>
              </w:rPr>
              <w:t>Publication requirement</w:t>
            </w:r>
          </w:p>
        </w:tc>
      </w:tr>
      <w:tr>
        <w:trPr>
          <w:cantSplit/>
        </w:trPr>
        <w:tc>
          <w:tcPr>
            <w:tcW w:type="dxa" w:w="3000"/>
            <w:vAlign w:val="center"/>
            <w:tcMar>
              <w:top w:w="80" w:type="dxa"/>
              <w:start w:w="120" w:type="dxa"/>
              <w:bottom w:w="80" w:type="dxa"/>
              <w:end w:w="120" w:type="dxa"/>
            </w:tcMar>
          </w:tcPr>
          <w:p>
            <w:pPr>
              <w:spacing w:before="0" w:after="0" w:line="271" w:lineRule="auto"/>
            </w:pPr>
            <w:r>
              <w:rPr>
                <w:rFonts w:ascii="Calibri" w:hAnsi="Calibri"/>
                <w:color w:val="162236"/>
                <w:sz w:val="18"/>
              </w:rPr>
              <w:t>50,000+ cases delivered</w:t>
            </w:r>
          </w:p>
        </w:tc>
        <w:tc>
          <w:tcPr>
            <w:tcW w:type="dxa" w:w="6360"/>
            <w:vAlign w:val="center"/>
            <w:tcMar>
              <w:top w:w="80" w:type="dxa"/>
              <w:start w:w="120" w:type="dxa"/>
              <w:bottom w:w="80" w:type="dxa"/>
              <w:end w:w="120" w:type="dxa"/>
            </w:tcMar>
          </w:tcPr>
          <w:p>
            <w:pPr>
              <w:spacing w:before="0" w:after="0" w:line="271" w:lineRule="auto"/>
            </w:pPr>
            <w:r>
              <w:rPr>
                <w:rFonts w:ascii="Calibri" w:hAnsi="Calibri"/>
                <w:color w:val="162236"/>
                <w:sz w:val="18"/>
              </w:rPr>
              <w:t>Define case, source the count and add an as-of date.</w:t>
            </w:r>
          </w:p>
        </w:tc>
      </w:tr>
      <w:tr>
        <w:trPr>
          <w:cantSplit/>
        </w:trPr>
        <w:tc>
          <w:tcPr>
            <w:tcW w:type="dxa" w:w="3000"/>
            <w:vAlign w:val="center"/>
            <w:tcMar>
              <w:top w:w="80" w:type="dxa"/>
              <w:start w:w="120" w:type="dxa"/>
              <w:bottom w:w="80" w:type="dxa"/>
              <w:end w:w="120" w:type="dxa"/>
            </w:tcMar>
          </w:tcPr>
          <w:p>
            <w:pPr>
              <w:spacing w:before="0" w:after="0" w:line="271" w:lineRule="auto"/>
            </w:pPr>
            <w:r>
              <w:rPr>
                <w:rFonts w:ascii="Calibri" w:hAnsi="Calibri"/>
                <w:color w:val="162236"/>
                <w:sz w:val="18"/>
              </w:rPr>
              <w:t>5,000+ dentists trained</w:t>
            </w:r>
          </w:p>
        </w:tc>
        <w:tc>
          <w:tcPr>
            <w:tcW w:type="dxa" w:w="6360"/>
            <w:vAlign w:val="center"/>
            <w:tcMar>
              <w:top w:w="80" w:type="dxa"/>
              <w:start w:w="120" w:type="dxa"/>
              <w:bottom w:w="80" w:type="dxa"/>
              <w:end w:w="120" w:type="dxa"/>
            </w:tcMar>
          </w:tcPr>
          <w:p>
            <w:pPr>
              <w:spacing w:before="0" w:after="0" w:line="271" w:lineRule="auto"/>
            </w:pPr>
            <w:r>
              <w:rPr>
                <w:rFonts w:ascii="Calibri" w:hAnsi="Calibri"/>
                <w:color w:val="162236"/>
                <w:sz w:val="18"/>
              </w:rPr>
              <w:t>Keep primarily on PaulSudeep.com; publish on I3DC only if relevant and sourced.</w:t>
            </w:r>
          </w:p>
        </w:tc>
      </w:tr>
      <w:tr>
        <w:trPr>
          <w:cantSplit/>
        </w:trPr>
        <w:tc>
          <w:tcPr>
            <w:tcW w:type="dxa" w:w="3000"/>
            <w:vAlign w:val="center"/>
            <w:tcMar>
              <w:top w:w="80" w:type="dxa"/>
              <w:start w:w="120" w:type="dxa"/>
              <w:bottom w:w="80" w:type="dxa"/>
              <w:end w:w="120" w:type="dxa"/>
            </w:tcMar>
          </w:tcPr>
          <w:p>
            <w:pPr>
              <w:spacing w:before="0" w:after="0" w:line="271" w:lineRule="auto"/>
            </w:pPr>
            <w:r>
              <w:rPr>
                <w:rFonts w:ascii="Calibri" w:hAnsi="Calibri"/>
                <w:color w:val="162236"/>
                <w:sz w:val="18"/>
              </w:rPr>
              <w:t>300+ active users</w:t>
            </w:r>
          </w:p>
        </w:tc>
        <w:tc>
          <w:tcPr>
            <w:tcW w:type="dxa" w:w="6360"/>
            <w:vAlign w:val="center"/>
            <w:tcMar>
              <w:top w:w="80" w:type="dxa"/>
              <w:start w:w="120" w:type="dxa"/>
              <w:bottom w:w="80" w:type="dxa"/>
              <w:end w:w="120" w:type="dxa"/>
            </w:tcMar>
          </w:tcPr>
          <w:p>
            <w:pPr>
              <w:spacing w:before="0" w:after="0" w:line="271" w:lineRule="auto"/>
            </w:pPr>
            <w:r>
              <w:rPr>
                <w:rFonts w:ascii="Calibri" w:hAnsi="Calibri"/>
                <w:color w:val="162236"/>
                <w:sz w:val="18"/>
              </w:rPr>
              <w:t>Define active period and system of record.</w:t>
            </w:r>
          </w:p>
        </w:tc>
      </w:tr>
      <w:tr>
        <w:trPr>
          <w:cantSplit/>
        </w:trPr>
        <w:tc>
          <w:tcPr>
            <w:tcW w:type="dxa" w:w="3000"/>
            <w:vAlign w:val="center"/>
            <w:tcMar>
              <w:top w:w="80" w:type="dxa"/>
              <w:start w:w="120" w:type="dxa"/>
              <w:bottom w:w="80" w:type="dxa"/>
              <w:end w:w="120" w:type="dxa"/>
            </w:tcMar>
          </w:tcPr>
          <w:p>
            <w:pPr>
              <w:spacing w:before="0" w:after="0" w:line="271" w:lineRule="auto"/>
            </w:pPr>
            <w:r>
              <w:rPr>
                <w:rFonts w:ascii="Calibri" w:hAnsi="Calibri"/>
                <w:color w:val="162236"/>
                <w:sz w:val="18"/>
              </w:rPr>
              <w:t>17–18+ years of experience</w:t>
            </w:r>
          </w:p>
        </w:tc>
        <w:tc>
          <w:tcPr>
            <w:tcW w:type="dxa" w:w="6360"/>
            <w:vAlign w:val="center"/>
            <w:tcMar>
              <w:top w:w="80" w:type="dxa"/>
              <w:start w:w="120" w:type="dxa"/>
              <w:bottom w:w="80" w:type="dxa"/>
              <w:end w:w="120" w:type="dxa"/>
            </w:tcMar>
          </w:tcPr>
          <w:p>
            <w:pPr>
              <w:spacing w:before="0" w:after="0" w:line="271" w:lineRule="auto"/>
            </w:pPr>
            <w:r>
              <w:rPr>
                <w:rFonts w:ascii="Calibri" w:hAnsi="Calibri"/>
                <w:color w:val="162236"/>
                <w:sz w:val="18"/>
              </w:rPr>
              <w:t>Clarify whether this refers to Sudeep Paul, the team or the company.</w:t>
            </w:r>
          </w:p>
        </w:tc>
      </w:tr>
      <w:tr>
        <w:trPr>
          <w:cantSplit/>
        </w:trPr>
        <w:tc>
          <w:tcPr>
            <w:tcW w:type="dxa" w:w="3000"/>
            <w:vAlign w:val="center"/>
            <w:tcMar>
              <w:top w:w="80" w:type="dxa"/>
              <w:start w:w="120" w:type="dxa"/>
              <w:bottom w:w="80" w:type="dxa"/>
              <w:end w:w="120" w:type="dxa"/>
            </w:tcMar>
          </w:tcPr>
          <w:p>
            <w:pPr>
              <w:spacing w:before="0" w:after="0" w:line="271" w:lineRule="auto"/>
            </w:pPr>
            <w:r>
              <w:rPr>
                <w:rFonts w:ascii="Calibri" w:hAnsi="Calibri"/>
                <w:color w:val="162236"/>
                <w:sz w:val="18"/>
              </w:rPr>
              <w:t>Global service reach</w:t>
            </w:r>
          </w:p>
        </w:tc>
        <w:tc>
          <w:tcPr>
            <w:tcW w:type="dxa" w:w="6360"/>
            <w:vAlign w:val="center"/>
            <w:tcMar>
              <w:top w:w="80" w:type="dxa"/>
              <w:start w:w="120" w:type="dxa"/>
              <w:bottom w:w="80" w:type="dxa"/>
              <w:end w:w="120" w:type="dxa"/>
            </w:tcMar>
          </w:tcPr>
          <w:p>
            <w:pPr>
              <w:spacing w:before="0" w:after="0" w:line="271" w:lineRule="auto"/>
            </w:pPr>
            <w:r>
              <w:rPr>
                <w:rFonts w:ascii="Calibri" w:hAnsi="Calibri"/>
                <w:color w:val="162236"/>
                <w:sz w:val="18"/>
              </w:rPr>
              <w:t>Name served regions only where fulfilment and regulatory handling are current.</w:t>
            </w:r>
          </w:p>
        </w:tc>
      </w:tr>
      <w:tr>
        <w:trPr>
          <w:cantSplit/>
        </w:trPr>
        <w:tc>
          <w:tcPr>
            <w:tcW w:type="dxa" w:w="3000"/>
            <w:vAlign w:val="center"/>
            <w:tcMar>
              <w:top w:w="80" w:type="dxa"/>
              <w:start w:w="120" w:type="dxa"/>
              <w:bottom w:w="80" w:type="dxa"/>
              <w:end w:w="120" w:type="dxa"/>
            </w:tcMar>
          </w:tcPr>
          <w:p>
            <w:pPr>
              <w:spacing w:before="0" w:after="0" w:line="271" w:lineRule="auto"/>
            </w:pPr>
            <w:r>
              <w:rPr>
                <w:rFonts w:ascii="Calibri" w:hAnsi="Calibri"/>
                <w:color w:val="162236"/>
                <w:sz w:val="18"/>
              </w:rPr>
              <w:t>24–72 hour delivery</w:t>
            </w:r>
          </w:p>
        </w:tc>
        <w:tc>
          <w:tcPr>
            <w:tcW w:type="dxa" w:w="6360"/>
            <w:vAlign w:val="center"/>
            <w:tcMar>
              <w:top w:w="80" w:type="dxa"/>
              <w:start w:w="120" w:type="dxa"/>
              <w:bottom w:w="80" w:type="dxa"/>
              <w:end w:w="120" w:type="dxa"/>
            </w:tcMar>
          </w:tcPr>
          <w:p>
            <w:pPr>
              <w:spacing w:before="0" w:after="0" w:line="271" w:lineRule="auto"/>
            </w:pPr>
            <w:r>
              <w:rPr>
                <w:rFonts w:ascii="Calibri" w:hAnsi="Calibri"/>
                <w:color w:val="162236"/>
                <w:sz w:val="18"/>
              </w:rPr>
              <w:t>Specify eligible design scope, start point, data-completeness condition and exclusions.</w:t>
            </w:r>
          </w:p>
        </w:tc>
      </w:tr>
      <w:tr>
        <w:trPr>
          <w:cantSplit/>
        </w:trPr>
        <w:tc>
          <w:tcPr>
            <w:tcW w:type="dxa" w:w="3000"/>
            <w:vAlign w:val="center"/>
            <w:tcMar>
              <w:top w:w="80" w:type="dxa"/>
              <w:start w:w="120" w:type="dxa"/>
              <w:bottom w:w="80" w:type="dxa"/>
              <w:end w:w="120" w:type="dxa"/>
            </w:tcMar>
          </w:tcPr>
          <w:p>
            <w:pPr>
              <w:spacing w:before="0" w:after="0" w:line="271" w:lineRule="auto"/>
            </w:pPr>
            <w:r>
              <w:rPr>
                <w:rFonts w:ascii="Calibri" w:hAnsi="Calibri"/>
                <w:color w:val="162236"/>
                <w:sz w:val="18"/>
              </w:rPr>
              <w:t>Implant-system compatibility</w:t>
            </w:r>
          </w:p>
        </w:tc>
        <w:tc>
          <w:tcPr>
            <w:tcW w:type="dxa" w:w="6360"/>
            <w:vAlign w:val="center"/>
            <w:tcMar>
              <w:top w:w="80" w:type="dxa"/>
              <w:start w:w="120" w:type="dxa"/>
              <w:bottom w:w="80" w:type="dxa"/>
              <w:end w:w="120" w:type="dxa"/>
            </w:tcMar>
          </w:tcPr>
          <w:p>
            <w:pPr>
              <w:spacing w:before="0" w:after="0" w:line="271" w:lineRule="auto"/>
            </w:pPr>
            <w:r>
              <w:rPr>
                <w:rFonts w:ascii="Calibri" w:hAnsi="Calibri"/>
                <w:color w:val="162236"/>
                <w:sz w:val="18"/>
              </w:rPr>
              <w:t>Maintain a reviewed compatibility matrix by library, kit and workflow.</w:t>
            </w:r>
          </w:p>
        </w:tc>
      </w:tr>
    </w:tbl>
    <w:p>
      <w:pPr>
        <w:spacing w:after="60"/>
      </w:pPr>
    </w:p>
    <w:p>
      <w:pPr>
        <w:spacing w:before="100" w:after="180" w:line="300" w:lineRule="auto"/>
        <w:ind w:left="202" w:right="144"/>
        <w:shd w:fill="FFF8E8"/>
        <w:pBdr>
          <w:left w:val="single" w:sz="16" w:space="8" w:color="A67C00"/>
        </w:pBdr>
        <w:keepLines w:val="1"/>
      </w:pPr>
      <w:r>
        <w:rPr>
          <w:rFonts w:ascii="Calibri" w:hAnsi="Calibri"/>
          <w:b/>
          <w:color w:val="A67C00"/>
          <w:sz w:val="18"/>
        </w:rPr>
        <w:t xml:space="preserve">PUBLISHING GATE  </w:t>
      </w:r>
      <w:r>
        <w:rPr>
          <w:rFonts w:ascii="Calibri" w:hAnsi="Calibri"/>
          <w:b/>
          <w:color w:val="162236"/>
          <w:sz w:val="22"/>
        </w:rPr>
        <w:t>No number enters homepage copy until its definition, evidence source, owner and review date are recorded.</w:t>
      </w:r>
    </w:p>
    <w:p>
      <w:pPr>
        <w:pStyle w:val="Heading1"/>
        <w:spacing w:before="360" w:after="200" w:line="252" w:lineRule="auto"/>
        <w:keepNext w:val="1"/>
        <w:pageBreakBefore w:val="1"/>
      </w:pPr>
      <w:r>
        <w:rPr>
          <w:rFonts w:ascii="Calibri" w:hAnsi="Calibri"/>
          <w:b/>
          <w:color w:val="2E74B5"/>
          <w:sz w:val="32"/>
        </w:rPr>
        <w:t>10. Technical SEO and search governance</w:t>
      </w:r>
    </w:p>
    <w:p>
      <w:pPr>
        <w:pStyle w:val="Heading2"/>
        <w:spacing w:before="280" w:after="140" w:line="252" w:lineRule="auto"/>
        <w:keepNext w:val="1"/>
        <w:pageBreakBefore w:val="0"/>
      </w:pPr>
      <w:r>
        <w:rPr>
          <w:rFonts w:ascii="Calibri" w:hAnsi="Calibri"/>
          <w:b/>
          <w:color w:val="2E74B5"/>
          <w:sz w:val="26"/>
        </w:rPr>
        <w:t>Indexing architecture</w:t>
      </w:r>
    </w:p>
    <w:p>
      <w:pPr>
        <w:pStyle w:val="ListBullet"/>
        <w:keepLines/>
        <w:spacing w:before="0" w:after="80" w:line="300" w:lineRule="auto"/>
      </w:pPr>
      <w:r>
        <w:rPr>
          <w:rFonts w:ascii="Calibri" w:hAnsi="Calibri"/>
          <w:color w:val="162236"/>
          <w:sz w:val="22"/>
        </w:rPr>
        <w:t>Server-render or pre-render all public marketing content so titles, headings, links and core text are present in crawlable HTML.</w:t>
      </w:r>
    </w:p>
    <w:p>
      <w:pPr>
        <w:pStyle w:val="ListBullet"/>
        <w:keepLines/>
        <w:spacing w:before="0" w:after="80" w:line="300" w:lineRule="auto"/>
      </w:pPr>
      <w:r>
        <w:rPr>
          <w:rFonts w:ascii="Calibri" w:hAnsi="Calibri"/>
          <w:color w:val="162236"/>
          <w:sz w:val="22"/>
        </w:rPr>
        <w:t>Use one canonical URL per page, lower-case hyphenated slugs and one consistent trailing-slash policy.</w:t>
      </w:r>
    </w:p>
    <w:p>
      <w:pPr>
        <w:pStyle w:val="ListBullet"/>
        <w:keepLines/>
        <w:spacing w:before="0" w:after="80" w:line="300" w:lineRule="auto"/>
      </w:pPr>
      <w:r>
        <w:rPr>
          <w:rFonts w:ascii="Calibri" w:hAnsi="Calibri"/>
          <w:color w:val="162236"/>
          <w:sz w:val="22"/>
        </w:rPr>
        <w:t>Submit only indexable public pages in the XML sitemap.</w:t>
      </w:r>
    </w:p>
    <w:p>
      <w:pPr>
        <w:pStyle w:val="ListBullet"/>
        <w:keepLines/>
        <w:spacing w:before="0" w:after="80" w:line="300" w:lineRule="auto"/>
      </w:pPr>
      <w:r>
        <w:rPr>
          <w:rFonts w:ascii="Calibri" w:hAnsi="Calibri"/>
          <w:color w:val="162236"/>
          <w:sz w:val="22"/>
        </w:rPr>
        <w:t>Noindex portal application screens, internal search, test environments, duplicate filters and temporary campaign variants.</w:t>
      </w:r>
    </w:p>
    <w:p>
      <w:pPr>
        <w:pStyle w:val="ListBullet"/>
        <w:keepLines/>
        <w:spacing w:before="0" w:after="80" w:line="300" w:lineRule="auto"/>
      </w:pPr>
      <w:r>
        <w:rPr>
          <w:rFonts w:ascii="Calibri" w:hAnsi="Calibri"/>
          <w:color w:val="162236"/>
          <w:sz w:val="22"/>
        </w:rPr>
        <w:t>Use 301 redirects for retired URLs; never delete a ranking page without a mapped destination.</w:t>
      </w:r>
    </w:p>
    <w:p>
      <w:pPr>
        <w:pStyle w:val="ListBullet"/>
        <w:keepLines/>
        <w:spacing w:before="0" w:after="80" w:line="300" w:lineRule="auto"/>
      </w:pPr>
      <w:r>
        <w:rPr>
          <w:rFonts w:ascii="Calibri" w:hAnsi="Calibri"/>
          <w:color w:val="162236"/>
          <w:sz w:val="22"/>
        </w:rPr>
        <w:t>Keep the legal company name, brand spelling, address and contact details consistent. Use “Image3DConversion” as the public brand form.</w:t>
      </w:r>
    </w:p>
    <w:p>
      <w:pPr>
        <w:pStyle w:val="Heading2"/>
        <w:spacing w:before="280" w:after="140" w:line="252" w:lineRule="auto"/>
        <w:keepNext w:val="1"/>
        <w:pageBreakBefore w:val="0"/>
      </w:pPr>
      <w:r>
        <w:rPr>
          <w:rFonts w:ascii="Calibri" w:hAnsi="Calibri"/>
          <w:b/>
          <w:color w:val="2E74B5"/>
          <w:sz w:val="26"/>
        </w:rPr>
        <w:t>On-page structure</w:t>
      </w:r>
    </w:p>
    <w:p>
      <w:pPr>
        <w:pStyle w:val="ListBullet"/>
        <w:keepLines/>
        <w:spacing w:before="0" w:after="80" w:line="300" w:lineRule="auto"/>
      </w:pPr>
      <w:r>
        <w:rPr>
          <w:rFonts w:ascii="Calibri" w:hAnsi="Calibri"/>
          <w:color w:val="162236"/>
          <w:sz w:val="22"/>
        </w:rPr>
        <w:t>One descriptive SEO title, one H1 and a short opening that confirms the page subject.</w:t>
      </w:r>
    </w:p>
    <w:p>
      <w:pPr>
        <w:pStyle w:val="ListBullet"/>
        <w:keepLines/>
        <w:spacing w:before="0" w:after="80" w:line="300" w:lineRule="auto"/>
      </w:pPr>
      <w:r>
        <w:rPr>
          <w:rFonts w:ascii="Calibri" w:hAnsi="Calibri"/>
          <w:color w:val="162236"/>
          <w:sz w:val="22"/>
        </w:rPr>
        <w:t>H2s should follow the dentist’s questions: fit, inputs, checks, review, deliverables and next action.</w:t>
      </w:r>
    </w:p>
    <w:p>
      <w:pPr>
        <w:pStyle w:val="ListBullet"/>
        <w:keepLines/>
        <w:spacing w:before="0" w:after="80" w:line="300" w:lineRule="auto"/>
      </w:pPr>
      <w:r>
        <w:rPr>
          <w:rFonts w:ascii="Calibri" w:hAnsi="Calibri"/>
          <w:color w:val="162236"/>
          <w:sz w:val="22"/>
        </w:rPr>
        <w:t>Place relevant FAQs on the solution page where the question occurs; do not create dozens of thin FAQ URLs.</w:t>
      </w:r>
    </w:p>
    <w:p>
      <w:pPr>
        <w:pStyle w:val="ListBullet"/>
        <w:keepLines/>
        <w:spacing w:before="0" w:after="80" w:line="300" w:lineRule="auto"/>
      </w:pPr>
      <w:r>
        <w:rPr>
          <w:rFonts w:ascii="Calibri" w:hAnsi="Calibri"/>
          <w:color w:val="162236"/>
          <w:sz w:val="22"/>
        </w:rPr>
        <w:t>Link each solution to its requirements, relevant evidence, how-it-works page and secure case action.</w:t>
      </w:r>
    </w:p>
    <w:p>
      <w:pPr>
        <w:pStyle w:val="ListBullet"/>
        <w:keepLines/>
        <w:spacing w:before="0" w:after="80" w:line="300" w:lineRule="auto"/>
      </w:pPr>
      <w:r>
        <w:rPr>
          <w:rFonts w:ascii="Calibri" w:hAnsi="Calibri"/>
          <w:color w:val="162236"/>
          <w:sz w:val="22"/>
        </w:rPr>
        <w:t>Use descriptive image filenames, factual alt text and captions that explain the workflow shown.</w:t>
      </w:r>
    </w:p>
    <w:p>
      <w:pPr>
        <w:pStyle w:val="Heading2"/>
        <w:spacing w:before="280" w:after="140" w:line="252" w:lineRule="auto"/>
        <w:keepNext w:val="1"/>
        <w:pageBreakBefore w:val="0"/>
      </w:pPr>
      <w:r>
        <w:rPr>
          <w:rFonts w:ascii="Calibri" w:hAnsi="Calibri"/>
          <w:b/>
          <w:color w:val="2E74B5"/>
          <w:sz w:val="26"/>
        </w:rPr>
        <w:t>Structured data</w:t>
      </w:r>
    </w:p>
    <w:p>
      <w:pPr>
        <w:pStyle w:val="ListBullet"/>
        <w:keepLines/>
        <w:spacing w:before="0" w:after="80" w:line="300" w:lineRule="auto"/>
      </w:pPr>
      <w:r>
        <w:rPr>
          <w:rFonts w:ascii="Calibri" w:hAnsi="Calibri"/>
          <w:color w:val="162236"/>
          <w:sz w:val="22"/>
        </w:rPr>
        <w:t>Organisation and WebSite markup on the site identity layer.</w:t>
      </w:r>
    </w:p>
    <w:p>
      <w:pPr>
        <w:pStyle w:val="ListBullet"/>
        <w:keepLines/>
        <w:spacing w:before="0" w:after="80" w:line="300" w:lineRule="auto"/>
      </w:pPr>
      <w:r>
        <w:rPr>
          <w:rFonts w:ascii="Calibri" w:hAnsi="Calibri"/>
          <w:color w:val="162236"/>
          <w:sz w:val="22"/>
        </w:rPr>
        <w:t>BreadcrumbList on internal public pages.</w:t>
      </w:r>
    </w:p>
    <w:p>
      <w:pPr>
        <w:pStyle w:val="ListBullet"/>
        <w:keepLines/>
        <w:spacing w:before="0" w:after="80" w:line="300" w:lineRule="auto"/>
      </w:pPr>
      <w:r>
        <w:rPr>
          <w:rFonts w:ascii="Calibri" w:hAnsi="Calibri"/>
          <w:color w:val="162236"/>
          <w:sz w:val="22"/>
        </w:rPr>
        <w:t>Service markup only where the visible page accurately describes the service.</w:t>
      </w:r>
    </w:p>
    <w:p>
      <w:pPr>
        <w:pStyle w:val="ListBullet"/>
        <w:keepLines/>
        <w:spacing w:before="0" w:after="80" w:line="300" w:lineRule="auto"/>
      </w:pPr>
      <w:r>
        <w:rPr>
          <w:rFonts w:ascii="Calibri" w:hAnsi="Calibri"/>
          <w:color w:val="162236"/>
          <w:sz w:val="22"/>
        </w:rPr>
        <w:t>FAQPage markup only for visible, genuine FAQs and only where current search guidelines allow it.</w:t>
      </w:r>
    </w:p>
    <w:p>
      <w:pPr>
        <w:pStyle w:val="ListBullet"/>
        <w:keepLines/>
        <w:spacing w:before="0" w:after="80" w:line="300" w:lineRule="auto"/>
      </w:pPr>
      <w:r>
        <w:rPr>
          <w:rFonts w:ascii="Calibri" w:hAnsi="Calibri"/>
          <w:color w:val="162236"/>
          <w:sz w:val="22"/>
        </w:rPr>
        <w:t>Do not mark Image3DConversion as a dental clinic if it does not treat patients.</w:t>
      </w:r>
    </w:p>
    <w:p>
      <w:pPr>
        <w:pStyle w:val="Heading2"/>
        <w:spacing w:before="280" w:after="140" w:line="252" w:lineRule="auto"/>
        <w:keepNext w:val="1"/>
        <w:pageBreakBefore w:val="0"/>
      </w:pPr>
      <w:r>
        <w:rPr>
          <w:rFonts w:ascii="Calibri" w:hAnsi="Calibri"/>
          <w:b/>
          <w:color w:val="2E74B5"/>
          <w:sz w:val="26"/>
        </w:rPr>
        <w:t>Performance and mobile</w:t>
      </w:r>
    </w:p>
    <w:p>
      <w:pPr>
        <w:pStyle w:val="ListBullet"/>
        <w:keepLines/>
        <w:spacing w:before="0" w:after="80" w:line="300" w:lineRule="auto"/>
      </w:pPr>
      <w:r>
        <w:rPr>
          <w:rFonts w:ascii="Calibri" w:hAnsi="Calibri"/>
          <w:color w:val="162236"/>
          <w:sz w:val="22"/>
        </w:rPr>
        <w:t>Design mobile-first; the full decision path and all important text must be present on mobile.</w:t>
      </w:r>
    </w:p>
    <w:p>
      <w:pPr>
        <w:pStyle w:val="ListBullet"/>
        <w:keepLines/>
        <w:spacing w:before="0" w:after="80" w:line="300" w:lineRule="auto"/>
      </w:pPr>
      <w:r>
        <w:rPr>
          <w:rFonts w:ascii="Calibri" w:hAnsi="Calibri"/>
          <w:color w:val="162236"/>
          <w:sz w:val="22"/>
        </w:rPr>
        <w:t>Use responsive WebP or AVIF images, explicit width and height, lazy loading below the fold and restrained video embeds.</w:t>
      </w:r>
    </w:p>
    <w:p>
      <w:pPr>
        <w:pStyle w:val="ListBullet"/>
        <w:keepLines/>
        <w:spacing w:before="0" w:after="80" w:line="300" w:lineRule="auto"/>
      </w:pPr>
      <w:r>
        <w:rPr>
          <w:rFonts w:ascii="Calibri" w:hAnsi="Calibri"/>
          <w:color w:val="162236"/>
          <w:sz w:val="22"/>
        </w:rPr>
        <w:t>Protect Core Web Vitals by limiting animation, third-party scripts and heavy hero media.</w:t>
      </w:r>
    </w:p>
    <w:p>
      <w:pPr>
        <w:pStyle w:val="ListBullet"/>
        <w:keepLines/>
        <w:spacing w:before="0" w:after="80" w:line="300" w:lineRule="auto"/>
      </w:pPr>
      <w:r>
        <w:rPr>
          <w:rFonts w:ascii="Calibri" w:hAnsi="Calibri"/>
          <w:color w:val="162236"/>
          <w:sz w:val="22"/>
        </w:rPr>
        <w:t>Keep the secure portal visually related to the website but operationally optimised for clarity and speed.</w:t>
      </w:r>
    </w:p>
    <w:p>
      <w:pPr>
        <w:pStyle w:val="Heading2"/>
        <w:spacing w:before="280" w:after="140" w:line="252" w:lineRule="auto"/>
        <w:keepNext w:val="1"/>
        <w:pageBreakBefore w:val="0"/>
      </w:pPr>
      <w:r>
        <w:rPr>
          <w:rFonts w:ascii="Calibri" w:hAnsi="Calibri"/>
          <w:b/>
          <w:color w:val="2E74B5"/>
          <w:sz w:val="26"/>
        </w:rPr>
        <w:t>International search</w:t>
      </w:r>
    </w:p>
    <w:p>
      <w:pPr>
        <w:pStyle w:val="ListBullet"/>
        <w:keepLines/>
        <w:spacing w:before="0" w:after="80" w:line="300" w:lineRule="auto"/>
      </w:pPr>
      <w:r>
        <w:rPr>
          <w:rFonts w:ascii="Calibri" w:hAnsi="Calibri"/>
          <w:color w:val="162236"/>
          <w:sz w:val="22"/>
        </w:rPr>
        <w:t>Do not create duplicate country pages that repeat the same English copy.</w:t>
      </w:r>
    </w:p>
    <w:p>
      <w:pPr>
        <w:pStyle w:val="ListBullet"/>
        <w:keepLines/>
        <w:spacing w:before="0" w:after="80" w:line="300" w:lineRule="auto"/>
      </w:pPr>
      <w:r>
        <w:rPr>
          <w:rFonts w:ascii="Calibri" w:hAnsi="Calibri"/>
          <w:color w:val="162236"/>
          <w:sz w:val="22"/>
        </w:rPr>
        <w:t>Create a regional page only when prices, shipping, compliance, contact routes or workflow genuinely differ.</w:t>
      </w:r>
    </w:p>
    <w:p>
      <w:pPr>
        <w:pStyle w:val="ListBullet"/>
        <w:keepLines/>
        <w:spacing w:before="0" w:after="80" w:line="300" w:lineRule="auto"/>
      </w:pPr>
      <w:r>
        <w:rPr>
          <w:rFonts w:ascii="Calibri" w:hAnsi="Calibri"/>
          <w:color w:val="162236"/>
          <w:sz w:val="22"/>
        </w:rPr>
        <w:t>Use hreflang only when distinct regional or language versions exist and can be maintained.</w:t>
      </w:r>
    </w:p>
    <w:p>
      <w:pPr>
        <w:pStyle w:val="ListBullet"/>
        <w:keepLines/>
        <w:spacing w:before="0" w:after="80" w:line="300" w:lineRule="auto"/>
      </w:pPr>
      <w:r>
        <w:rPr>
          <w:rFonts w:ascii="Calibri" w:hAnsi="Calibri"/>
          <w:color w:val="162236"/>
          <w:sz w:val="22"/>
        </w:rPr>
        <w:t>Allow users to choose India or Global workflow terms without hiding core content through automatic geolocation.</w:t>
      </w:r>
    </w:p>
    <w:p>
      <w:pPr>
        <w:pStyle w:val="Heading1"/>
        <w:spacing w:before="360" w:after="200" w:line="252" w:lineRule="auto"/>
        <w:keepNext w:val="1"/>
        <w:pageBreakBefore w:val="0"/>
      </w:pPr>
      <w:r>
        <w:rPr>
          <w:rFonts w:ascii="Calibri" w:hAnsi="Calibri"/>
          <w:b/>
          <w:color w:val="2E74B5"/>
          <w:sz w:val="32"/>
        </w:rPr>
        <w:t>11. A small, credible content programme</w:t>
      </w:r>
    </w:p>
    <w:p>
      <w:pPr>
        <w:spacing w:before="0" w:after="120" w:line="300" w:lineRule="auto"/>
        <w:jc w:val="left"/>
      </w:pPr>
      <w:r>
        <w:rPr>
          <w:rFonts w:ascii="Calibri" w:hAnsi="Calibri"/>
          <w:i w:val="0"/>
          <w:color w:val="162236"/>
          <w:sz w:val="22"/>
        </w:rPr>
        <w:t>The site does not need a content factory. It needs a small set of practical pages that answer questions the case team already receives.</w:t>
      </w:r>
    </w:p>
    <w:p>
      <w:pPr>
        <w:pStyle w:val="Heading2"/>
        <w:spacing w:before="280" w:after="140" w:line="252" w:lineRule="auto"/>
        <w:keepNext w:val="1"/>
        <w:pageBreakBefore w:val="0"/>
      </w:pPr>
      <w:r>
        <w:rPr>
          <w:rFonts w:ascii="Calibri" w:hAnsi="Calibri"/>
          <w:b/>
          <w:color w:val="2E74B5"/>
          <w:sz w:val="26"/>
        </w:rPr>
        <w:t>Workflow Notes, not a blog portal</w:t>
      </w:r>
    </w:p>
    <w:p>
      <w:pPr>
        <w:pStyle w:val="ListBullet"/>
        <w:keepLines/>
        <w:spacing w:before="0" w:after="80" w:line="300" w:lineRule="auto"/>
      </w:pPr>
      <w:r>
        <w:rPr>
          <w:rFonts w:ascii="Calibri" w:hAnsi="Calibri"/>
          <w:color w:val="162236"/>
          <w:sz w:val="22"/>
        </w:rPr>
        <w:t>Publish six to twelve substantial notes per year, only when there is real case experience, a protocol update or a useful explanation.</w:t>
      </w:r>
    </w:p>
    <w:p>
      <w:pPr>
        <w:pStyle w:val="ListBullet"/>
        <w:keepLines/>
        <w:spacing w:before="0" w:after="80" w:line="300" w:lineRule="auto"/>
      </w:pPr>
      <w:r>
        <w:rPr>
          <w:rFonts w:ascii="Calibri" w:hAnsi="Calibri"/>
          <w:color w:val="162236"/>
          <w:sz w:val="22"/>
        </w:rPr>
        <w:t>Each note should have a named author or reviewer, a review date, real images or diagrams where possible and links to the relevant service page.</w:t>
      </w:r>
    </w:p>
    <w:p>
      <w:pPr>
        <w:pStyle w:val="ListBullet"/>
        <w:keepLines/>
        <w:spacing w:before="0" w:after="80" w:line="300" w:lineRule="auto"/>
      </w:pPr>
      <w:r>
        <w:rPr>
          <w:rFonts w:ascii="Calibri" w:hAnsi="Calibri"/>
          <w:color w:val="162236"/>
          <w:sz w:val="22"/>
        </w:rPr>
        <w:t>Do not publish generic trend pieces, rewritten definitions or city-keyword pages without local substance.</w:t>
      </w:r>
    </w:p>
    <w:p>
      <w:pPr>
        <w:pStyle w:val="Heading2"/>
        <w:spacing w:before="280" w:after="140" w:line="252" w:lineRule="auto"/>
        <w:keepNext w:val="1"/>
        <w:pageBreakBefore w:val="0"/>
      </w:pPr>
      <w:r>
        <w:rPr>
          <w:rFonts w:ascii="Calibri" w:hAnsi="Calibri"/>
          <w:b/>
          <w:color w:val="2E74B5"/>
          <w:sz w:val="26"/>
        </w:rPr>
        <w:t>Initial evergreen notes</w:t>
      </w:r>
    </w:p>
    <w:p>
      <w:pPr>
        <w:keepLines/>
        <w:spacing w:before="0" w:after="100" w:line="300" w:lineRule="auto"/>
        <w:numPr>
          <w:ilvl w:val="0"/>
          <w:numId w:val="15"/>
        </w:numPr>
      </w:pPr>
      <w:r>
        <w:rPr>
          <w:rFonts w:ascii="Calibri" w:hAnsi="Calibri"/>
          <w:color w:val="162236"/>
          <w:sz w:val="22"/>
        </w:rPr>
        <w:t>What files are needed before guided implant planning can begin?</w:t>
      </w:r>
    </w:p>
    <w:p>
      <w:pPr>
        <w:keepLines/>
        <w:spacing w:before="0" w:after="100" w:line="300" w:lineRule="auto"/>
        <w:numPr>
          <w:ilvl w:val="0"/>
          <w:numId w:val="15"/>
        </w:numPr>
      </w:pPr>
      <w:r>
        <w:rPr>
          <w:rFonts w:ascii="Calibri" w:hAnsi="Calibri"/>
          <w:color w:val="162236"/>
          <w:sz w:val="22"/>
        </w:rPr>
        <w:t>Why DICOM and intraoral scans fail to align, and what to check before upload.</w:t>
      </w:r>
    </w:p>
    <w:p>
      <w:pPr>
        <w:keepLines/>
        <w:spacing w:before="0" w:after="100" w:line="300" w:lineRule="auto"/>
        <w:numPr>
          <w:ilvl w:val="0"/>
          <w:numId w:val="15"/>
        </w:numPr>
      </w:pPr>
      <w:r>
        <w:rPr>
          <w:rFonts w:ascii="Calibri" w:hAnsi="Calibri"/>
          <w:color w:val="162236"/>
          <w:sz w:val="22"/>
        </w:rPr>
        <w:t>Pilot-guided and fully guided workflows: what changes in the case setup?</w:t>
      </w:r>
    </w:p>
    <w:p>
      <w:pPr>
        <w:keepLines/>
        <w:spacing w:before="0" w:after="100" w:line="300" w:lineRule="auto"/>
        <w:numPr>
          <w:ilvl w:val="0"/>
          <w:numId w:val="15"/>
        </w:numPr>
      </w:pPr>
      <w:r>
        <w:rPr>
          <w:rFonts w:ascii="Calibri" w:hAnsi="Calibri"/>
          <w:color w:val="162236"/>
          <w:sz w:val="22"/>
        </w:rPr>
        <w:t>The approval points in a full-arch stackable workflow.</w:t>
      </w:r>
    </w:p>
    <w:p>
      <w:pPr>
        <w:keepLines/>
        <w:spacing w:before="0" w:after="100" w:line="300" w:lineRule="auto"/>
        <w:numPr>
          <w:ilvl w:val="0"/>
          <w:numId w:val="15"/>
        </w:numPr>
      </w:pPr>
      <w:r>
        <w:rPr>
          <w:rFonts w:ascii="Calibri" w:hAnsi="Calibri"/>
          <w:color w:val="162236"/>
          <w:sz w:val="22"/>
        </w:rPr>
        <w:t>What a design-only STL handoff does and does not include.</w:t>
      </w:r>
    </w:p>
    <w:p>
      <w:pPr>
        <w:keepLines/>
        <w:spacing w:before="0" w:after="100" w:line="300" w:lineRule="auto"/>
        <w:numPr>
          <w:ilvl w:val="0"/>
          <w:numId w:val="15"/>
        </w:numPr>
      </w:pPr>
      <w:r>
        <w:rPr>
          <w:rFonts w:ascii="Calibri" w:hAnsi="Calibri"/>
          <w:color w:val="162236"/>
          <w:sz w:val="22"/>
        </w:rPr>
        <w:t>Planning an immediate provisional: records the restorative team needs before surgery.</w:t>
      </w:r>
    </w:p>
    <w:p>
      <w:pPr>
        <w:keepLines/>
        <w:spacing w:before="0" w:after="100" w:line="300" w:lineRule="auto"/>
        <w:numPr>
          <w:ilvl w:val="0"/>
          <w:numId w:val="15"/>
        </w:numPr>
      </w:pPr>
      <w:r>
        <w:rPr>
          <w:rFonts w:ascii="Calibri" w:hAnsi="Calibri"/>
          <w:color w:val="162236"/>
          <w:sz w:val="22"/>
        </w:rPr>
        <w:t>How implant system and drill-kit information affect guide design.</w:t>
      </w:r>
    </w:p>
    <w:p>
      <w:pPr>
        <w:keepLines/>
        <w:spacing w:before="0" w:after="100" w:line="300" w:lineRule="auto"/>
        <w:numPr>
          <w:ilvl w:val="0"/>
          <w:numId w:val="15"/>
        </w:numPr>
      </w:pPr>
      <w:r>
        <w:rPr>
          <w:rFonts w:ascii="Calibri" w:hAnsi="Calibri"/>
          <w:color w:val="162236"/>
          <w:sz w:val="22"/>
        </w:rPr>
        <w:t>When a complex case should be discussed before full submission.</w:t>
      </w:r>
    </w:p>
    <w:p>
      <w:pPr>
        <w:pStyle w:val="Heading1"/>
        <w:spacing w:before="360" w:after="200" w:line="252" w:lineRule="auto"/>
        <w:keepNext w:val="1"/>
        <w:pageBreakBefore w:val="1"/>
      </w:pPr>
      <w:r>
        <w:rPr>
          <w:rFonts w:ascii="Calibri" w:hAnsi="Calibri"/>
          <w:b/>
          <w:color w:val="2E74B5"/>
          <w:sz w:val="32"/>
        </w:rPr>
        <w:t>12. Legacy content migration</w:t>
      </w:r>
    </w:p>
    <w:p>
      <w:pPr>
        <w:spacing w:before="0" w:after="120" w:line="300" w:lineRule="auto"/>
        <w:jc w:val="left"/>
      </w:pPr>
      <w:r>
        <w:rPr>
          <w:rFonts w:ascii="Calibri" w:hAnsi="Calibri"/>
          <w:i w:val="0"/>
          <w:color w:val="162236"/>
          <w:sz w:val="22"/>
        </w:rPr>
        <w:t>The current domain has search visibility around surgical guides, guided surgery and digital dentistry. Migration must preserve useful equity while removing education and weak duplicate content from the service journey.</w:t>
      </w:r>
    </w:p>
    <w:tbl>
      <w:tblPr>
        <w:tblStyle w:val="TableGrid"/>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650"/>
        <w:gridCol w:w="2700"/>
        <w:gridCol w:w="1900"/>
        <w:gridCol w:w="2110"/>
      </w:tblGrid>
      <w:tr>
        <w:trPr>
          <w:tblHeader w:val="true"/>
          <w:cantSplit/>
        </w:trPr>
        <w:tc>
          <w:tcPr>
            <w:tcW w:type="dxa" w:w="2650"/>
            <w:tcMar>
              <w:top w:w="80" w:type="dxa"/>
              <w:start w:w="120" w:type="dxa"/>
              <w:bottom w:w="80" w:type="dxa"/>
              <w:end w:w="120" w:type="dxa"/>
            </w:tcMar>
            <w:vAlign w:val="center"/>
            <w:shd w:fill="E8EEF5"/>
          </w:tcPr>
          <w:p>
            <w:pPr>
              <w:spacing w:before="0" w:after="0" w:line="264" w:lineRule="auto"/>
            </w:pPr>
            <w:r>
              <w:rPr>
                <w:rFonts w:ascii="Calibri" w:hAnsi="Calibri"/>
                <w:b/>
                <w:color w:val="162236"/>
                <w:sz w:val="16"/>
              </w:rPr>
              <w:t>Current URL / group</w:t>
            </w:r>
          </w:p>
        </w:tc>
        <w:tc>
          <w:tcPr>
            <w:tcW w:type="dxa" w:w="2700"/>
            <w:tcMar>
              <w:top w:w="80" w:type="dxa"/>
              <w:start w:w="120" w:type="dxa"/>
              <w:bottom w:w="80" w:type="dxa"/>
              <w:end w:w="120" w:type="dxa"/>
            </w:tcMar>
            <w:vAlign w:val="center"/>
            <w:shd w:fill="E8EEF5"/>
          </w:tcPr>
          <w:p>
            <w:pPr>
              <w:spacing w:before="0" w:after="0" w:line="264" w:lineRule="auto"/>
            </w:pPr>
            <w:r>
              <w:rPr>
                <w:rFonts w:ascii="Calibri" w:hAnsi="Calibri"/>
                <w:b/>
                <w:color w:val="162236"/>
                <w:sz w:val="16"/>
              </w:rPr>
              <w:t>Destination</w:t>
            </w:r>
          </w:p>
        </w:tc>
        <w:tc>
          <w:tcPr>
            <w:tcW w:type="dxa" w:w="1900"/>
            <w:tcMar>
              <w:top w:w="80" w:type="dxa"/>
              <w:start w:w="120" w:type="dxa"/>
              <w:bottom w:w="80" w:type="dxa"/>
              <w:end w:w="120" w:type="dxa"/>
            </w:tcMar>
            <w:vAlign w:val="center"/>
            <w:shd w:fill="E8EEF5"/>
          </w:tcPr>
          <w:p>
            <w:pPr>
              <w:spacing w:before="0" w:after="0" w:line="264" w:lineRule="auto"/>
            </w:pPr>
            <w:r>
              <w:rPr>
                <w:rFonts w:ascii="Calibri" w:hAnsi="Calibri"/>
                <w:b/>
                <w:color w:val="162236"/>
                <w:sz w:val="16"/>
              </w:rPr>
              <w:t>Action</w:t>
            </w:r>
          </w:p>
        </w:tc>
        <w:tc>
          <w:tcPr>
            <w:tcW w:type="dxa" w:w="2110"/>
            <w:tcMar>
              <w:top w:w="80" w:type="dxa"/>
              <w:start w:w="120" w:type="dxa"/>
              <w:bottom w:w="80" w:type="dxa"/>
              <w:end w:w="120" w:type="dxa"/>
            </w:tcMar>
            <w:vAlign w:val="center"/>
            <w:shd w:fill="E8EEF5"/>
          </w:tcPr>
          <w:p>
            <w:pPr>
              <w:spacing w:before="0" w:after="0" w:line="264" w:lineRule="auto"/>
            </w:pPr>
            <w:r>
              <w:rPr>
                <w:rFonts w:ascii="Calibri" w:hAnsi="Calibri"/>
                <w:b/>
                <w:color w:val="162236"/>
                <w:sz w:val="16"/>
              </w:rPr>
              <w:t>Reason</w:t>
            </w:r>
          </w:p>
        </w:tc>
      </w:tr>
      <w:tr>
        <w:trPr>
          <w:cantSplit/>
        </w:trPr>
        <w:tc>
          <w:tcPr>
            <w:tcW w:type="dxa" w:w="2650"/>
            <w:vAlign w:val="center"/>
            <w:tcMar>
              <w:top w:w="80" w:type="dxa"/>
              <w:start w:w="120" w:type="dxa"/>
              <w:bottom w:w="80" w:type="dxa"/>
              <w:end w:w="120" w:type="dxa"/>
            </w:tcMar>
          </w:tcPr>
          <w:p>
            <w:pPr>
              <w:spacing w:before="0" w:after="0" w:line="271" w:lineRule="auto"/>
            </w:pPr>
            <w:r>
              <w:rPr>
                <w:rFonts w:ascii="Calibri" w:hAnsi="Calibri"/>
                <w:color w:val="162236"/>
                <w:sz w:val="16"/>
              </w:rPr>
              <w:t>/surgical-guide</w:t>
            </w:r>
          </w:p>
        </w:tc>
        <w:tc>
          <w:tcPr>
            <w:tcW w:type="dxa" w:w="2700"/>
            <w:vAlign w:val="center"/>
            <w:tcMar>
              <w:top w:w="80" w:type="dxa"/>
              <w:start w:w="120" w:type="dxa"/>
              <w:bottom w:w="80" w:type="dxa"/>
              <w:end w:w="120" w:type="dxa"/>
            </w:tcMar>
          </w:tcPr>
          <w:p>
            <w:pPr>
              <w:spacing w:before="0" w:after="0" w:line="271" w:lineRule="auto"/>
            </w:pPr>
            <w:r>
              <w:rPr>
                <w:rFonts w:ascii="Calibri" w:hAnsi="Calibri"/>
                <w:color w:val="162236"/>
                <w:sz w:val="16"/>
              </w:rPr>
              <w:t>/guided-implant-workflow/</w:t>
            </w:r>
          </w:p>
        </w:tc>
        <w:tc>
          <w:tcPr>
            <w:tcW w:type="dxa" w:w="1900"/>
            <w:vAlign w:val="center"/>
            <w:tcMar>
              <w:top w:w="80" w:type="dxa"/>
              <w:start w:w="120" w:type="dxa"/>
              <w:bottom w:w="80" w:type="dxa"/>
              <w:end w:w="120" w:type="dxa"/>
            </w:tcMar>
          </w:tcPr>
          <w:p>
            <w:pPr>
              <w:spacing w:before="0" w:after="0" w:line="271" w:lineRule="auto"/>
            </w:pPr>
            <w:r>
              <w:rPr>
                <w:rFonts w:ascii="Calibri" w:hAnsi="Calibri"/>
                <w:color w:val="162236"/>
                <w:sz w:val="16"/>
              </w:rPr>
              <w:t>Rewrite, then 301</w:t>
            </w:r>
          </w:p>
        </w:tc>
        <w:tc>
          <w:tcPr>
            <w:tcW w:type="dxa" w:w="2110"/>
            <w:vAlign w:val="center"/>
            <w:tcMar>
              <w:top w:w="80" w:type="dxa"/>
              <w:start w:w="120" w:type="dxa"/>
              <w:bottom w:w="80" w:type="dxa"/>
              <w:end w:w="120" w:type="dxa"/>
            </w:tcMar>
          </w:tcPr>
          <w:p>
            <w:pPr>
              <w:spacing w:before="0" w:after="0" w:line="271" w:lineRule="auto"/>
            </w:pPr>
            <w:r>
              <w:rPr>
                <w:rFonts w:ascii="Calibri" w:hAnsi="Calibri"/>
                <w:color w:val="162236"/>
                <w:sz w:val="16"/>
              </w:rPr>
              <w:t>Preserve surgical-guide intent.</w:t>
            </w:r>
          </w:p>
        </w:tc>
      </w:tr>
      <w:tr>
        <w:trPr>
          <w:cantSplit/>
        </w:trPr>
        <w:tc>
          <w:tcPr>
            <w:tcW w:type="dxa" w:w="2650"/>
            <w:vAlign w:val="center"/>
            <w:tcMar>
              <w:top w:w="80" w:type="dxa"/>
              <w:start w:w="120" w:type="dxa"/>
              <w:bottom w:w="80" w:type="dxa"/>
              <w:end w:w="120" w:type="dxa"/>
            </w:tcMar>
          </w:tcPr>
          <w:p>
            <w:pPr>
              <w:spacing w:before="0" w:after="0" w:line="271" w:lineRule="auto"/>
            </w:pPr>
            <w:r>
              <w:rPr>
                <w:rFonts w:ascii="Calibri" w:hAnsi="Calibri"/>
                <w:color w:val="162236"/>
                <w:sz w:val="16"/>
              </w:rPr>
              <w:t>/gallery</w:t>
            </w:r>
          </w:p>
        </w:tc>
        <w:tc>
          <w:tcPr>
            <w:tcW w:type="dxa" w:w="2700"/>
            <w:vAlign w:val="center"/>
            <w:tcMar>
              <w:top w:w="80" w:type="dxa"/>
              <w:start w:w="120" w:type="dxa"/>
              <w:bottom w:w="80" w:type="dxa"/>
              <w:end w:w="120" w:type="dxa"/>
            </w:tcMar>
          </w:tcPr>
          <w:p>
            <w:pPr>
              <w:spacing w:before="0" w:after="0" w:line="271" w:lineRule="auto"/>
            </w:pPr>
            <w:r>
              <w:rPr>
                <w:rFonts w:ascii="Calibri" w:hAnsi="Calibri"/>
                <w:color w:val="162236"/>
                <w:sz w:val="16"/>
              </w:rPr>
              <w:t>/case-evidence/</w:t>
            </w:r>
          </w:p>
        </w:tc>
        <w:tc>
          <w:tcPr>
            <w:tcW w:type="dxa" w:w="1900"/>
            <w:vAlign w:val="center"/>
            <w:tcMar>
              <w:top w:w="80" w:type="dxa"/>
              <w:start w:w="120" w:type="dxa"/>
              <w:bottom w:w="80" w:type="dxa"/>
              <w:end w:w="120" w:type="dxa"/>
            </w:tcMar>
          </w:tcPr>
          <w:p>
            <w:pPr>
              <w:spacing w:before="0" w:after="0" w:line="271" w:lineRule="auto"/>
            </w:pPr>
            <w:r>
              <w:rPr>
                <w:rFonts w:ascii="Calibri" w:hAnsi="Calibri"/>
                <w:color w:val="162236"/>
                <w:sz w:val="16"/>
              </w:rPr>
              <w:t>Rewrite, then 301</w:t>
            </w:r>
          </w:p>
        </w:tc>
        <w:tc>
          <w:tcPr>
            <w:tcW w:type="dxa" w:w="2110"/>
            <w:vAlign w:val="center"/>
            <w:tcMar>
              <w:top w:w="80" w:type="dxa"/>
              <w:start w:w="120" w:type="dxa"/>
              <w:bottom w:w="80" w:type="dxa"/>
              <w:end w:w="120" w:type="dxa"/>
            </w:tcMar>
          </w:tcPr>
          <w:p>
            <w:pPr>
              <w:spacing w:before="0" w:after="0" w:line="271" w:lineRule="auto"/>
            </w:pPr>
            <w:r>
              <w:rPr>
                <w:rFonts w:ascii="Calibri" w:hAnsi="Calibri"/>
                <w:color w:val="162236"/>
                <w:sz w:val="16"/>
              </w:rPr>
              <w:t>Replace accuracy claim with evidence structure.</w:t>
            </w:r>
          </w:p>
        </w:tc>
      </w:tr>
      <w:tr>
        <w:trPr>
          <w:cantSplit/>
        </w:trPr>
        <w:tc>
          <w:tcPr>
            <w:tcW w:type="dxa" w:w="2650"/>
            <w:vAlign w:val="center"/>
            <w:tcMar>
              <w:top w:w="80" w:type="dxa"/>
              <w:start w:w="120" w:type="dxa"/>
              <w:bottom w:w="80" w:type="dxa"/>
              <w:end w:w="120" w:type="dxa"/>
            </w:tcMar>
          </w:tcPr>
          <w:p>
            <w:pPr>
              <w:spacing w:before="0" w:after="0" w:line="271" w:lineRule="auto"/>
            </w:pPr>
            <w:r>
              <w:rPr>
                <w:rFonts w:ascii="Calibri" w:hAnsi="Calibri"/>
                <w:color w:val="162236"/>
                <w:sz w:val="16"/>
              </w:rPr>
              <w:t>/faq</w:t>
            </w:r>
          </w:p>
        </w:tc>
        <w:tc>
          <w:tcPr>
            <w:tcW w:type="dxa" w:w="2700"/>
            <w:vAlign w:val="center"/>
            <w:tcMar>
              <w:top w:w="80" w:type="dxa"/>
              <w:start w:w="120" w:type="dxa"/>
              <w:bottom w:w="80" w:type="dxa"/>
              <w:end w:w="120" w:type="dxa"/>
            </w:tcMar>
          </w:tcPr>
          <w:p>
            <w:pPr>
              <w:spacing w:before="0" w:after="0" w:line="271" w:lineRule="auto"/>
            </w:pPr>
            <w:r>
              <w:rPr>
                <w:rFonts w:ascii="Calibri" w:hAnsi="Calibri"/>
                <w:color w:val="162236"/>
                <w:sz w:val="16"/>
              </w:rPr>
              <w:t>/how-it-works/ and solution FAQs</w:t>
            </w:r>
          </w:p>
        </w:tc>
        <w:tc>
          <w:tcPr>
            <w:tcW w:type="dxa" w:w="1900"/>
            <w:vAlign w:val="center"/>
            <w:tcMar>
              <w:top w:w="80" w:type="dxa"/>
              <w:start w:w="120" w:type="dxa"/>
              <w:bottom w:w="80" w:type="dxa"/>
              <w:end w:w="120" w:type="dxa"/>
            </w:tcMar>
          </w:tcPr>
          <w:p>
            <w:pPr>
              <w:spacing w:before="0" w:after="0" w:line="271" w:lineRule="auto"/>
            </w:pPr>
            <w:r>
              <w:rPr>
                <w:rFonts w:ascii="Calibri" w:hAnsi="Calibri"/>
                <w:color w:val="162236"/>
                <w:sz w:val="16"/>
              </w:rPr>
              <w:t>Consolidate, then 301</w:t>
            </w:r>
          </w:p>
        </w:tc>
        <w:tc>
          <w:tcPr>
            <w:tcW w:type="dxa" w:w="2110"/>
            <w:vAlign w:val="center"/>
            <w:tcMar>
              <w:top w:w="80" w:type="dxa"/>
              <w:start w:w="120" w:type="dxa"/>
              <w:bottom w:w="80" w:type="dxa"/>
              <w:end w:w="120" w:type="dxa"/>
            </w:tcMar>
          </w:tcPr>
          <w:p>
            <w:pPr>
              <w:spacing w:before="0" w:after="0" w:line="271" w:lineRule="auto"/>
            </w:pPr>
            <w:r>
              <w:rPr>
                <w:rFonts w:ascii="Calibri" w:hAnsi="Calibri"/>
                <w:color w:val="162236"/>
                <w:sz w:val="16"/>
              </w:rPr>
              <w:t>Distribute questions to relevant pages.</w:t>
            </w:r>
          </w:p>
        </w:tc>
      </w:tr>
      <w:tr>
        <w:trPr>
          <w:cantSplit/>
        </w:trPr>
        <w:tc>
          <w:tcPr>
            <w:tcW w:type="dxa" w:w="2650"/>
            <w:vAlign w:val="center"/>
            <w:tcMar>
              <w:top w:w="80" w:type="dxa"/>
              <w:start w:w="120" w:type="dxa"/>
              <w:bottom w:w="80" w:type="dxa"/>
              <w:end w:w="120" w:type="dxa"/>
            </w:tcMar>
          </w:tcPr>
          <w:p>
            <w:pPr>
              <w:spacing w:before="0" w:after="0" w:line="271" w:lineRule="auto"/>
            </w:pPr>
            <w:r>
              <w:rPr>
                <w:rFonts w:ascii="Calibri" w:hAnsi="Calibri"/>
                <w:color w:val="162236"/>
                <w:sz w:val="16"/>
              </w:rPr>
              <w:t>/workshop</w:t>
            </w:r>
          </w:p>
        </w:tc>
        <w:tc>
          <w:tcPr>
            <w:tcW w:type="dxa" w:w="2700"/>
            <w:vAlign w:val="center"/>
            <w:tcMar>
              <w:top w:w="80" w:type="dxa"/>
              <w:start w:w="120" w:type="dxa"/>
              <w:bottom w:w="80" w:type="dxa"/>
              <w:end w:w="120" w:type="dxa"/>
            </w:tcMar>
          </w:tcPr>
          <w:p>
            <w:pPr>
              <w:spacing w:before="0" w:after="0" w:line="271" w:lineRule="auto"/>
            </w:pPr>
            <w:r>
              <w:rPr>
                <w:rFonts w:ascii="Calibri" w:hAnsi="Calibri"/>
                <w:color w:val="162236"/>
                <w:sz w:val="16"/>
              </w:rPr>
              <w:t>Relevant PaulSudeep.com / SGE page</w:t>
            </w:r>
          </w:p>
        </w:tc>
        <w:tc>
          <w:tcPr>
            <w:tcW w:type="dxa" w:w="1900"/>
            <w:vAlign w:val="center"/>
            <w:tcMar>
              <w:top w:w="80" w:type="dxa"/>
              <w:start w:w="120" w:type="dxa"/>
              <w:bottom w:w="80" w:type="dxa"/>
              <w:end w:w="120" w:type="dxa"/>
            </w:tcMar>
          </w:tcPr>
          <w:p>
            <w:pPr>
              <w:spacing w:before="0" w:after="0" w:line="271" w:lineRule="auto"/>
            </w:pPr>
            <w:r>
              <w:rPr>
                <w:rFonts w:ascii="Calibri" w:hAnsi="Calibri"/>
                <w:color w:val="162236"/>
                <w:sz w:val="16"/>
              </w:rPr>
              <w:t>301 when destination is live</w:t>
            </w:r>
          </w:p>
        </w:tc>
        <w:tc>
          <w:tcPr>
            <w:tcW w:type="dxa" w:w="2110"/>
            <w:vAlign w:val="center"/>
            <w:tcMar>
              <w:top w:w="80" w:type="dxa"/>
              <w:start w:w="120" w:type="dxa"/>
              <w:bottom w:w="80" w:type="dxa"/>
              <w:end w:w="120" w:type="dxa"/>
            </w:tcMar>
          </w:tcPr>
          <w:p>
            <w:pPr>
              <w:spacing w:before="0" w:after="0" w:line="271" w:lineRule="auto"/>
            </w:pPr>
            <w:r>
              <w:rPr>
                <w:rFonts w:ascii="Calibri" w:hAnsi="Calibri"/>
                <w:color w:val="162236"/>
                <w:sz w:val="16"/>
              </w:rPr>
              <w:t>Remove education from I3DC navigation.</w:t>
            </w:r>
          </w:p>
        </w:tc>
      </w:tr>
      <w:tr>
        <w:trPr>
          <w:cantSplit/>
        </w:trPr>
        <w:tc>
          <w:tcPr>
            <w:tcW w:type="dxa" w:w="2650"/>
            <w:vAlign w:val="center"/>
            <w:tcMar>
              <w:top w:w="80" w:type="dxa"/>
              <w:start w:w="120" w:type="dxa"/>
              <w:bottom w:w="80" w:type="dxa"/>
              <w:end w:w="120" w:type="dxa"/>
            </w:tcMar>
          </w:tcPr>
          <w:p>
            <w:pPr>
              <w:spacing w:before="0" w:after="0" w:line="271" w:lineRule="auto"/>
            </w:pPr>
            <w:r>
              <w:rPr>
                <w:rFonts w:ascii="Calibri" w:hAnsi="Calibri"/>
                <w:color w:val="162236"/>
                <w:sz w:val="16"/>
              </w:rPr>
              <w:t>/online-training</w:t>
            </w:r>
          </w:p>
        </w:tc>
        <w:tc>
          <w:tcPr>
            <w:tcW w:type="dxa" w:w="2700"/>
            <w:vAlign w:val="center"/>
            <w:tcMar>
              <w:top w:w="80" w:type="dxa"/>
              <w:start w:w="120" w:type="dxa"/>
              <w:bottom w:w="80" w:type="dxa"/>
              <w:end w:w="120" w:type="dxa"/>
            </w:tcMar>
          </w:tcPr>
          <w:p>
            <w:pPr>
              <w:spacing w:before="0" w:after="0" w:line="271" w:lineRule="auto"/>
            </w:pPr>
            <w:r>
              <w:rPr>
                <w:rFonts w:ascii="Calibri" w:hAnsi="Calibri"/>
                <w:color w:val="162236"/>
                <w:sz w:val="16"/>
              </w:rPr>
              <w:t>Relevant PaulSudeep.com / SGE page</w:t>
            </w:r>
          </w:p>
        </w:tc>
        <w:tc>
          <w:tcPr>
            <w:tcW w:type="dxa" w:w="1900"/>
            <w:vAlign w:val="center"/>
            <w:tcMar>
              <w:top w:w="80" w:type="dxa"/>
              <w:start w:w="120" w:type="dxa"/>
              <w:bottom w:w="80" w:type="dxa"/>
              <w:end w:w="120" w:type="dxa"/>
            </w:tcMar>
          </w:tcPr>
          <w:p>
            <w:pPr>
              <w:spacing w:before="0" w:after="0" w:line="271" w:lineRule="auto"/>
            </w:pPr>
            <w:r>
              <w:rPr>
                <w:rFonts w:ascii="Calibri" w:hAnsi="Calibri"/>
                <w:color w:val="162236"/>
                <w:sz w:val="16"/>
              </w:rPr>
              <w:t>301 when destination is live</w:t>
            </w:r>
          </w:p>
        </w:tc>
        <w:tc>
          <w:tcPr>
            <w:tcW w:type="dxa" w:w="2110"/>
            <w:vAlign w:val="center"/>
            <w:tcMar>
              <w:top w:w="80" w:type="dxa"/>
              <w:start w:w="120" w:type="dxa"/>
              <w:bottom w:w="80" w:type="dxa"/>
              <w:end w:w="120" w:type="dxa"/>
            </w:tcMar>
          </w:tcPr>
          <w:p>
            <w:pPr>
              <w:spacing w:before="0" w:after="0" w:line="271" w:lineRule="auto"/>
            </w:pPr>
            <w:r>
              <w:rPr>
                <w:rFonts w:ascii="Calibri" w:hAnsi="Calibri"/>
                <w:color w:val="162236"/>
                <w:sz w:val="16"/>
              </w:rPr>
              <w:t>Preserve education intent externally.</w:t>
            </w:r>
          </w:p>
        </w:tc>
      </w:tr>
      <w:tr>
        <w:trPr>
          <w:cantSplit/>
        </w:trPr>
        <w:tc>
          <w:tcPr>
            <w:tcW w:type="dxa" w:w="2650"/>
            <w:vAlign w:val="center"/>
            <w:tcMar>
              <w:top w:w="80" w:type="dxa"/>
              <w:start w:w="120" w:type="dxa"/>
              <w:bottom w:w="80" w:type="dxa"/>
              <w:end w:w="120" w:type="dxa"/>
            </w:tcMar>
          </w:tcPr>
          <w:p>
            <w:pPr>
              <w:spacing w:before="0" w:after="0" w:line="271" w:lineRule="auto"/>
            </w:pPr>
            <w:r>
              <w:rPr>
                <w:rFonts w:ascii="Calibri" w:hAnsi="Calibri"/>
                <w:color w:val="162236"/>
                <w:sz w:val="16"/>
              </w:rPr>
              <w:t>/3-day-guided-surgery-workshop.php</w:t>
            </w:r>
          </w:p>
        </w:tc>
        <w:tc>
          <w:tcPr>
            <w:tcW w:type="dxa" w:w="2700"/>
            <w:vAlign w:val="center"/>
            <w:tcMar>
              <w:top w:w="80" w:type="dxa"/>
              <w:start w:w="120" w:type="dxa"/>
              <w:bottom w:w="80" w:type="dxa"/>
              <w:end w:w="120" w:type="dxa"/>
            </w:tcMar>
          </w:tcPr>
          <w:p>
            <w:pPr>
              <w:spacing w:before="0" w:after="0" w:line="271" w:lineRule="auto"/>
            </w:pPr>
            <w:r>
              <w:rPr>
                <w:rFonts w:ascii="Calibri" w:hAnsi="Calibri"/>
                <w:color w:val="162236"/>
                <w:sz w:val="16"/>
              </w:rPr>
              <w:t>Relevant SGE 3-Day page</w:t>
            </w:r>
          </w:p>
        </w:tc>
        <w:tc>
          <w:tcPr>
            <w:tcW w:type="dxa" w:w="1900"/>
            <w:vAlign w:val="center"/>
            <w:tcMar>
              <w:top w:w="80" w:type="dxa"/>
              <w:start w:w="120" w:type="dxa"/>
              <w:bottom w:w="80" w:type="dxa"/>
              <w:end w:w="120" w:type="dxa"/>
            </w:tcMar>
          </w:tcPr>
          <w:p>
            <w:pPr>
              <w:spacing w:before="0" w:after="0" w:line="271" w:lineRule="auto"/>
            </w:pPr>
            <w:r>
              <w:rPr>
                <w:rFonts w:ascii="Calibri" w:hAnsi="Calibri"/>
                <w:color w:val="162236"/>
                <w:sz w:val="16"/>
              </w:rPr>
              <w:t>301 when destination is live</w:t>
            </w:r>
          </w:p>
        </w:tc>
        <w:tc>
          <w:tcPr>
            <w:tcW w:type="dxa" w:w="2110"/>
            <w:vAlign w:val="center"/>
            <w:tcMar>
              <w:top w:w="80" w:type="dxa"/>
              <w:start w:w="120" w:type="dxa"/>
              <w:bottom w:w="80" w:type="dxa"/>
              <w:end w:w="120" w:type="dxa"/>
            </w:tcMar>
          </w:tcPr>
          <w:p>
            <w:pPr>
              <w:spacing w:before="0" w:after="0" w:line="271" w:lineRule="auto"/>
            </w:pPr>
            <w:r>
              <w:rPr>
                <w:rFonts w:ascii="Calibri" w:hAnsi="Calibri"/>
                <w:color w:val="162236"/>
                <w:sz w:val="16"/>
              </w:rPr>
              <w:t>Do not redirect to an unrelated homepage.</w:t>
            </w:r>
          </w:p>
        </w:tc>
      </w:tr>
      <w:tr>
        <w:trPr>
          <w:cantSplit/>
        </w:trPr>
        <w:tc>
          <w:tcPr>
            <w:tcW w:type="dxa" w:w="2650"/>
            <w:vAlign w:val="center"/>
            <w:tcMar>
              <w:top w:w="80" w:type="dxa"/>
              <w:start w:w="120" w:type="dxa"/>
              <w:bottom w:w="80" w:type="dxa"/>
              <w:end w:w="120" w:type="dxa"/>
            </w:tcMar>
          </w:tcPr>
          <w:p>
            <w:pPr>
              <w:spacing w:before="0" w:after="0" w:line="271" w:lineRule="auto"/>
            </w:pPr>
            <w:r>
              <w:rPr>
                <w:rFonts w:ascii="Calibri" w:hAnsi="Calibri"/>
                <w:color w:val="162236"/>
                <w:sz w:val="16"/>
              </w:rPr>
              <w:t>/blogs</w:t>
            </w:r>
          </w:p>
        </w:tc>
        <w:tc>
          <w:tcPr>
            <w:tcW w:type="dxa" w:w="2700"/>
            <w:vAlign w:val="center"/>
            <w:tcMar>
              <w:top w:w="80" w:type="dxa"/>
              <w:start w:w="120" w:type="dxa"/>
              <w:bottom w:w="80" w:type="dxa"/>
              <w:end w:w="120" w:type="dxa"/>
            </w:tcMar>
          </w:tcPr>
          <w:p>
            <w:pPr>
              <w:spacing w:before="0" w:after="0" w:line="271" w:lineRule="auto"/>
            </w:pPr>
            <w:r>
              <w:rPr>
                <w:rFonts w:ascii="Calibri" w:hAnsi="Calibri"/>
                <w:color w:val="162236"/>
                <w:sz w:val="16"/>
              </w:rPr>
              <w:t>/workflow-notes/</w:t>
            </w:r>
          </w:p>
        </w:tc>
        <w:tc>
          <w:tcPr>
            <w:tcW w:type="dxa" w:w="1900"/>
            <w:vAlign w:val="center"/>
            <w:tcMar>
              <w:top w:w="80" w:type="dxa"/>
              <w:start w:w="120" w:type="dxa"/>
              <w:bottom w:w="80" w:type="dxa"/>
              <w:end w:w="120" w:type="dxa"/>
            </w:tcMar>
          </w:tcPr>
          <w:p>
            <w:pPr>
              <w:spacing w:before="0" w:after="0" w:line="271" w:lineRule="auto"/>
            </w:pPr>
            <w:r>
              <w:rPr>
                <w:rFonts w:ascii="Calibri" w:hAnsi="Calibri"/>
                <w:color w:val="162236"/>
                <w:sz w:val="16"/>
              </w:rPr>
              <w:t>Audit and rebuild</w:t>
            </w:r>
          </w:p>
        </w:tc>
        <w:tc>
          <w:tcPr>
            <w:tcW w:type="dxa" w:w="2110"/>
            <w:vAlign w:val="center"/>
            <w:tcMar>
              <w:top w:w="80" w:type="dxa"/>
              <w:start w:w="120" w:type="dxa"/>
              <w:bottom w:w="80" w:type="dxa"/>
              <w:end w:w="120" w:type="dxa"/>
            </w:tcMar>
          </w:tcPr>
          <w:p>
            <w:pPr>
              <w:spacing w:before="0" w:after="0" w:line="271" w:lineRule="auto"/>
            </w:pPr>
            <w:r>
              <w:rPr>
                <w:rFonts w:ascii="Calibri" w:hAnsi="Calibri"/>
                <w:color w:val="162236"/>
                <w:sz w:val="16"/>
              </w:rPr>
              <w:t>Retain only useful, reviewed resources.</w:t>
            </w:r>
          </w:p>
        </w:tc>
      </w:tr>
      <w:tr>
        <w:trPr>
          <w:cantSplit/>
        </w:trPr>
        <w:tc>
          <w:tcPr>
            <w:tcW w:type="dxa" w:w="2650"/>
            <w:vAlign w:val="center"/>
            <w:tcMar>
              <w:top w:w="80" w:type="dxa"/>
              <w:start w:w="120" w:type="dxa"/>
              <w:bottom w:w="80" w:type="dxa"/>
              <w:end w:w="120" w:type="dxa"/>
            </w:tcMar>
          </w:tcPr>
          <w:p>
            <w:pPr>
              <w:spacing w:before="0" w:after="0" w:line="271" w:lineRule="auto"/>
            </w:pPr>
            <w:r>
              <w:rPr>
                <w:rFonts w:ascii="Calibri" w:hAnsi="Calibri"/>
                <w:color w:val="162236"/>
                <w:sz w:val="16"/>
              </w:rPr>
              <w:t>Overlapping guided-surgery articles</w:t>
            </w:r>
          </w:p>
        </w:tc>
        <w:tc>
          <w:tcPr>
            <w:tcW w:type="dxa" w:w="2700"/>
            <w:vAlign w:val="center"/>
            <w:tcMar>
              <w:top w:w="80" w:type="dxa"/>
              <w:start w:w="120" w:type="dxa"/>
              <w:bottom w:w="80" w:type="dxa"/>
              <w:end w:w="120" w:type="dxa"/>
            </w:tcMar>
          </w:tcPr>
          <w:p>
            <w:pPr>
              <w:spacing w:before="0" w:after="0" w:line="271" w:lineRule="auto"/>
            </w:pPr>
            <w:r>
              <w:rPr>
                <w:rFonts w:ascii="Calibri" w:hAnsi="Calibri"/>
                <w:color w:val="162236"/>
                <w:sz w:val="16"/>
              </w:rPr>
              <w:t>Best pillar page or one retained note</w:t>
            </w:r>
          </w:p>
        </w:tc>
        <w:tc>
          <w:tcPr>
            <w:tcW w:type="dxa" w:w="1900"/>
            <w:vAlign w:val="center"/>
            <w:tcMar>
              <w:top w:w="80" w:type="dxa"/>
              <w:start w:w="120" w:type="dxa"/>
              <w:bottom w:w="80" w:type="dxa"/>
              <w:end w:w="120" w:type="dxa"/>
            </w:tcMar>
          </w:tcPr>
          <w:p>
            <w:pPr>
              <w:spacing w:before="0" w:after="0" w:line="271" w:lineRule="auto"/>
            </w:pPr>
            <w:r>
              <w:rPr>
                <w:rFonts w:ascii="Calibri" w:hAnsi="Calibri"/>
                <w:color w:val="162236"/>
                <w:sz w:val="16"/>
              </w:rPr>
              <w:t>Merge and 301</w:t>
            </w:r>
          </w:p>
        </w:tc>
        <w:tc>
          <w:tcPr>
            <w:tcW w:type="dxa" w:w="2110"/>
            <w:vAlign w:val="center"/>
            <w:tcMar>
              <w:top w:w="80" w:type="dxa"/>
              <w:start w:w="120" w:type="dxa"/>
              <w:bottom w:w="80" w:type="dxa"/>
              <w:end w:w="120" w:type="dxa"/>
            </w:tcMar>
          </w:tcPr>
          <w:p>
            <w:pPr>
              <w:spacing w:before="0" w:after="0" w:line="271" w:lineRule="auto"/>
            </w:pPr>
            <w:r>
              <w:rPr>
                <w:rFonts w:ascii="Calibri" w:hAnsi="Calibri"/>
                <w:color w:val="162236"/>
                <w:sz w:val="16"/>
              </w:rPr>
              <w:t>Prevent cannibalisation.</w:t>
            </w:r>
          </w:p>
        </w:tc>
      </w:tr>
      <w:tr>
        <w:trPr>
          <w:cantSplit/>
        </w:trPr>
        <w:tc>
          <w:tcPr>
            <w:tcW w:type="dxa" w:w="2650"/>
            <w:vAlign w:val="center"/>
            <w:tcMar>
              <w:top w:w="80" w:type="dxa"/>
              <w:start w:w="120" w:type="dxa"/>
              <w:bottom w:w="80" w:type="dxa"/>
              <w:end w:w="120" w:type="dxa"/>
            </w:tcMar>
          </w:tcPr>
          <w:p>
            <w:pPr>
              <w:spacing w:before="0" w:after="0" w:line="271" w:lineRule="auto"/>
            </w:pPr>
            <w:r>
              <w:rPr>
                <w:rFonts w:ascii="Calibri" w:hAnsi="Calibri"/>
                <w:color w:val="162236"/>
                <w:sz w:val="16"/>
              </w:rPr>
              <w:t>Generic digital-dentistry articles</w:t>
            </w:r>
          </w:p>
        </w:tc>
        <w:tc>
          <w:tcPr>
            <w:tcW w:type="dxa" w:w="2700"/>
            <w:vAlign w:val="center"/>
            <w:tcMar>
              <w:top w:w="80" w:type="dxa"/>
              <w:start w:w="120" w:type="dxa"/>
              <w:bottom w:w="80" w:type="dxa"/>
              <w:end w:w="120" w:type="dxa"/>
            </w:tcMar>
          </w:tcPr>
          <w:p>
            <w:pPr>
              <w:spacing w:before="0" w:after="0" w:line="271" w:lineRule="auto"/>
            </w:pPr>
            <w:r>
              <w:rPr>
                <w:rFonts w:ascii="Calibri" w:hAnsi="Calibri"/>
                <w:color w:val="162236"/>
                <w:sz w:val="16"/>
              </w:rPr>
              <w:t>Retain only if unique and useful</w:t>
            </w:r>
          </w:p>
        </w:tc>
        <w:tc>
          <w:tcPr>
            <w:tcW w:type="dxa" w:w="1900"/>
            <w:vAlign w:val="center"/>
            <w:tcMar>
              <w:top w:w="80" w:type="dxa"/>
              <w:start w:w="120" w:type="dxa"/>
              <w:bottom w:w="80" w:type="dxa"/>
              <w:end w:w="120" w:type="dxa"/>
            </w:tcMar>
          </w:tcPr>
          <w:p>
            <w:pPr>
              <w:spacing w:before="0" w:after="0" w:line="271" w:lineRule="auto"/>
            </w:pPr>
            <w:r>
              <w:rPr>
                <w:rFonts w:ascii="Calibri" w:hAnsi="Calibri"/>
                <w:color w:val="162236"/>
                <w:sz w:val="16"/>
              </w:rPr>
              <w:t>Rewrite / merge / retire</w:t>
            </w:r>
          </w:p>
        </w:tc>
        <w:tc>
          <w:tcPr>
            <w:tcW w:type="dxa" w:w="2110"/>
            <w:vAlign w:val="center"/>
            <w:tcMar>
              <w:top w:w="80" w:type="dxa"/>
              <w:start w:w="120" w:type="dxa"/>
              <w:bottom w:w="80" w:type="dxa"/>
              <w:end w:w="120" w:type="dxa"/>
            </w:tcMar>
          </w:tcPr>
          <w:p>
            <w:pPr>
              <w:spacing w:before="0" w:after="0" w:line="271" w:lineRule="auto"/>
            </w:pPr>
            <w:r>
              <w:rPr>
                <w:rFonts w:ascii="Calibri" w:hAnsi="Calibri"/>
                <w:color w:val="162236"/>
                <w:sz w:val="16"/>
              </w:rPr>
              <w:t>Remove mass-produced tone.</w:t>
            </w:r>
          </w:p>
        </w:tc>
      </w:tr>
    </w:tbl>
    <w:p>
      <w:pPr>
        <w:spacing w:after="60"/>
      </w:pPr>
    </w:p>
    <w:p>
      <w:pPr>
        <w:pStyle w:val="Heading2"/>
        <w:spacing w:before="280" w:after="140" w:line="252" w:lineRule="auto"/>
        <w:keepNext w:val="1"/>
        <w:pageBreakBefore w:val="0"/>
      </w:pPr>
      <w:r>
        <w:rPr>
          <w:rFonts w:ascii="Calibri" w:hAnsi="Calibri"/>
          <w:b/>
          <w:color w:val="2E74B5"/>
          <w:sz w:val="26"/>
        </w:rPr>
        <w:t>Migration controls</w:t>
      </w:r>
    </w:p>
    <w:p>
      <w:pPr>
        <w:pStyle w:val="ListBullet"/>
        <w:keepLines/>
        <w:spacing w:before="0" w:after="80" w:line="300" w:lineRule="auto"/>
      </w:pPr>
      <w:r>
        <w:rPr>
          <w:rFonts w:ascii="Calibri" w:hAnsi="Calibri"/>
          <w:color w:val="162236"/>
          <w:sz w:val="22"/>
        </w:rPr>
        <w:t>Export the current URL list, backlinks, organic landing pages, titles, canonicals and index status before changing routes.</w:t>
      </w:r>
    </w:p>
    <w:p>
      <w:pPr>
        <w:pStyle w:val="ListBullet"/>
        <w:keepLines/>
        <w:spacing w:before="0" w:after="80" w:line="300" w:lineRule="auto"/>
      </w:pPr>
      <w:r>
        <w:rPr>
          <w:rFonts w:ascii="Calibri" w:hAnsi="Calibri"/>
          <w:color w:val="162236"/>
          <w:sz w:val="22"/>
        </w:rPr>
        <w:t>Map every valuable URL to the closest relevant new page.</w:t>
      </w:r>
    </w:p>
    <w:p>
      <w:pPr>
        <w:pStyle w:val="ListBullet"/>
        <w:keepLines/>
        <w:spacing w:before="0" w:after="80" w:line="300" w:lineRule="auto"/>
      </w:pPr>
      <w:r>
        <w:rPr>
          <w:rFonts w:ascii="Calibri" w:hAnsi="Calibri"/>
          <w:color w:val="162236"/>
          <w:sz w:val="22"/>
        </w:rPr>
        <w:t>Preserve the live site and live CRM form until the replacement route has passed staging and dummy-record testing.</w:t>
      </w:r>
    </w:p>
    <w:p>
      <w:pPr>
        <w:pStyle w:val="ListBullet"/>
        <w:keepLines/>
        <w:spacing w:before="0" w:after="80" w:line="300" w:lineRule="auto"/>
      </w:pPr>
      <w:r>
        <w:rPr>
          <w:rFonts w:ascii="Calibri" w:hAnsi="Calibri"/>
          <w:color w:val="162236"/>
          <w:sz w:val="22"/>
        </w:rPr>
        <w:t>Launch 301 redirects with the new pages, then monitor 404s, index coverage, rankings and conversion events.</w:t>
      </w:r>
    </w:p>
    <w:p>
      <w:pPr>
        <w:pStyle w:val="ListBullet"/>
        <w:keepLines/>
        <w:spacing w:before="0" w:after="80" w:line="300" w:lineRule="auto"/>
      </w:pPr>
      <w:r>
        <w:rPr>
          <w:rFonts w:ascii="Calibri" w:hAnsi="Calibri"/>
          <w:color w:val="162236"/>
          <w:sz w:val="22"/>
        </w:rPr>
        <w:t>Do not bulk-change dates on old content merely to make it appear fresh.</w:t>
      </w:r>
    </w:p>
    <w:p>
      <w:pPr>
        <w:pStyle w:val="Heading1"/>
        <w:spacing w:before="360" w:after="200" w:line="252" w:lineRule="auto"/>
        <w:keepNext w:val="1"/>
        <w:pageBreakBefore w:val="1"/>
      </w:pPr>
      <w:r>
        <w:rPr>
          <w:rFonts w:ascii="Calibri" w:hAnsi="Calibri"/>
          <w:b/>
          <w:color w:val="2E74B5"/>
          <w:sz w:val="32"/>
        </w:rPr>
        <w:t>13. Measurement and governance</w:t>
      </w:r>
    </w:p>
    <w:p>
      <w:pPr>
        <w:pStyle w:val="Heading2"/>
        <w:spacing w:before="280" w:after="140" w:line="252" w:lineRule="auto"/>
        <w:keepNext w:val="1"/>
        <w:pageBreakBefore w:val="0"/>
      </w:pPr>
      <w:r>
        <w:rPr>
          <w:rFonts w:ascii="Calibri" w:hAnsi="Calibri"/>
          <w:b/>
          <w:color w:val="2E74B5"/>
          <w:sz w:val="26"/>
        </w:rPr>
        <w:t>What success should measure</w:t>
      </w:r>
    </w:p>
    <w:tbl>
      <w:tblPr>
        <w:tblStyle w:val="TableGrid"/>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300"/>
        <w:gridCol w:w="7060"/>
      </w:tblGrid>
      <w:tr>
        <w:trPr>
          <w:tblHeader w:val="true"/>
          <w:cantSplit/>
        </w:trPr>
        <w:tc>
          <w:tcPr>
            <w:tcW w:type="dxa" w:w="2300"/>
            <w:tcMar>
              <w:top w:w="80" w:type="dxa"/>
              <w:start w:w="120" w:type="dxa"/>
              <w:bottom w:w="80" w:type="dxa"/>
              <w:end w:w="120" w:type="dxa"/>
            </w:tcMar>
            <w:vAlign w:val="center"/>
            <w:shd w:fill="E8EEF5"/>
          </w:tcPr>
          <w:p>
            <w:pPr>
              <w:spacing w:before="0" w:after="0" w:line="264" w:lineRule="auto"/>
            </w:pPr>
            <w:r>
              <w:rPr>
                <w:rFonts w:ascii="Calibri" w:hAnsi="Calibri"/>
                <w:b/>
                <w:color w:val="162236"/>
                <w:sz w:val="18"/>
              </w:rPr>
              <w:t>Layer</w:t>
            </w:r>
          </w:p>
        </w:tc>
        <w:tc>
          <w:tcPr>
            <w:tcW w:type="dxa" w:w="7060"/>
            <w:tcMar>
              <w:top w:w="80" w:type="dxa"/>
              <w:start w:w="120" w:type="dxa"/>
              <w:bottom w:w="80" w:type="dxa"/>
              <w:end w:w="120" w:type="dxa"/>
            </w:tcMar>
            <w:vAlign w:val="center"/>
            <w:shd w:fill="E8EEF5"/>
          </w:tcPr>
          <w:p>
            <w:pPr>
              <w:spacing w:before="0" w:after="0" w:line="264" w:lineRule="auto"/>
            </w:pPr>
            <w:r>
              <w:rPr>
                <w:rFonts w:ascii="Calibri" w:hAnsi="Calibri"/>
                <w:b/>
                <w:color w:val="162236"/>
                <w:sz w:val="18"/>
              </w:rPr>
              <w:t>Measures</w:t>
            </w:r>
          </w:p>
        </w:tc>
      </w:tr>
      <w:tr>
        <w:trPr>
          <w:cantSplit/>
        </w:trPr>
        <w:tc>
          <w:tcPr>
            <w:tcW w:type="dxa" w:w="2300"/>
            <w:vAlign w:val="center"/>
            <w:tcMar>
              <w:top w:w="80" w:type="dxa"/>
              <w:start w:w="120" w:type="dxa"/>
              <w:bottom w:w="80" w:type="dxa"/>
              <w:end w:w="120" w:type="dxa"/>
            </w:tcMar>
          </w:tcPr>
          <w:p>
            <w:pPr>
              <w:spacing w:before="0" w:after="0" w:line="271" w:lineRule="auto"/>
            </w:pPr>
            <w:r>
              <w:rPr>
                <w:rFonts w:ascii="Calibri" w:hAnsi="Calibri"/>
                <w:color w:val="162236"/>
                <w:sz w:val="18"/>
              </w:rPr>
              <w:t>Audience quality</w:t>
            </w:r>
          </w:p>
        </w:tc>
        <w:tc>
          <w:tcPr>
            <w:tcW w:type="dxa" w:w="7060"/>
            <w:vAlign w:val="center"/>
            <w:tcMar>
              <w:top w:w="80" w:type="dxa"/>
              <w:start w:w="120" w:type="dxa"/>
              <w:bottom w:w="80" w:type="dxa"/>
              <w:end w:w="120" w:type="dxa"/>
            </w:tcMar>
          </w:tcPr>
          <w:p>
            <w:pPr>
              <w:spacing w:before="0" w:after="0" w:line="271" w:lineRule="auto"/>
            </w:pPr>
            <w:r>
              <w:rPr>
                <w:rFonts w:ascii="Calibri" w:hAnsi="Calibri"/>
                <w:color w:val="162236"/>
                <w:sz w:val="18"/>
              </w:rPr>
              <w:t>Dental-professional traffic · India / global split · returning practice users</w:t>
            </w:r>
          </w:p>
        </w:tc>
      </w:tr>
      <w:tr>
        <w:trPr>
          <w:cantSplit/>
        </w:trPr>
        <w:tc>
          <w:tcPr>
            <w:tcW w:type="dxa" w:w="2300"/>
            <w:vAlign w:val="center"/>
            <w:tcMar>
              <w:top w:w="80" w:type="dxa"/>
              <w:start w:w="120" w:type="dxa"/>
              <w:bottom w:w="80" w:type="dxa"/>
              <w:end w:w="120" w:type="dxa"/>
            </w:tcMar>
          </w:tcPr>
          <w:p>
            <w:pPr>
              <w:spacing w:before="0" w:after="0" w:line="271" w:lineRule="auto"/>
            </w:pPr>
            <w:r>
              <w:rPr>
                <w:rFonts w:ascii="Calibri" w:hAnsi="Calibri"/>
                <w:color w:val="162236"/>
                <w:sz w:val="18"/>
              </w:rPr>
              <w:t>Commercial intent</w:t>
            </w:r>
          </w:p>
        </w:tc>
        <w:tc>
          <w:tcPr>
            <w:tcW w:type="dxa" w:w="7060"/>
            <w:vAlign w:val="center"/>
            <w:tcMar>
              <w:top w:w="80" w:type="dxa"/>
              <w:start w:w="120" w:type="dxa"/>
              <w:bottom w:w="80" w:type="dxa"/>
              <w:end w:w="120" w:type="dxa"/>
            </w:tcMar>
          </w:tcPr>
          <w:p>
            <w:pPr>
              <w:spacing w:before="0" w:after="0" w:line="271" w:lineRule="auto"/>
            </w:pPr>
            <w:r>
              <w:rPr>
                <w:rFonts w:ascii="Calibri" w:hAnsi="Calibri"/>
                <w:color w:val="162236"/>
                <w:sz w:val="18"/>
              </w:rPr>
              <w:t>Start a Case clicks · Discuss a Case submissions · portal registrations</w:t>
            </w:r>
          </w:p>
        </w:tc>
      </w:tr>
      <w:tr>
        <w:trPr>
          <w:cantSplit/>
        </w:trPr>
        <w:tc>
          <w:tcPr>
            <w:tcW w:type="dxa" w:w="2300"/>
            <w:vAlign w:val="center"/>
            <w:tcMar>
              <w:top w:w="80" w:type="dxa"/>
              <w:start w:w="120" w:type="dxa"/>
              <w:bottom w:w="80" w:type="dxa"/>
              <w:end w:w="120" w:type="dxa"/>
            </w:tcMar>
          </w:tcPr>
          <w:p>
            <w:pPr>
              <w:spacing w:before="0" w:after="0" w:line="271" w:lineRule="auto"/>
            </w:pPr>
            <w:r>
              <w:rPr>
                <w:rFonts w:ascii="Calibri" w:hAnsi="Calibri"/>
                <w:color w:val="162236"/>
                <w:sz w:val="18"/>
              </w:rPr>
              <w:t>Operational conversion</w:t>
            </w:r>
          </w:p>
        </w:tc>
        <w:tc>
          <w:tcPr>
            <w:tcW w:type="dxa" w:w="7060"/>
            <w:vAlign w:val="center"/>
            <w:tcMar>
              <w:top w:w="80" w:type="dxa"/>
              <w:start w:w="120" w:type="dxa"/>
              <w:bottom w:w="80" w:type="dxa"/>
              <w:end w:w="120" w:type="dxa"/>
            </w:tcMar>
          </w:tcPr>
          <w:p>
            <w:pPr>
              <w:spacing w:before="0" w:after="0" w:line="271" w:lineRule="auto"/>
            </w:pPr>
            <w:r>
              <w:rPr>
                <w:rFonts w:ascii="Calibri" w:hAnsi="Calibri"/>
                <w:color w:val="162236"/>
                <w:sz w:val="18"/>
              </w:rPr>
              <w:t>Registration-to-case rate · case submission completion · accepted quotations</w:t>
            </w:r>
          </w:p>
        </w:tc>
      </w:tr>
      <w:tr>
        <w:trPr>
          <w:cantSplit/>
        </w:trPr>
        <w:tc>
          <w:tcPr>
            <w:tcW w:type="dxa" w:w="2300"/>
            <w:vAlign w:val="center"/>
            <w:tcMar>
              <w:top w:w="80" w:type="dxa"/>
              <w:start w:w="120" w:type="dxa"/>
              <w:bottom w:w="80" w:type="dxa"/>
              <w:end w:w="120" w:type="dxa"/>
            </w:tcMar>
          </w:tcPr>
          <w:p>
            <w:pPr>
              <w:spacing w:before="0" w:after="0" w:line="271" w:lineRule="auto"/>
            </w:pPr>
            <w:r>
              <w:rPr>
                <w:rFonts w:ascii="Calibri" w:hAnsi="Calibri"/>
                <w:color w:val="162236"/>
                <w:sz w:val="18"/>
              </w:rPr>
              <w:t>Workflow quality</w:t>
            </w:r>
          </w:p>
        </w:tc>
        <w:tc>
          <w:tcPr>
            <w:tcW w:type="dxa" w:w="7060"/>
            <w:vAlign w:val="center"/>
            <w:tcMar>
              <w:top w:w="80" w:type="dxa"/>
              <w:start w:w="120" w:type="dxa"/>
              <w:bottom w:w="80" w:type="dxa"/>
              <w:end w:w="120" w:type="dxa"/>
            </w:tcMar>
          </w:tcPr>
          <w:p>
            <w:pPr>
              <w:spacing w:before="0" w:after="0" w:line="271" w:lineRule="auto"/>
            </w:pPr>
            <w:r>
              <w:rPr>
                <w:rFonts w:ascii="Calibri" w:hAnsi="Calibri"/>
                <w:color w:val="162236"/>
                <w:sz w:val="18"/>
              </w:rPr>
              <w:t>Missing-data rate · clarification cycles · plan review time · approval turnaround</w:t>
            </w:r>
          </w:p>
        </w:tc>
      </w:tr>
      <w:tr>
        <w:trPr>
          <w:cantSplit/>
        </w:trPr>
        <w:tc>
          <w:tcPr>
            <w:tcW w:type="dxa" w:w="2300"/>
            <w:vAlign w:val="center"/>
            <w:tcMar>
              <w:top w:w="80" w:type="dxa"/>
              <w:start w:w="120" w:type="dxa"/>
              <w:bottom w:w="80" w:type="dxa"/>
              <w:end w:w="120" w:type="dxa"/>
            </w:tcMar>
          </w:tcPr>
          <w:p>
            <w:pPr>
              <w:spacing w:before="0" w:after="0" w:line="271" w:lineRule="auto"/>
            </w:pPr>
            <w:r>
              <w:rPr>
                <w:rFonts w:ascii="Calibri" w:hAnsi="Calibri"/>
                <w:color w:val="162236"/>
                <w:sz w:val="18"/>
              </w:rPr>
              <w:t>SEO</w:t>
            </w:r>
          </w:p>
        </w:tc>
        <w:tc>
          <w:tcPr>
            <w:tcW w:type="dxa" w:w="7060"/>
            <w:vAlign w:val="center"/>
            <w:tcMar>
              <w:top w:w="80" w:type="dxa"/>
              <w:start w:w="120" w:type="dxa"/>
              <w:bottom w:w="80" w:type="dxa"/>
              <w:end w:w="120" w:type="dxa"/>
            </w:tcMar>
          </w:tcPr>
          <w:p>
            <w:pPr>
              <w:spacing w:before="0" w:after="0" w:line="271" w:lineRule="auto"/>
            </w:pPr>
            <w:r>
              <w:rPr>
                <w:rFonts w:ascii="Calibri" w:hAnsi="Calibri"/>
                <w:color w:val="162236"/>
                <w:sz w:val="18"/>
              </w:rPr>
              <w:t>Non-brand clicks · solution-page CTR · indexed pages · assisted case starts</w:t>
            </w:r>
          </w:p>
        </w:tc>
      </w:tr>
      <w:tr>
        <w:trPr>
          <w:cantSplit/>
        </w:trPr>
        <w:tc>
          <w:tcPr>
            <w:tcW w:type="dxa" w:w="2300"/>
            <w:vAlign w:val="center"/>
            <w:tcMar>
              <w:top w:w="80" w:type="dxa"/>
              <w:start w:w="120" w:type="dxa"/>
              <w:bottom w:w="80" w:type="dxa"/>
              <w:end w:w="120" w:type="dxa"/>
            </w:tcMar>
          </w:tcPr>
          <w:p>
            <w:pPr>
              <w:spacing w:before="0" w:after="0" w:line="271" w:lineRule="auto"/>
            </w:pPr>
            <w:r>
              <w:rPr>
                <w:rFonts w:ascii="Calibri" w:hAnsi="Calibri"/>
                <w:color w:val="162236"/>
                <w:sz w:val="18"/>
              </w:rPr>
              <w:t>Trust</w:t>
            </w:r>
          </w:p>
        </w:tc>
        <w:tc>
          <w:tcPr>
            <w:tcW w:type="dxa" w:w="7060"/>
            <w:vAlign w:val="center"/>
            <w:tcMar>
              <w:top w:w="80" w:type="dxa"/>
              <w:start w:w="120" w:type="dxa"/>
              <w:bottom w:w="80" w:type="dxa"/>
              <w:end w:w="120" w:type="dxa"/>
            </w:tcMar>
          </w:tcPr>
          <w:p>
            <w:pPr>
              <w:spacing w:before="0" w:after="0" w:line="271" w:lineRule="auto"/>
            </w:pPr>
            <w:r>
              <w:rPr>
                <w:rFonts w:ascii="Calibri" w:hAnsi="Calibri"/>
                <w:color w:val="162236"/>
                <w:sz w:val="18"/>
              </w:rPr>
              <w:t>Case-evidence views · requirements downloads · evidence-to-case conversion</w:t>
            </w:r>
          </w:p>
        </w:tc>
      </w:tr>
    </w:tbl>
    <w:p>
      <w:pPr>
        <w:spacing w:after="60"/>
      </w:pPr>
    </w:p>
    <w:p>
      <w:pPr>
        <w:pStyle w:val="Heading2"/>
        <w:spacing w:before="280" w:after="140" w:line="252" w:lineRule="auto"/>
        <w:keepNext w:val="1"/>
        <w:pageBreakBefore w:val="0"/>
      </w:pPr>
      <w:r>
        <w:rPr>
          <w:rFonts w:ascii="Calibri" w:hAnsi="Calibri"/>
          <w:b/>
          <w:color w:val="2E74B5"/>
          <w:sz w:val="26"/>
        </w:rPr>
        <w:t>Content approval path</w:t>
      </w:r>
    </w:p>
    <w:p>
      <w:pPr>
        <w:keepLines/>
        <w:spacing w:before="0" w:after="100" w:line="300" w:lineRule="auto"/>
        <w:numPr>
          <w:ilvl w:val="0"/>
          <w:numId w:val="16"/>
        </w:numPr>
      </w:pPr>
      <w:r>
        <w:rPr>
          <w:rFonts w:ascii="Calibri" w:hAnsi="Calibri"/>
          <w:b/>
          <w:color w:val="162236"/>
          <w:sz w:val="22"/>
        </w:rPr>
        <w:t xml:space="preserve">Subject input. </w:t>
      </w:r>
      <w:r>
        <w:rPr>
          <w:rFonts w:ascii="Calibri" w:hAnsi="Calibri"/>
          <w:color w:val="162236"/>
          <w:sz w:val="22"/>
        </w:rPr>
        <w:t>Capture the real workflow from Sudeep Paul, the technical team or case coordinators.</w:t>
      </w:r>
    </w:p>
    <w:p>
      <w:pPr>
        <w:keepLines/>
        <w:spacing w:before="0" w:after="100" w:line="300" w:lineRule="auto"/>
        <w:numPr>
          <w:ilvl w:val="0"/>
          <w:numId w:val="16"/>
        </w:numPr>
      </w:pPr>
      <w:r>
        <w:rPr>
          <w:rFonts w:ascii="Calibri" w:hAnsi="Calibri"/>
          <w:b/>
          <w:color w:val="162236"/>
          <w:sz w:val="22"/>
        </w:rPr>
        <w:t xml:space="preserve">Draft. </w:t>
      </w:r>
      <w:r>
        <w:rPr>
          <w:rFonts w:ascii="Calibri" w:hAnsi="Calibri"/>
          <w:color w:val="162236"/>
          <w:sz w:val="22"/>
        </w:rPr>
        <w:t>Write the page in plain, dentist-centred language.</w:t>
      </w:r>
    </w:p>
    <w:p>
      <w:pPr>
        <w:keepLines/>
        <w:spacing w:before="0" w:after="100" w:line="300" w:lineRule="auto"/>
        <w:numPr>
          <w:ilvl w:val="0"/>
          <w:numId w:val="16"/>
        </w:numPr>
      </w:pPr>
      <w:r>
        <w:rPr>
          <w:rFonts w:ascii="Calibri" w:hAnsi="Calibri"/>
          <w:b/>
          <w:color w:val="162236"/>
          <w:sz w:val="22"/>
        </w:rPr>
        <w:t xml:space="preserve">Technical check. </w:t>
      </w:r>
      <w:r>
        <w:rPr>
          <w:rFonts w:ascii="Calibri" w:hAnsi="Calibri"/>
          <w:color w:val="162236"/>
          <w:sz w:val="22"/>
        </w:rPr>
        <w:t>Validate files, steps, scope, compatibility and deliverables.</w:t>
      </w:r>
    </w:p>
    <w:p>
      <w:pPr>
        <w:keepLines/>
        <w:spacing w:before="0" w:after="100" w:line="300" w:lineRule="auto"/>
        <w:numPr>
          <w:ilvl w:val="0"/>
          <w:numId w:val="16"/>
        </w:numPr>
      </w:pPr>
      <w:r>
        <w:rPr>
          <w:rFonts w:ascii="Calibri" w:hAnsi="Calibri"/>
          <w:b/>
          <w:color w:val="162236"/>
          <w:sz w:val="22"/>
        </w:rPr>
        <w:t xml:space="preserve">Clinical check. </w:t>
      </w:r>
      <w:r>
        <w:rPr>
          <w:rFonts w:ascii="Calibri" w:hAnsi="Calibri"/>
          <w:color w:val="162236"/>
          <w:sz w:val="22"/>
        </w:rPr>
        <w:t>Review clinical statements, limitations and responsibility language.</w:t>
      </w:r>
    </w:p>
    <w:p>
      <w:pPr>
        <w:keepLines/>
        <w:spacing w:before="0" w:after="100" w:line="300" w:lineRule="auto"/>
        <w:numPr>
          <w:ilvl w:val="0"/>
          <w:numId w:val="16"/>
        </w:numPr>
      </w:pPr>
      <w:r>
        <w:rPr>
          <w:rFonts w:ascii="Calibri" w:hAnsi="Calibri"/>
          <w:b/>
          <w:color w:val="162236"/>
          <w:sz w:val="22"/>
        </w:rPr>
        <w:t xml:space="preserve">Claim check. </w:t>
      </w:r>
      <w:r>
        <w:rPr>
          <w:rFonts w:ascii="Calibri" w:hAnsi="Calibri"/>
          <w:color w:val="162236"/>
          <w:sz w:val="22"/>
        </w:rPr>
        <w:t>Verify every number, partner, credential and turnaround statement.</w:t>
      </w:r>
    </w:p>
    <w:p>
      <w:pPr>
        <w:keepLines/>
        <w:spacing w:before="0" w:after="100" w:line="300" w:lineRule="auto"/>
        <w:numPr>
          <w:ilvl w:val="0"/>
          <w:numId w:val="16"/>
        </w:numPr>
      </w:pPr>
      <w:r>
        <w:rPr>
          <w:rFonts w:ascii="Calibri" w:hAnsi="Calibri"/>
          <w:b/>
          <w:color w:val="162236"/>
          <w:sz w:val="22"/>
        </w:rPr>
        <w:t xml:space="preserve">SEO check. </w:t>
      </w:r>
      <w:r>
        <w:rPr>
          <w:rFonts w:ascii="Calibri" w:hAnsi="Calibri"/>
          <w:color w:val="162236"/>
          <w:sz w:val="22"/>
        </w:rPr>
        <w:t>Confirm search intent, title, H1, internal links, image text and canonical route.</w:t>
      </w:r>
    </w:p>
    <w:p>
      <w:pPr>
        <w:keepLines/>
        <w:spacing w:before="0" w:after="100" w:line="300" w:lineRule="auto"/>
        <w:numPr>
          <w:ilvl w:val="0"/>
          <w:numId w:val="16"/>
        </w:numPr>
      </w:pPr>
      <w:r>
        <w:rPr>
          <w:rFonts w:ascii="Calibri" w:hAnsi="Calibri"/>
          <w:b/>
          <w:color w:val="162236"/>
          <w:sz w:val="22"/>
        </w:rPr>
        <w:t xml:space="preserve">Founder approval. </w:t>
      </w:r>
      <w:r>
        <w:rPr>
          <w:rFonts w:ascii="Calibri" w:hAnsi="Calibri"/>
          <w:color w:val="162236"/>
          <w:sz w:val="22"/>
        </w:rPr>
        <w:t>Approve public positioning and material claims before publication.</w:t>
      </w:r>
    </w:p>
    <w:p>
      <w:pPr>
        <w:pStyle w:val="Heading2"/>
        <w:spacing w:before="280" w:after="140" w:line="252" w:lineRule="auto"/>
        <w:keepNext w:val="1"/>
        <w:pageBreakBefore w:val="0"/>
      </w:pPr>
      <w:r>
        <w:rPr>
          <w:rFonts w:ascii="Calibri" w:hAnsi="Calibri"/>
          <w:b/>
          <w:color w:val="2E74B5"/>
          <w:sz w:val="26"/>
        </w:rPr>
        <w:t>Page review record</w:t>
      </w:r>
    </w:p>
    <w:p>
      <w:pPr>
        <w:pStyle w:val="ListBullet"/>
        <w:keepLines/>
        <w:spacing w:before="0" w:after="80" w:line="300" w:lineRule="auto"/>
      </w:pPr>
      <w:r>
        <w:rPr>
          <w:rFonts w:ascii="Calibri" w:hAnsi="Calibri"/>
          <w:color w:val="162236"/>
          <w:sz w:val="22"/>
        </w:rPr>
        <w:t>Page owner</w:t>
      </w:r>
    </w:p>
    <w:p>
      <w:pPr>
        <w:pStyle w:val="ListBullet"/>
        <w:keepLines/>
        <w:spacing w:before="0" w:after="80" w:line="300" w:lineRule="auto"/>
      </w:pPr>
      <w:r>
        <w:rPr>
          <w:rFonts w:ascii="Calibri" w:hAnsi="Calibri"/>
          <w:color w:val="162236"/>
          <w:sz w:val="22"/>
        </w:rPr>
        <w:t>Technical reviewer</w:t>
      </w:r>
    </w:p>
    <w:p>
      <w:pPr>
        <w:pStyle w:val="ListBullet"/>
        <w:keepLines/>
        <w:spacing w:before="0" w:after="80" w:line="300" w:lineRule="auto"/>
      </w:pPr>
      <w:r>
        <w:rPr>
          <w:rFonts w:ascii="Calibri" w:hAnsi="Calibri"/>
          <w:color w:val="162236"/>
          <w:sz w:val="22"/>
        </w:rPr>
        <w:t>Clinical reviewer where applicable</w:t>
      </w:r>
    </w:p>
    <w:p>
      <w:pPr>
        <w:pStyle w:val="ListBullet"/>
        <w:keepLines/>
        <w:spacing w:before="0" w:after="80" w:line="300" w:lineRule="auto"/>
      </w:pPr>
      <w:r>
        <w:rPr>
          <w:rFonts w:ascii="Calibri" w:hAnsi="Calibri"/>
          <w:color w:val="162236"/>
          <w:sz w:val="22"/>
        </w:rPr>
        <w:t>Claim source and as-of date</w:t>
      </w:r>
    </w:p>
    <w:p>
      <w:pPr>
        <w:pStyle w:val="ListBullet"/>
        <w:keepLines/>
        <w:spacing w:before="0" w:after="80" w:line="300" w:lineRule="auto"/>
      </w:pPr>
      <w:r>
        <w:rPr>
          <w:rFonts w:ascii="Calibri" w:hAnsi="Calibri"/>
          <w:color w:val="162236"/>
          <w:sz w:val="22"/>
        </w:rPr>
        <w:t>Last substantive review date</w:t>
      </w:r>
    </w:p>
    <w:p>
      <w:pPr>
        <w:pStyle w:val="ListBullet"/>
        <w:keepLines/>
        <w:spacing w:before="0" w:after="80" w:line="300" w:lineRule="auto"/>
      </w:pPr>
      <w:r>
        <w:rPr>
          <w:rFonts w:ascii="Calibri" w:hAnsi="Calibri"/>
          <w:color w:val="162236"/>
          <w:sz w:val="22"/>
        </w:rPr>
        <w:t>Next scheduled review</w:t>
      </w:r>
    </w:p>
    <w:p>
      <w:pPr>
        <w:pStyle w:val="Heading1"/>
        <w:spacing w:before="360" w:after="200" w:line="252" w:lineRule="auto"/>
        <w:keepNext w:val="1"/>
        <w:pageBreakBefore w:val="1"/>
      </w:pPr>
      <w:r>
        <w:rPr>
          <w:rFonts w:ascii="Calibri" w:hAnsi="Calibri"/>
          <w:b/>
          <w:color w:val="2E74B5"/>
          <w:sz w:val="32"/>
        </w:rPr>
        <w:t>14. Implementation sequence</w:t>
      </w:r>
    </w:p>
    <w:p>
      <w:pPr>
        <w:pStyle w:val="Heading2"/>
        <w:spacing w:before="280" w:after="140" w:line="252" w:lineRule="auto"/>
        <w:keepNext w:val="1"/>
        <w:pageBreakBefore w:val="0"/>
      </w:pPr>
      <w:r>
        <w:rPr>
          <w:rFonts w:ascii="Calibri" w:hAnsi="Calibri"/>
          <w:b/>
          <w:color w:val="2E74B5"/>
          <w:sz w:val="26"/>
        </w:rPr>
        <w:t>Release 1 — establish the service journey</w:t>
      </w:r>
    </w:p>
    <w:p>
      <w:pPr>
        <w:pStyle w:val="ListBullet"/>
        <w:keepLines/>
        <w:spacing w:before="0" w:after="80" w:line="300" w:lineRule="auto"/>
      </w:pPr>
      <w:r>
        <w:rPr>
          <w:rFonts w:ascii="Calibri" w:hAnsi="Calibri"/>
          <w:color w:val="162236"/>
          <w:sz w:val="22"/>
        </w:rPr>
        <w:t>Home</w:t>
      </w:r>
    </w:p>
    <w:p>
      <w:pPr>
        <w:pStyle w:val="ListBullet"/>
        <w:keepLines/>
        <w:spacing w:before="0" w:after="80" w:line="300" w:lineRule="auto"/>
      </w:pPr>
      <w:r>
        <w:rPr>
          <w:rFonts w:ascii="Calibri" w:hAnsi="Calibri"/>
          <w:color w:val="162236"/>
          <w:sz w:val="22"/>
        </w:rPr>
        <w:t>Clinical Workflow Solutions</w:t>
      </w:r>
    </w:p>
    <w:p>
      <w:pPr>
        <w:pStyle w:val="ListBullet"/>
        <w:keepLines/>
        <w:spacing w:before="0" w:after="80" w:line="300" w:lineRule="auto"/>
      </w:pPr>
      <w:r>
        <w:rPr>
          <w:rFonts w:ascii="Calibri" w:hAnsi="Calibri"/>
          <w:color w:val="162236"/>
          <w:sz w:val="22"/>
        </w:rPr>
        <w:t>Guided Implant Workflow</w:t>
      </w:r>
    </w:p>
    <w:p>
      <w:pPr>
        <w:pStyle w:val="ListBullet"/>
        <w:keepLines/>
        <w:spacing w:before="0" w:after="80" w:line="300" w:lineRule="auto"/>
      </w:pPr>
      <w:r>
        <w:rPr>
          <w:rFonts w:ascii="Calibri" w:hAnsi="Calibri"/>
          <w:color w:val="162236"/>
          <w:sz w:val="22"/>
        </w:rPr>
        <w:t>Full-Arch Stackable Workflow</w:t>
      </w:r>
    </w:p>
    <w:p>
      <w:pPr>
        <w:pStyle w:val="ListBullet"/>
        <w:keepLines/>
        <w:spacing w:before="0" w:after="80" w:line="300" w:lineRule="auto"/>
      </w:pPr>
      <w:r>
        <w:rPr>
          <w:rFonts w:ascii="Calibri" w:hAnsi="Calibri"/>
          <w:color w:val="162236"/>
          <w:sz w:val="22"/>
        </w:rPr>
        <w:t>Zygoma &amp; Pterygoid Planning</w:t>
      </w:r>
    </w:p>
    <w:p>
      <w:pPr>
        <w:pStyle w:val="ListBullet"/>
        <w:keepLines/>
        <w:spacing w:before="0" w:after="80" w:line="300" w:lineRule="auto"/>
      </w:pPr>
      <w:r>
        <w:rPr>
          <w:rFonts w:ascii="Calibri" w:hAnsi="Calibri"/>
          <w:color w:val="162236"/>
          <w:sz w:val="22"/>
        </w:rPr>
        <w:t>How It Works</w:t>
      </w:r>
    </w:p>
    <w:p>
      <w:pPr>
        <w:pStyle w:val="ListBullet"/>
        <w:keepLines/>
        <w:spacing w:before="0" w:after="80" w:line="300" w:lineRule="auto"/>
      </w:pPr>
      <w:r>
        <w:rPr>
          <w:rFonts w:ascii="Calibri" w:hAnsi="Calibri"/>
          <w:color w:val="162236"/>
          <w:sz w:val="22"/>
        </w:rPr>
        <w:t>Case Requirements</w:t>
      </w:r>
    </w:p>
    <w:p>
      <w:pPr>
        <w:pStyle w:val="ListBullet"/>
        <w:keepLines/>
        <w:spacing w:before="0" w:after="80" w:line="300" w:lineRule="auto"/>
      </w:pPr>
      <w:r>
        <w:rPr>
          <w:rFonts w:ascii="Calibri" w:hAnsi="Calibri"/>
          <w:color w:val="162236"/>
          <w:sz w:val="22"/>
        </w:rPr>
        <w:t>About</w:t>
      </w:r>
    </w:p>
    <w:p>
      <w:pPr>
        <w:pStyle w:val="ListBullet"/>
        <w:keepLines/>
        <w:spacing w:before="0" w:after="80" w:line="300" w:lineRule="auto"/>
      </w:pPr>
      <w:r>
        <w:rPr>
          <w:rFonts w:ascii="Calibri" w:hAnsi="Calibri"/>
          <w:color w:val="162236"/>
          <w:sz w:val="22"/>
        </w:rPr>
        <w:t>Discuss a Complex Case</w:t>
      </w:r>
    </w:p>
    <w:p>
      <w:pPr>
        <w:pStyle w:val="ListBullet"/>
        <w:keepLines/>
        <w:spacing w:before="0" w:after="80" w:line="300" w:lineRule="auto"/>
      </w:pPr>
      <w:r>
        <w:rPr>
          <w:rFonts w:ascii="Calibri" w:hAnsi="Calibri"/>
          <w:color w:val="162236"/>
          <w:sz w:val="22"/>
        </w:rPr>
        <w:t>Case Portal Gateway</w:t>
      </w:r>
    </w:p>
    <w:p>
      <w:pPr>
        <w:pStyle w:val="ListBullet"/>
        <w:keepLines/>
        <w:spacing w:before="0" w:after="80" w:line="300" w:lineRule="auto"/>
      </w:pPr>
      <w:r>
        <w:rPr>
          <w:rFonts w:ascii="Calibri" w:hAnsi="Calibri"/>
          <w:color w:val="162236"/>
          <w:sz w:val="22"/>
        </w:rPr>
        <w:t>Privacy and Terms</w:t>
      </w:r>
    </w:p>
    <w:p>
      <w:pPr>
        <w:spacing w:before="0" w:after="120" w:line="300" w:lineRule="auto"/>
        <w:jc w:val="left"/>
      </w:pPr>
      <w:r>
        <w:rPr>
          <w:rFonts w:ascii="Calibri" w:hAnsi="Calibri"/>
          <w:i/>
          <w:color w:val="5F6B7A"/>
          <w:sz w:val="22"/>
        </w:rPr>
        <w:t>Release 1 must connect to tested portal and CRM paths without replacing the current live form before approval.</w:t>
      </w:r>
    </w:p>
    <w:p>
      <w:pPr>
        <w:pStyle w:val="Heading2"/>
        <w:spacing w:before="280" w:after="140" w:line="252" w:lineRule="auto"/>
        <w:keepNext w:val="1"/>
        <w:pageBreakBefore w:val="0"/>
      </w:pPr>
      <w:r>
        <w:rPr>
          <w:rFonts w:ascii="Calibri" w:hAnsi="Calibri"/>
          <w:b/>
          <w:color w:val="2E74B5"/>
          <w:sz w:val="26"/>
        </w:rPr>
        <w:t>Release 2 — deepen commercial fit</w:t>
      </w:r>
    </w:p>
    <w:p>
      <w:pPr>
        <w:pStyle w:val="ListBullet"/>
        <w:keepLines/>
        <w:spacing w:before="0" w:after="80" w:line="300" w:lineRule="auto"/>
      </w:pPr>
      <w:r>
        <w:rPr>
          <w:rFonts w:ascii="Calibri" w:hAnsi="Calibri"/>
          <w:color w:val="162236"/>
          <w:sz w:val="22"/>
        </w:rPr>
        <w:t>Immediate-Loading Prosthetic Workflow</w:t>
      </w:r>
    </w:p>
    <w:p>
      <w:pPr>
        <w:pStyle w:val="ListBullet"/>
        <w:keepLines/>
        <w:spacing w:before="0" w:after="80" w:line="300" w:lineRule="auto"/>
      </w:pPr>
      <w:r>
        <w:rPr>
          <w:rFonts w:ascii="Calibri" w:hAnsi="Calibri"/>
          <w:color w:val="162236"/>
          <w:sz w:val="22"/>
        </w:rPr>
        <w:t>Case Data &amp; Diagnostic Preparation</w:t>
      </w:r>
    </w:p>
    <w:p>
      <w:pPr>
        <w:pStyle w:val="ListBullet"/>
        <w:keepLines/>
        <w:spacing w:before="0" w:after="80" w:line="300" w:lineRule="auto"/>
      </w:pPr>
      <w:r>
        <w:rPr>
          <w:rFonts w:ascii="Calibri" w:hAnsi="Calibri"/>
          <w:color w:val="162236"/>
          <w:sz w:val="22"/>
        </w:rPr>
        <w:t>Design-Only Workflow</w:t>
      </w:r>
    </w:p>
    <w:p>
      <w:pPr>
        <w:pStyle w:val="ListBullet"/>
        <w:keepLines/>
        <w:spacing w:before="0" w:after="80" w:line="300" w:lineRule="auto"/>
      </w:pPr>
      <w:r>
        <w:rPr>
          <w:rFonts w:ascii="Calibri" w:hAnsi="Calibri"/>
          <w:color w:val="162236"/>
          <w:sz w:val="22"/>
        </w:rPr>
        <w:t>Design-to-Delivery Workflow</w:t>
      </w:r>
    </w:p>
    <w:p>
      <w:pPr>
        <w:pStyle w:val="ListBullet"/>
        <w:keepLines/>
        <w:spacing w:before="0" w:after="80" w:line="300" w:lineRule="auto"/>
      </w:pPr>
      <w:r>
        <w:rPr>
          <w:rFonts w:ascii="Calibri" w:hAnsi="Calibri"/>
          <w:color w:val="162236"/>
          <w:sz w:val="22"/>
        </w:rPr>
        <w:t>White-Label Workflow Partnership</w:t>
      </w:r>
    </w:p>
    <w:p>
      <w:pPr>
        <w:pStyle w:val="ListBullet"/>
        <w:keepLines/>
        <w:spacing w:before="0" w:after="80" w:line="300" w:lineRule="auto"/>
      </w:pPr>
      <w:r>
        <w:rPr>
          <w:rFonts w:ascii="Calibri" w:hAnsi="Calibri"/>
          <w:color w:val="162236"/>
          <w:sz w:val="22"/>
        </w:rPr>
        <w:t>Expanded Digital Dentistry Solutions</w:t>
      </w:r>
    </w:p>
    <w:p>
      <w:pPr>
        <w:pStyle w:val="ListBullet"/>
        <w:keepLines/>
        <w:spacing w:before="0" w:after="80" w:line="300" w:lineRule="auto"/>
      </w:pPr>
      <w:r>
        <w:rPr>
          <w:rFonts w:ascii="Calibri" w:hAnsi="Calibri"/>
          <w:color w:val="162236"/>
          <w:sz w:val="22"/>
        </w:rPr>
        <w:t>Case Evidence</w:t>
      </w:r>
    </w:p>
    <w:p>
      <w:pPr>
        <w:pStyle w:val="Heading2"/>
        <w:spacing w:before="280" w:after="140" w:line="252" w:lineRule="auto"/>
        <w:keepNext w:val="1"/>
        <w:pageBreakBefore w:val="0"/>
      </w:pPr>
      <w:r>
        <w:rPr>
          <w:rFonts w:ascii="Calibri" w:hAnsi="Calibri"/>
          <w:b/>
          <w:color w:val="2E74B5"/>
          <w:sz w:val="26"/>
        </w:rPr>
        <w:t>Release 3 — consolidate search equity</w:t>
      </w:r>
    </w:p>
    <w:p>
      <w:pPr>
        <w:pStyle w:val="ListBullet"/>
        <w:keepLines/>
        <w:spacing w:before="0" w:after="80" w:line="300" w:lineRule="auto"/>
      </w:pPr>
      <w:r>
        <w:rPr>
          <w:rFonts w:ascii="Calibri" w:hAnsi="Calibri"/>
          <w:color w:val="162236"/>
          <w:sz w:val="22"/>
        </w:rPr>
        <w:t>Audit and redirect legacy service, workshop, training, FAQ, gallery and blog URLs.</w:t>
      </w:r>
    </w:p>
    <w:p>
      <w:pPr>
        <w:pStyle w:val="ListBullet"/>
        <w:keepLines/>
        <w:spacing w:before="0" w:after="80" w:line="300" w:lineRule="auto"/>
      </w:pPr>
      <w:r>
        <w:rPr>
          <w:rFonts w:ascii="Calibri" w:hAnsi="Calibri"/>
          <w:color w:val="162236"/>
          <w:sz w:val="22"/>
        </w:rPr>
        <w:t>Publish the first four reviewed Workflow Notes.</w:t>
      </w:r>
    </w:p>
    <w:p>
      <w:pPr>
        <w:pStyle w:val="ListBullet"/>
        <w:keepLines/>
        <w:spacing w:before="0" w:after="80" w:line="300" w:lineRule="auto"/>
      </w:pPr>
      <w:r>
        <w:rPr>
          <w:rFonts w:ascii="Calibri" w:hAnsi="Calibri"/>
          <w:color w:val="162236"/>
          <w:sz w:val="22"/>
        </w:rPr>
        <w:t>Add verified proof metrics and permitted partner evidence.</w:t>
      </w:r>
    </w:p>
    <w:p>
      <w:pPr>
        <w:pStyle w:val="ListBullet"/>
        <w:keepLines/>
        <w:spacing w:before="0" w:after="80" w:line="300" w:lineRule="auto"/>
      </w:pPr>
      <w:r>
        <w:rPr>
          <w:rFonts w:ascii="Calibri" w:hAnsi="Calibri"/>
          <w:color w:val="162236"/>
          <w:sz w:val="22"/>
        </w:rPr>
        <w:t>Monitor search, portal conversion and missing-data patterns; improve pages from real behaviour.</w:t>
      </w:r>
    </w:p>
    <w:p>
      <w:pPr>
        <w:pStyle w:val="Heading2"/>
        <w:spacing w:before="280" w:after="140" w:line="252" w:lineRule="auto"/>
        <w:keepNext w:val="1"/>
        <w:pageBreakBefore w:val="0"/>
      </w:pPr>
      <w:r>
        <w:rPr>
          <w:rFonts w:ascii="Calibri" w:hAnsi="Calibri"/>
          <w:b/>
          <w:color w:val="2E74B5"/>
          <w:sz w:val="26"/>
        </w:rPr>
        <w:t>Decision gates before copywriting begins</w:t>
      </w:r>
    </w:p>
    <w:tbl>
      <w:tblPr>
        <w:tblStyle w:val="TableGrid"/>
        <w:tblW w:type="dxa" w:w="9360"/>
        <w:tblLayout w:type="fixed"/>
        <w:tblLook w:firstColumn="1" w:firstRow="1" w:lastColumn="0" w:lastRow="0" w:noHBand="0" w:noVBand="1" w:val="04A0"/>
        <w:jc w:val="left"/>
        <w:tblInd w:w="120" w:type="dxa"/>
        <w:tblBorders>
          <w:top w:val="single" w:sz="4" w:space="0" w:color="D9E0E8"/>
          <w:left w:val="single" w:sz="4" w:space="0" w:color="D9E0E8"/>
          <w:bottom w:val="single" w:sz="4" w:space="0" w:color="D9E0E8"/>
          <w:right w:val="single" w:sz="4" w:space="0" w:color="D9E0E8"/>
          <w:insideH w:val="single" w:sz="4" w:space="0" w:color="D9E0E8"/>
          <w:insideV w:val="single" w:sz="4" w:space="0" w:color="D9E0E8"/>
        </w:tblBorders>
      </w:tblPr>
      <w:tblGrid>
        <w:gridCol w:w="2850"/>
        <w:gridCol w:w="4310"/>
        <w:gridCol w:w="2200"/>
      </w:tblGrid>
      <w:tr>
        <w:trPr>
          <w:tblHeader w:val="true"/>
          <w:cantSplit/>
        </w:trPr>
        <w:tc>
          <w:tcPr>
            <w:tcW w:type="dxa" w:w="2850"/>
            <w:tcMar>
              <w:top w:w="80" w:type="dxa"/>
              <w:start w:w="120" w:type="dxa"/>
              <w:bottom w:w="80" w:type="dxa"/>
              <w:end w:w="120" w:type="dxa"/>
            </w:tcMar>
            <w:vAlign w:val="center"/>
            <w:shd w:fill="E8EEF5"/>
          </w:tcPr>
          <w:p>
            <w:pPr>
              <w:spacing w:before="0" w:after="0" w:line="264" w:lineRule="auto"/>
            </w:pPr>
            <w:r>
              <w:rPr>
                <w:rFonts w:ascii="Calibri" w:hAnsi="Calibri"/>
                <w:b/>
                <w:color w:val="162236"/>
                <w:sz w:val="17"/>
              </w:rPr>
              <w:t>Decision</w:t>
            </w:r>
          </w:p>
        </w:tc>
        <w:tc>
          <w:tcPr>
            <w:tcW w:type="dxa" w:w="4310"/>
            <w:tcMar>
              <w:top w:w="80" w:type="dxa"/>
              <w:start w:w="120" w:type="dxa"/>
              <w:bottom w:w="80" w:type="dxa"/>
              <w:end w:w="120" w:type="dxa"/>
            </w:tcMar>
            <w:vAlign w:val="center"/>
            <w:shd w:fill="E8EEF5"/>
          </w:tcPr>
          <w:p>
            <w:pPr>
              <w:spacing w:before="0" w:after="0" w:line="264" w:lineRule="auto"/>
            </w:pPr>
            <w:r>
              <w:rPr>
                <w:rFonts w:ascii="Calibri" w:hAnsi="Calibri"/>
                <w:b/>
                <w:color w:val="162236"/>
                <w:sz w:val="17"/>
              </w:rPr>
              <w:t>Why it matters</w:t>
            </w:r>
          </w:p>
        </w:tc>
        <w:tc>
          <w:tcPr>
            <w:tcW w:type="dxa" w:w="2200"/>
            <w:tcMar>
              <w:top w:w="80" w:type="dxa"/>
              <w:start w:w="120" w:type="dxa"/>
              <w:bottom w:w="80" w:type="dxa"/>
              <w:end w:w="120" w:type="dxa"/>
            </w:tcMar>
            <w:vAlign w:val="center"/>
            <w:shd w:fill="E8EEF5"/>
          </w:tcPr>
          <w:p>
            <w:pPr>
              <w:spacing w:before="0" w:after="0" w:line="264" w:lineRule="auto"/>
            </w:pPr>
            <w:r>
              <w:rPr>
                <w:rFonts w:ascii="Calibri" w:hAnsi="Calibri"/>
                <w:b/>
                <w:color w:val="162236"/>
                <w:sz w:val="17"/>
              </w:rPr>
              <w:t>Owner</w:t>
            </w:r>
          </w:p>
        </w:tc>
      </w:tr>
      <w:tr>
        <w:trPr>
          <w:cantSplit/>
        </w:trPr>
        <w:tc>
          <w:tcPr>
            <w:tcW w:type="dxa" w:w="2850"/>
            <w:vAlign w:val="center"/>
            <w:tcMar>
              <w:top w:w="80" w:type="dxa"/>
              <w:start w:w="120" w:type="dxa"/>
              <w:bottom w:w="80" w:type="dxa"/>
              <w:end w:w="120" w:type="dxa"/>
            </w:tcMar>
          </w:tcPr>
          <w:p>
            <w:pPr>
              <w:spacing w:before="0" w:after="0" w:line="271" w:lineRule="auto"/>
            </w:pPr>
            <w:r>
              <w:rPr>
                <w:rFonts w:ascii="Calibri" w:hAnsi="Calibri"/>
                <w:color w:val="162236"/>
                <w:sz w:val="17"/>
              </w:rPr>
              <w:t>Final public URL structure</w:t>
            </w:r>
          </w:p>
        </w:tc>
        <w:tc>
          <w:tcPr>
            <w:tcW w:type="dxa" w:w="4310"/>
            <w:vAlign w:val="center"/>
            <w:tcMar>
              <w:top w:w="80" w:type="dxa"/>
              <w:start w:w="120" w:type="dxa"/>
              <w:bottom w:w="80" w:type="dxa"/>
              <w:end w:w="120" w:type="dxa"/>
            </w:tcMar>
          </w:tcPr>
          <w:p>
            <w:pPr>
              <w:spacing w:before="0" w:after="0" w:line="271" w:lineRule="auto"/>
            </w:pPr>
            <w:r>
              <w:rPr>
                <w:rFonts w:ascii="Calibri" w:hAnsi="Calibri"/>
                <w:color w:val="162236"/>
                <w:sz w:val="17"/>
              </w:rPr>
              <w:t>Prevents copy and redirects being built twice.</w:t>
            </w:r>
          </w:p>
        </w:tc>
        <w:tc>
          <w:tcPr>
            <w:tcW w:type="dxa" w:w="2200"/>
            <w:vAlign w:val="center"/>
            <w:tcMar>
              <w:top w:w="80" w:type="dxa"/>
              <w:start w:w="120" w:type="dxa"/>
              <w:bottom w:w="80" w:type="dxa"/>
              <w:end w:w="120" w:type="dxa"/>
            </w:tcMar>
          </w:tcPr>
          <w:p>
            <w:pPr>
              <w:spacing w:before="0" w:after="0" w:line="271" w:lineRule="auto"/>
            </w:pPr>
            <w:r>
              <w:rPr>
                <w:rFonts w:ascii="Calibri" w:hAnsi="Calibri"/>
                <w:color w:val="162236"/>
                <w:sz w:val="17"/>
              </w:rPr>
              <w:t>Founder + web lead</w:t>
            </w:r>
          </w:p>
        </w:tc>
      </w:tr>
      <w:tr>
        <w:trPr>
          <w:cantSplit/>
        </w:trPr>
        <w:tc>
          <w:tcPr>
            <w:tcW w:type="dxa" w:w="2850"/>
            <w:vAlign w:val="center"/>
            <w:tcMar>
              <w:top w:w="80" w:type="dxa"/>
              <w:start w:w="120" w:type="dxa"/>
              <w:bottom w:w="80" w:type="dxa"/>
              <w:end w:w="120" w:type="dxa"/>
            </w:tcMar>
          </w:tcPr>
          <w:p>
            <w:pPr>
              <w:spacing w:before="0" w:after="0" w:line="271" w:lineRule="auto"/>
            </w:pPr>
            <w:r>
              <w:rPr>
                <w:rFonts w:ascii="Calibri" w:hAnsi="Calibri"/>
                <w:color w:val="162236"/>
                <w:sz w:val="17"/>
              </w:rPr>
              <w:t>Portal production URL and login flow</w:t>
            </w:r>
          </w:p>
        </w:tc>
        <w:tc>
          <w:tcPr>
            <w:tcW w:type="dxa" w:w="4310"/>
            <w:vAlign w:val="center"/>
            <w:tcMar>
              <w:top w:w="80" w:type="dxa"/>
              <w:start w:w="120" w:type="dxa"/>
              <w:bottom w:w="80" w:type="dxa"/>
              <w:end w:w="120" w:type="dxa"/>
            </w:tcMar>
          </w:tcPr>
          <w:p>
            <w:pPr>
              <w:spacing w:before="0" w:after="0" w:line="271" w:lineRule="auto"/>
            </w:pPr>
            <w:r>
              <w:rPr>
                <w:rFonts w:ascii="Calibri" w:hAnsi="Calibri"/>
                <w:color w:val="162236"/>
                <w:sz w:val="17"/>
              </w:rPr>
              <w:t>Makes Start a Case and Portal Login accurate.</w:t>
            </w:r>
          </w:p>
        </w:tc>
        <w:tc>
          <w:tcPr>
            <w:tcW w:type="dxa" w:w="2200"/>
            <w:vAlign w:val="center"/>
            <w:tcMar>
              <w:top w:w="80" w:type="dxa"/>
              <w:start w:w="120" w:type="dxa"/>
              <w:bottom w:w="80" w:type="dxa"/>
              <w:end w:w="120" w:type="dxa"/>
            </w:tcMar>
          </w:tcPr>
          <w:p>
            <w:pPr>
              <w:spacing w:before="0" w:after="0" w:line="271" w:lineRule="auto"/>
            </w:pPr>
            <w:r>
              <w:rPr>
                <w:rFonts w:ascii="Calibri" w:hAnsi="Calibri"/>
                <w:color w:val="162236"/>
                <w:sz w:val="17"/>
              </w:rPr>
              <w:t>Portal lead</w:t>
            </w:r>
          </w:p>
        </w:tc>
      </w:tr>
      <w:tr>
        <w:trPr>
          <w:cantSplit/>
        </w:trPr>
        <w:tc>
          <w:tcPr>
            <w:tcW w:type="dxa" w:w="2850"/>
            <w:vAlign w:val="center"/>
            <w:tcMar>
              <w:top w:w="80" w:type="dxa"/>
              <w:start w:w="120" w:type="dxa"/>
              <w:bottom w:w="80" w:type="dxa"/>
              <w:end w:w="120" w:type="dxa"/>
            </w:tcMar>
          </w:tcPr>
          <w:p>
            <w:pPr>
              <w:spacing w:before="0" w:after="0" w:line="271" w:lineRule="auto"/>
            </w:pPr>
            <w:r>
              <w:rPr>
                <w:rFonts w:ascii="Calibri" w:hAnsi="Calibri"/>
                <w:color w:val="162236"/>
                <w:sz w:val="17"/>
              </w:rPr>
              <w:t>Live service availability</w:t>
            </w:r>
          </w:p>
        </w:tc>
        <w:tc>
          <w:tcPr>
            <w:tcW w:type="dxa" w:w="4310"/>
            <w:vAlign w:val="center"/>
            <w:tcMar>
              <w:top w:w="80" w:type="dxa"/>
              <w:start w:w="120" w:type="dxa"/>
              <w:bottom w:w="80" w:type="dxa"/>
              <w:end w:w="120" w:type="dxa"/>
            </w:tcMar>
          </w:tcPr>
          <w:p>
            <w:pPr>
              <w:spacing w:before="0" w:after="0" w:line="271" w:lineRule="auto"/>
            </w:pPr>
            <w:r>
              <w:rPr>
                <w:rFonts w:ascii="Calibri" w:hAnsi="Calibri"/>
                <w:color w:val="162236"/>
                <w:sz w:val="17"/>
              </w:rPr>
              <w:t>Prevents unavailable workflows being published.</w:t>
            </w:r>
          </w:p>
        </w:tc>
        <w:tc>
          <w:tcPr>
            <w:tcW w:type="dxa" w:w="2200"/>
            <w:vAlign w:val="center"/>
            <w:tcMar>
              <w:top w:w="80" w:type="dxa"/>
              <w:start w:w="120" w:type="dxa"/>
              <w:bottom w:w="80" w:type="dxa"/>
              <w:end w:w="120" w:type="dxa"/>
            </w:tcMar>
          </w:tcPr>
          <w:p>
            <w:pPr>
              <w:spacing w:before="0" w:after="0" w:line="271" w:lineRule="auto"/>
            </w:pPr>
            <w:r>
              <w:rPr>
                <w:rFonts w:ascii="Calibri" w:hAnsi="Calibri"/>
                <w:color w:val="162236"/>
                <w:sz w:val="17"/>
              </w:rPr>
              <w:t>Operations</w:t>
            </w:r>
          </w:p>
        </w:tc>
      </w:tr>
      <w:tr>
        <w:trPr>
          <w:cantSplit/>
        </w:trPr>
        <w:tc>
          <w:tcPr>
            <w:tcW w:type="dxa" w:w="2850"/>
            <w:vAlign w:val="center"/>
            <w:tcMar>
              <w:top w:w="80" w:type="dxa"/>
              <w:start w:w="120" w:type="dxa"/>
              <w:bottom w:w="80" w:type="dxa"/>
              <w:end w:w="120" w:type="dxa"/>
            </w:tcMar>
          </w:tcPr>
          <w:p>
            <w:pPr>
              <w:spacing w:before="0" w:after="0" w:line="271" w:lineRule="auto"/>
            </w:pPr>
            <w:r>
              <w:rPr>
                <w:rFonts w:ascii="Calibri" w:hAnsi="Calibri"/>
                <w:color w:val="162236"/>
                <w:sz w:val="17"/>
              </w:rPr>
              <w:t>Proof-point verification</w:t>
            </w:r>
          </w:p>
        </w:tc>
        <w:tc>
          <w:tcPr>
            <w:tcW w:type="dxa" w:w="4310"/>
            <w:vAlign w:val="center"/>
            <w:tcMar>
              <w:top w:w="80" w:type="dxa"/>
              <w:start w:w="120" w:type="dxa"/>
              <w:bottom w:w="80" w:type="dxa"/>
              <w:end w:w="120" w:type="dxa"/>
            </w:tcMar>
          </w:tcPr>
          <w:p>
            <w:pPr>
              <w:spacing w:before="0" w:after="0" w:line="271" w:lineRule="auto"/>
            </w:pPr>
            <w:r>
              <w:rPr>
                <w:rFonts w:ascii="Calibri" w:hAnsi="Calibri"/>
                <w:color w:val="162236"/>
                <w:sz w:val="17"/>
              </w:rPr>
              <w:t>Removes unsupported scale and speed claims.</w:t>
            </w:r>
          </w:p>
        </w:tc>
        <w:tc>
          <w:tcPr>
            <w:tcW w:type="dxa" w:w="2200"/>
            <w:vAlign w:val="center"/>
            <w:tcMar>
              <w:top w:w="80" w:type="dxa"/>
              <w:start w:w="120" w:type="dxa"/>
              <w:bottom w:w="80" w:type="dxa"/>
              <w:end w:w="120" w:type="dxa"/>
            </w:tcMar>
          </w:tcPr>
          <w:p>
            <w:pPr>
              <w:spacing w:before="0" w:after="0" w:line="271" w:lineRule="auto"/>
            </w:pPr>
            <w:r>
              <w:rPr>
                <w:rFonts w:ascii="Calibri" w:hAnsi="Calibri"/>
                <w:color w:val="162236"/>
                <w:sz w:val="17"/>
              </w:rPr>
              <w:t>Founder + data owner</w:t>
            </w:r>
          </w:p>
        </w:tc>
      </w:tr>
      <w:tr>
        <w:trPr>
          <w:cantSplit/>
        </w:trPr>
        <w:tc>
          <w:tcPr>
            <w:tcW w:type="dxa" w:w="2850"/>
            <w:vAlign w:val="center"/>
            <w:tcMar>
              <w:top w:w="80" w:type="dxa"/>
              <w:start w:w="120" w:type="dxa"/>
              <w:bottom w:w="80" w:type="dxa"/>
              <w:end w:w="120" w:type="dxa"/>
            </w:tcMar>
          </w:tcPr>
          <w:p>
            <w:pPr>
              <w:spacing w:before="0" w:after="0" w:line="271" w:lineRule="auto"/>
            </w:pPr>
            <w:r>
              <w:rPr>
                <w:rFonts w:ascii="Calibri" w:hAnsi="Calibri"/>
                <w:color w:val="162236"/>
                <w:sz w:val="17"/>
              </w:rPr>
              <w:t>Clinical reviewer model</w:t>
            </w:r>
          </w:p>
        </w:tc>
        <w:tc>
          <w:tcPr>
            <w:tcW w:type="dxa" w:w="4310"/>
            <w:vAlign w:val="center"/>
            <w:tcMar>
              <w:top w:w="80" w:type="dxa"/>
              <w:start w:w="120" w:type="dxa"/>
              <w:bottom w:w="80" w:type="dxa"/>
              <w:end w:w="120" w:type="dxa"/>
            </w:tcMar>
          </w:tcPr>
          <w:p>
            <w:pPr>
              <w:spacing w:before="0" w:after="0" w:line="271" w:lineRule="auto"/>
            </w:pPr>
            <w:r>
              <w:rPr>
                <w:rFonts w:ascii="Calibri" w:hAnsi="Calibri"/>
                <w:color w:val="162236"/>
                <w:sz w:val="17"/>
              </w:rPr>
              <w:t>Provides accountable review for clinical statements.</w:t>
            </w:r>
          </w:p>
        </w:tc>
        <w:tc>
          <w:tcPr>
            <w:tcW w:type="dxa" w:w="2200"/>
            <w:vAlign w:val="center"/>
            <w:tcMar>
              <w:top w:w="80" w:type="dxa"/>
              <w:start w:w="120" w:type="dxa"/>
              <w:bottom w:w="80" w:type="dxa"/>
              <w:end w:w="120" w:type="dxa"/>
            </w:tcMar>
          </w:tcPr>
          <w:p>
            <w:pPr>
              <w:spacing w:before="0" w:after="0" w:line="271" w:lineRule="auto"/>
            </w:pPr>
            <w:r>
              <w:rPr>
                <w:rFonts w:ascii="Calibri" w:hAnsi="Calibri"/>
                <w:color w:val="162236"/>
                <w:sz w:val="17"/>
              </w:rPr>
              <w:t>Founder</w:t>
            </w:r>
          </w:p>
        </w:tc>
      </w:tr>
      <w:tr>
        <w:trPr>
          <w:cantSplit/>
        </w:trPr>
        <w:tc>
          <w:tcPr>
            <w:tcW w:type="dxa" w:w="2850"/>
            <w:vAlign w:val="center"/>
            <w:tcMar>
              <w:top w:w="80" w:type="dxa"/>
              <w:start w:w="120" w:type="dxa"/>
              <w:bottom w:w="80" w:type="dxa"/>
              <w:end w:w="120" w:type="dxa"/>
            </w:tcMar>
          </w:tcPr>
          <w:p>
            <w:pPr>
              <w:spacing w:before="0" w:after="0" w:line="271" w:lineRule="auto"/>
            </w:pPr>
            <w:r>
              <w:rPr>
                <w:rFonts w:ascii="Calibri" w:hAnsi="Calibri"/>
                <w:color w:val="162236"/>
                <w:sz w:val="17"/>
              </w:rPr>
              <w:t>India / Global commercial differences</w:t>
            </w:r>
          </w:p>
        </w:tc>
        <w:tc>
          <w:tcPr>
            <w:tcW w:type="dxa" w:w="4310"/>
            <w:vAlign w:val="center"/>
            <w:tcMar>
              <w:top w:w="80" w:type="dxa"/>
              <w:start w:w="120" w:type="dxa"/>
              <w:bottom w:w="80" w:type="dxa"/>
              <w:end w:w="120" w:type="dxa"/>
            </w:tcMar>
          </w:tcPr>
          <w:p>
            <w:pPr>
              <w:spacing w:before="0" w:after="0" w:line="271" w:lineRule="auto"/>
            </w:pPr>
            <w:r>
              <w:rPr>
                <w:rFonts w:ascii="Calibri" w:hAnsi="Calibri"/>
                <w:color w:val="162236"/>
                <w:sz w:val="17"/>
              </w:rPr>
              <w:t>Determines whether regional pages are justified.</w:t>
            </w:r>
          </w:p>
        </w:tc>
        <w:tc>
          <w:tcPr>
            <w:tcW w:type="dxa" w:w="2200"/>
            <w:vAlign w:val="center"/>
            <w:tcMar>
              <w:top w:w="80" w:type="dxa"/>
              <w:start w:w="120" w:type="dxa"/>
              <w:bottom w:w="80" w:type="dxa"/>
              <w:end w:w="120" w:type="dxa"/>
            </w:tcMar>
          </w:tcPr>
          <w:p>
            <w:pPr>
              <w:spacing w:before="0" w:after="0" w:line="271" w:lineRule="auto"/>
            </w:pPr>
            <w:r>
              <w:rPr>
                <w:rFonts w:ascii="Calibri" w:hAnsi="Calibri"/>
                <w:color w:val="162236"/>
                <w:sz w:val="17"/>
              </w:rPr>
              <w:t>Commercial lead</w:t>
            </w:r>
          </w:p>
        </w:tc>
      </w:tr>
      <w:tr>
        <w:trPr>
          <w:cantSplit/>
        </w:trPr>
        <w:tc>
          <w:tcPr>
            <w:tcW w:type="dxa" w:w="2850"/>
            <w:vAlign w:val="center"/>
            <w:tcMar>
              <w:top w:w="80" w:type="dxa"/>
              <w:start w:w="120" w:type="dxa"/>
              <w:bottom w:w="80" w:type="dxa"/>
              <w:end w:w="120" w:type="dxa"/>
            </w:tcMar>
          </w:tcPr>
          <w:p>
            <w:pPr>
              <w:spacing w:before="0" w:after="0" w:line="271" w:lineRule="auto"/>
            </w:pPr>
            <w:r>
              <w:rPr>
                <w:rFonts w:ascii="Calibri" w:hAnsi="Calibri"/>
                <w:color w:val="162236"/>
                <w:sz w:val="17"/>
              </w:rPr>
              <w:t>CRM form migration plan</w:t>
            </w:r>
          </w:p>
        </w:tc>
        <w:tc>
          <w:tcPr>
            <w:tcW w:type="dxa" w:w="4310"/>
            <w:vAlign w:val="center"/>
            <w:tcMar>
              <w:top w:w="80" w:type="dxa"/>
              <w:start w:w="120" w:type="dxa"/>
              <w:bottom w:w="80" w:type="dxa"/>
              <w:end w:w="120" w:type="dxa"/>
            </w:tcMar>
          </w:tcPr>
          <w:p>
            <w:pPr>
              <w:spacing w:before="0" w:after="0" w:line="271" w:lineRule="auto"/>
            </w:pPr>
            <w:r>
              <w:rPr>
                <w:rFonts w:ascii="Calibri" w:hAnsi="Calibri"/>
                <w:color w:val="162236"/>
                <w:sz w:val="17"/>
              </w:rPr>
              <w:t>Protects the current live lead flow.</w:t>
            </w:r>
          </w:p>
        </w:tc>
        <w:tc>
          <w:tcPr>
            <w:tcW w:type="dxa" w:w="2200"/>
            <w:vAlign w:val="center"/>
            <w:tcMar>
              <w:top w:w="80" w:type="dxa"/>
              <w:start w:w="120" w:type="dxa"/>
              <w:bottom w:w="80" w:type="dxa"/>
              <w:end w:w="120" w:type="dxa"/>
            </w:tcMar>
          </w:tcPr>
          <w:p>
            <w:pPr>
              <w:spacing w:before="0" w:after="0" w:line="271" w:lineRule="auto"/>
            </w:pPr>
            <w:r>
              <w:rPr>
                <w:rFonts w:ascii="Calibri" w:hAnsi="Calibri"/>
                <w:color w:val="162236"/>
                <w:sz w:val="17"/>
              </w:rPr>
              <w:t>Zoho owner</w:t>
            </w:r>
          </w:p>
        </w:tc>
      </w:tr>
    </w:tbl>
    <w:p>
      <w:pPr>
        <w:spacing w:after="60"/>
      </w:pPr>
    </w:p>
    <w:p>
      <w:pPr>
        <w:pStyle w:val="Heading1"/>
        <w:spacing w:before="360" w:after="200" w:line="252" w:lineRule="auto"/>
        <w:keepNext w:val="1"/>
        <w:pageBreakBefore w:val="0"/>
      </w:pPr>
      <w:r>
        <w:rPr>
          <w:rFonts w:ascii="Calibri" w:hAnsi="Calibri"/>
          <w:b/>
          <w:color w:val="2E74B5"/>
          <w:sz w:val="32"/>
        </w:rPr>
        <w:t>15. Acceptance checklist</w:t>
      </w:r>
    </w:p>
    <w:p>
      <w:pPr>
        <w:pStyle w:val="Heading2"/>
        <w:spacing w:before="280" w:after="140" w:line="252" w:lineRule="auto"/>
        <w:keepNext w:val="1"/>
        <w:pageBreakBefore w:val="0"/>
      </w:pPr>
      <w:r>
        <w:rPr>
          <w:rFonts w:ascii="Calibri" w:hAnsi="Calibri"/>
          <w:b/>
          <w:color w:val="2E74B5"/>
          <w:sz w:val="26"/>
        </w:rPr>
        <w:t>Strategy</w:t>
      </w:r>
    </w:p>
    <w:p>
      <w:pPr>
        <w:pStyle w:val="ListBullet"/>
        <w:keepLines/>
        <w:spacing w:before="0" w:after="80" w:line="300" w:lineRule="auto"/>
      </w:pPr>
      <w:r>
        <w:rPr>
          <w:rFonts w:ascii="Calibri" w:hAnsi="Calibri"/>
          <w:color w:val="162236"/>
          <w:sz w:val="22"/>
        </w:rPr>
        <w:t>The site presents Image3DConversion as a digital workflow partner, not a generic laboratory.</w:t>
      </w:r>
    </w:p>
    <w:p>
      <w:pPr>
        <w:pStyle w:val="ListBullet"/>
        <w:keepLines/>
        <w:spacing w:before="0" w:after="80" w:line="300" w:lineRule="auto"/>
      </w:pPr>
      <w:r>
        <w:rPr>
          <w:rFonts w:ascii="Calibri" w:hAnsi="Calibri"/>
          <w:color w:val="162236"/>
          <w:sz w:val="22"/>
        </w:rPr>
        <w:t>Education is outside the primary Image3DConversion journey.</w:t>
      </w:r>
    </w:p>
    <w:p>
      <w:pPr>
        <w:pStyle w:val="ListBullet"/>
        <w:keepLines/>
        <w:spacing w:before="0" w:after="80" w:line="300" w:lineRule="auto"/>
      </w:pPr>
      <w:r>
        <w:rPr>
          <w:rFonts w:ascii="Calibri" w:hAnsi="Calibri"/>
          <w:color w:val="162236"/>
          <w:sz w:val="22"/>
        </w:rPr>
        <w:t>The dentist remains the clinical decision-maker in all copy.</w:t>
      </w:r>
    </w:p>
    <w:p>
      <w:pPr>
        <w:pStyle w:val="ListBullet"/>
        <w:keepLines/>
        <w:spacing w:before="0" w:after="80" w:line="300" w:lineRule="auto"/>
      </w:pPr>
      <w:r>
        <w:rPr>
          <w:rFonts w:ascii="Calibri" w:hAnsi="Calibri"/>
          <w:color w:val="162236"/>
          <w:sz w:val="22"/>
        </w:rPr>
        <w:t>Guided implantology is visibly dominant over secondary digital services.</w:t>
      </w:r>
    </w:p>
    <w:p>
      <w:pPr>
        <w:pStyle w:val="Heading2"/>
        <w:spacing w:before="280" w:after="140" w:line="252" w:lineRule="auto"/>
        <w:keepNext w:val="1"/>
        <w:pageBreakBefore w:val="0"/>
      </w:pPr>
      <w:r>
        <w:rPr>
          <w:rFonts w:ascii="Calibri" w:hAnsi="Calibri"/>
          <w:b/>
          <w:color w:val="2E74B5"/>
          <w:sz w:val="26"/>
        </w:rPr>
        <w:t>Journey</w:t>
      </w:r>
    </w:p>
    <w:p>
      <w:pPr>
        <w:pStyle w:val="ListBullet"/>
        <w:keepLines/>
        <w:spacing w:before="0" w:after="80" w:line="300" w:lineRule="auto"/>
      </w:pPr>
      <w:r>
        <w:rPr>
          <w:rFonts w:ascii="Calibri" w:hAnsi="Calibri"/>
          <w:color w:val="162236"/>
          <w:sz w:val="22"/>
        </w:rPr>
        <w:t>A new visitor can choose the right workflow within one screen of the homepage.</w:t>
      </w:r>
    </w:p>
    <w:p>
      <w:pPr>
        <w:pStyle w:val="ListBullet"/>
        <w:keepLines/>
        <w:spacing w:before="0" w:after="80" w:line="300" w:lineRule="auto"/>
      </w:pPr>
      <w:r>
        <w:rPr>
          <w:rFonts w:ascii="Calibri" w:hAnsi="Calibri"/>
          <w:color w:val="162236"/>
          <w:sz w:val="22"/>
        </w:rPr>
        <w:t>Every page has one primary action and a relevant secondary route.</w:t>
      </w:r>
    </w:p>
    <w:p>
      <w:pPr>
        <w:pStyle w:val="ListBullet"/>
        <w:keepLines/>
        <w:spacing w:before="0" w:after="80" w:line="300" w:lineRule="auto"/>
      </w:pPr>
      <w:r>
        <w:rPr>
          <w:rFonts w:ascii="Calibri" w:hAnsi="Calibri"/>
          <w:color w:val="162236"/>
          <w:sz w:val="22"/>
        </w:rPr>
        <w:t>Clinical files can be uploaded only after secure login.</w:t>
      </w:r>
    </w:p>
    <w:p>
      <w:pPr>
        <w:pStyle w:val="ListBullet"/>
        <w:keepLines/>
        <w:spacing w:before="0" w:after="80" w:line="300" w:lineRule="auto"/>
      </w:pPr>
      <w:r>
        <w:rPr>
          <w:rFonts w:ascii="Calibri" w:hAnsi="Calibri"/>
          <w:color w:val="162236"/>
          <w:sz w:val="22"/>
        </w:rPr>
        <w:t>A returning user can reach the Case Portal immediately.</w:t>
      </w:r>
    </w:p>
    <w:p>
      <w:pPr>
        <w:pStyle w:val="Heading2"/>
        <w:spacing w:before="280" w:after="140" w:line="252" w:lineRule="auto"/>
        <w:keepNext w:val="1"/>
        <w:pageBreakBefore w:val="0"/>
      </w:pPr>
      <w:r>
        <w:rPr>
          <w:rFonts w:ascii="Calibri" w:hAnsi="Calibri"/>
          <w:b/>
          <w:color w:val="2E74B5"/>
          <w:sz w:val="26"/>
        </w:rPr>
        <w:t>Content</w:t>
      </w:r>
    </w:p>
    <w:p>
      <w:pPr>
        <w:pStyle w:val="ListBullet"/>
        <w:keepLines/>
        <w:spacing w:before="0" w:after="80" w:line="300" w:lineRule="auto"/>
      </w:pPr>
      <w:r>
        <w:rPr>
          <w:rFonts w:ascii="Calibri" w:hAnsi="Calibri"/>
          <w:color w:val="162236"/>
          <w:sz w:val="22"/>
        </w:rPr>
        <w:t>The copy is concise, natural and specific to real Image3DConversion work.</w:t>
      </w:r>
    </w:p>
    <w:p>
      <w:pPr>
        <w:pStyle w:val="ListBullet"/>
        <w:keepLines/>
        <w:spacing w:before="0" w:after="80" w:line="300" w:lineRule="auto"/>
      </w:pPr>
      <w:r>
        <w:rPr>
          <w:rFonts w:ascii="Calibri" w:hAnsi="Calibri"/>
          <w:color w:val="162236"/>
          <w:sz w:val="22"/>
        </w:rPr>
        <w:t>There are no unsupported accuracy, safety, predictability, turnaround or scale claims.</w:t>
      </w:r>
    </w:p>
    <w:p>
      <w:pPr>
        <w:pStyle w:val="ListBullet"/>
        <w:keepLines/>
        <w:spacing w:before="0" w:after="80" w:line="300" w:lineRule="auto"/>
      </w:pPr>
      <w:r>
        <w:rPr>
          <w:rFonts w:ascii="Calibri" w:hAnsi="Calibri"/>
          <w:color w:val="162236"/>
          <w:sz w:val="22"/>
        </w:rPr>
        <w:t>No page uses generic AI-style filler or repetitive keyword paragraphs.</w:t>
      </w:r>
    </w:p>
    <w:p>
      <w:pPr>
        <w:pStyle w:val="ListBullet"/>
        <w:keepLines/>
        <w:spacing w:before="0" w:after="80" w:line="300" w:lineRule="auto"/>
      </w:pPr>
      <w:r>
        <w:rPr>
          <w:rFonts w:ascii="Calibri" w:hAnsi="Calibri"/>
          <w:color w:val="162236"/>
          <w:sz w:val="22"/>
        </w:rPr>
        <w:t>Every case example, testimonial, reviewer and partner is real and permission-cleared.</w:t>
      </w:r>
    </w:p>
    <w:p>
      <w:pPr>
        <w:pStyle w:val="Heading2"/>
        <w:spacing w:before="280" w:after="140" w:line="252" w:lineRule="auto"/>
        <w:keepNext w:val="1"/>
        <w:pageBreakBefore w:val="0"/>
      </w:pPr>
      <w:r>
        <w:rPr>
          <w:rFonts w:ascii="Calibri" w:hAnsi="Calibri"/>
          <w:b/>
          <w:color w:val="2E74B5"/>
          <w:sz w:val="26"/>
        </w:rPr>
        <w:t>SEO and delivery</w:t>
      </w:r>
    </w:p>
    <w:p>
      <w:pPr>
        <w:pStyle w:val="ListBullet"/>
        <w:keepLines/>
        <w:spacing w:before="0" w:after="80" w:line="300" w:lineRule="auto"/>
      </w:pPr>
      <w:r>
        <w:rPr>
          <w:rFonts w:ascii="Calibri" w:hAnsi="Calibri"/>
          <w:color w:val="162236"/>
          <w:sz w:val="22"/>
        </w:rPr>
        <w:t>Each indexable page has a unique title, description, H1, route and search intent.</w:t>
      </w:r>
    </w:p>
    <w:p>
      <w:pPr>
        <w:pStyle w:val="ListBullet"/>
        <w:keepLines/>
        <w:spacing w:before="0" w:after="80" w:line="300" w:lineRule="auto"/>
      </w:pPr>
      <w:r>
        <w:rPr>
          <w:rFonts w:ascii="Calibri" w:hAnsi="Calibri"/>
          <w:color w:val="162236"/>
          <w:sz w:val="22"/>
        </w:rPr>
        <w:t>Legacy URLs have tested 301 mappings.</w:t>
      </w:r>
    </w:p>
    <w:p>
      <w:pPr>
        <w:pStyle w:val="ListBullet"/>
        <w:keepLines/>
        <w:spacing w:before="0" w:after="80" w:line="300" w:lineRule="auto"/>
      </w:pPr>
      <w:r>
        <w:rPr>
          <w:rFonts w:ascii="Calibri" w:hAnsi="Calibri"/>
          <w:color w:val="162236"/>
          <w:sz w:val="22"/>
        </w:rPr>
        <w:t>Portal screens and clinical data are excluded from indexing and protected by access control.</w:t>
      </w:r>
    </w:p>
    <w:p>
      <w:pPr>
        <w:pStyle w:val="ListBullet"/>
        <w:keepLines/>
        <w:spacing w:before="0" w:after="80" w:line="300" w:lineRule="auto"/>
      </w:pPr>
      <w:r>
        <w:rPr>
          <w:rFonts w:ascii="Calibri" w:hAnsi="Calibri"/>
          <w:color w:val="162236"/>
          <w:sz w:val="22"/>
        </w:rPr>
        <w:t>Public pages are mobile-first, crawlable and fast.</w:t>
      </w:r>
    </w:p>
    <w:p>
      <w:pPr>
        <w:pStyle w:val="ListBullet"/>
        <w:keepLines/>
        <w:spacing w:before="0" w:after="80" w:line="300" w:lineRule="auto"/>
      </w:pPr>
      <w:r>
        <w:rPr>
          <w:rFonts w:ascii="Calibri" w:hAnsi="Calibri"/>
          <w:color w:val="162236"/>
          <w:sz w:val="22"/>
        </w:rPr>
        <w:t>Analytics connects website intent to portal case creation without exposing clinical data.</w:t>
      </w:r>
    </w:p>
    <w:p>
      <w:pPr>
        <w:spacing w:before="100" w:after="180" w:line="300" w:lineRule="auto"/>
        <w:ind w:left="202" w:right="144"/>
        <w:shd w:fill="E8EEF5"/>
        <w:pBdr>
          <w:left w:val="single" w:sz="16" w:space="8" w:color="1F4D78"/>
        </w:pBdr>
        <w:keepLines w:val="1"/>
      </w:pPr>
      <w:r>
        <w:rPr>
          <w:rFonts w:ascii="Calibri" w:hAnsi="Calibri"/>
          <w:b/>
          <w:color w:val="1F4D78"/>
          <w:sz w:val="18"/>
        </w:rPr>
        <w:t xml:space="preserve">FINAL DIRECTION  </w:t>
      </w:r>
      <w:r>
        <w:rPr>
          <w:rFonts w:ascii="Calibri" w:hAnsi="Calibri"/>
          <w:b/>
          <w:color w:val="162236"/>
          <w:sz w:val="22"/>
        </w:rPr>
        <w:t>Build a smaller website with stronger pages, clearer evidence and a secure path into the case workflow.</w:t>
      </w:r>
    </w:p>
    <w:p>
      <w:pPr>
        <w:pStyle w:val="Heading1"/>
        <w:spacing w:before="360" w:after="200" w:line="252" w:lineRule="auto"/>
        <w:keepNext w:val="1"/>
        <w:pageBreakBefore w:val="0"/>
      </w:pPr>
      <w:r>
        <w:rPr>
          <w:rFonts w:ascii="Calibri" w:hAnsi="Calibri"/>
          <w:b/>
          <w:color w:val="2E74B5"/>
          <w:sz w:val="32"/>
        </w:rPr>
        <w:t>Source notes</w:t>
      </w:r>
    </w:p>
    <w:p>
      <w:pPr>
        <w:spacing w:before="0" w:after="120" w:line="300" w:lineRule="auto"/>
        <w:jc w:val="left"/>
      </w:pPr>
      <w:r>
        <w:rPr>
          <w:rFonts w:ascii="Calibri" w:hAnsi="Calibri"/>
          <w:i w:val="0"/>
          <w:color w:val="162236"/>
          <w:sz w:val="22"/>
        </w:rPr>
        <w:t>This blueprint preserves approved Image3DConversion decisions and uses the current public site only as a migration baseline. External sources below support the SEO approach; they do not supply the public-facing brand copy.</w:t>
      </w:r>
    </w:p>
    <w:p>
      <w:pPr>
        <w:pStyle w:val="ListBullet"/>
        <w:spacing w:after="100" w:line="288" w:lineRule="auto"/>
      </w:pPr>
      <w:hyperlink r:id="rId11">
        <w:r>
          <w:rPr>
            <w:color w:val="2E74B5"/>
            <w:u w:val="single"/>
          </w:rPr>
          <w:t>Google Search Central — Creating helpful, reliable, people-first content</w:t>
        </w:r>
      </w:hyperlink>
    </w:p>
    <w:p>
      <w:pPr>
        <w:pStyle w:val="ListBullet"/>
        <w:spacing w:after="100" w:line="288" w:lineRule="auto"/>
      </w:pPr>
      <w:hyperlink r:id="rId12">
        <w:r>
          <w:rPr>
            <w:color w:val="2E74B5"/>
            <w:u w:val="single"/>
          </w:rPr>
          <w:t>Google Search Central — SEO Starter Guide</w:t>
        </w:r>
      </w:hyperlink>
    </w:p>
    <w:p>
      <w:pPr>
        <w:pStyle w:val="ListBullet"/>
        <w:spacing w:after="100" w:line="288" w:lineRule="auto"/>
      </w:pPr>
      <w:hyperlink r:id="rId13">
        <w:r>
          <w:rPr>
            <w:color w:val="2E74B5"/>
            <w:u w:val="single"/>
          </w:rPr>
          <w:t>Google Search Central — Influencing title links</w:t>
        </w:r>
      </w:hyperlink>
    </w:p>
    <w:p>
      <w:pPr>
        <w:pStyle w:val="ListBullet"/>
        <w:spacing w:after="100" w:line="288" w:lineRule="auto"/>
      </w:pPr>
      <w:hyperlink r:id="rId14">
        <w:r>
          <w:rPr>
            <w:color w:val="2E74B5"/>
            <w:u w:val="single"/>
          </w:rPr>
          <w:t>Google Search Central — Meta descriptions and snippets</w:t>
        </w:r>
      </w:hyperlink>
    </w:p>
    <w:p>
      <w:pPr>
        <w:pStyle w:val="ListBullet"/>
        <w:spacing w:after="100" w:line="288" w:lineRule="auto"/>
      </w:pPr>
      <w:hyperlink r:id="rId15">
        <w:r>
          <w:rPr>
            <w:color w:val="2E74B5"/>
            <w:u w:val="single"/>
          </w:rPr>
          <w:t>Google Search Central — Mobile-first indexing</w:t>
        </w:r>
      </w:hyperlink>
    </w:p>
    <w:p>
      <w:pPr>
        <w:pStyle w:val="ListBullet"/>
        <w:spacing w:after="100" w:line="288" w:lineRule="auto"/>
      </w:pPr>
      <w:hyperlink r:id="rId16">
        <w:r>
          <w:rPr>
            <w:color w:val="2E74B5"/>
            <w:u w:val="single"/>
          </w:rPr>
          <w:t>Current Image3DConversion public website</w:t>
        </w:r>
      </w:hyperlink>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olor w:val="5F6B7A"/>
        <w:sz w:val="17"/>
      </w:rPr>
      <w:t>Private working blueprint  ·  27 July 2026</w:t>
    </w:r>
    <w:r>
      <w:tab/>
    </w:r>
    <w:r>
      <w:rPr>
        <w:rFonts w:ascii="Calibri" w:hAnsi="Calibri"/>
        <w:color w:val="5F6B7A"/>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1F4D78"/>
        <w:sz w:val="17"/>
      </w:rPr>
      <w:t>IMAGE3DCONVERSION</w:t>
    </w:r>
    <w:r>
      <w:rPr>
        <w:rFonts w:ascii="Calibri" w:hAnsi="Calibri"/>
        <w:color w:val="5F6B7A"/>
        <w:sz w:val="17"/>
      </w:rPr>
      <w:t xml:space="preserve">  |  Website Strategy Blueprint · v1.2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decimal"/>
      <w:lvlText w:val="%1."/>
      <w:lvlJc w:val="left"/>
      <w:pPr>
        <w:tabs>
          <w:tab w:val="num" w:pos="540"/>
        </w:tabs>
        <w:ind w:left="540" w:hanging="270"/>
      </w:pPr>
      <w:rPr>
        <w:rFonts w:ascii="Calibri" w:hAnsi="Calibri"/>
      </w:rPr>
    </w:lvl>
  </w:abstractNum>
  <w:abstractNum w:abstractNumId="10">
    <w:multiLevelType w:val="singleLevel"/>
    <w:lvl w:ilvl="0">
      <w:start w:val="1"/>
      <w:numFmt w:val="decimal"/>
      <w:lvlText w:val="%1."/>
      <w:lvlJc w:val="left"/>
      <w:pPr>
        <w:tabs>
          <w:tab w:val="num" w:pos="540"/>
        </w:tabs>
        <w:ind w:left="540" w:hanging="270"/>
      </w:pPr>
      <w:rPr>
        <w:rFonts w:ascii="Calibri" w:hAnsi="Calibri"/>
      </w:rPr>
    </w:lvl>
  </w:abstractNum>
  <w:abstractNum w:abstractNumId="11">
    <w:multiLevelType w:val="singleLevel"/>
    <w:lvl w:ilvl="0">
      <w:start w:val="1"/>
      <w:numFmt w:val="decimal"/>
      <w:lvlText w:val="%1."/>
      <w:lvlJc w:val="left"/>
      <w:pPr>
        <w:tabs>
          <w:tab w:val="num" w:pos="540"/>
        </w:tabs>
        <w:ind w:left="540" w:hanging="270"/>
      </w:pPr>
      <w:rPr>
        <w:rFonts w:ascii="Calibri" w:hAnsi="Calibri"/>
      </w:rPr>
    </w:lvl>
  </w:abstractNum>
  <w:abstractNum w:abstractNumId="12">
    <w:multiLevelType w:val="singleLevel"/>
    <w:lvl w:ilvl="0">
      <w:start w:val="1"/>
      <w:numFmt w:val="decimal"/>
      <w:lvlText w:val="%1."/>
      <w:lvlJc w:val="left"/>
      <w:pPr>
        <w:tabs>
          <w:tab w:val="num" w:pos="540"/>
        </w:tabs>
        <w:ind w:left="540" w:hanging="270"/>
      </w:pPr>
      <w:rPr>
        <w:rFonts w:ascii="Calibri" w:hAnsi="Calibri"/>
      </w:rPr>
    </w:lvl>
  </w:abstractNum>
  <w:abstractNum w:abstractNumId="13">
    <w:multiLevelType w:val="singleLevel"/>
    <w:lvl w:ilvl="0">
      <w:start w:val="1"/>
      <w:numFmt w:val="decimal"/>
      <w:lvlText w:val="%1."/>
      <w:lvlJc w:val="left"/>
      <w:pPr>
        <w:tabs>
          <w:tab w:val="num" w:pos="540"/>
        </w:tabs>
        <w:ind w:left="540" w:hanging="270"/>
      </w:pPr>
      <w:rPr>
        <w:rFonts w:ascii="Calibri" w:hAnsi="Calibri"/>
      </w:rPr>
    </w:lvl>
  </w:abstractNum>
  <w:abstractNum w:abstractNumId="14">
    <w:multiLevelType w:val="singleLevel"/>
    <w:lvl w:ilvl="0">
      <w:start w:val="1"/>
      <w:numFmt w:val="decimal"/>
      <w:lvlText w:val="%1."/>
      <w:lvlJc w:val="left"/>
      <w:pPr>
        <w:tabs>
          <w:tab w:val="num" w:pos="540"/>
        </w:tabs>
        <w:ind w:left="540" w:hanging="270"/>
      </w:pPr>
      <w:rPr>
        <w:rFonts w:ascii="Calibri" w:hAnsi="Calibri"/>
      </w:rPr>
    </w:lvl>
  </w:abstractNum>
  <w:abstractNum w:abstractNumId="15">
    <w:multiLevelType w:val="singleLevel"/>
    <w:lvl w:ilvl="0">
      <w:start w:val="1"/>
      <w:numFmt w:val="decimal"/>
      <w:lvlText w:val="%1."/>
      <w:lvlJc w:val="left"/>
      <w:pPr>
        <w:tabs>
          <w:tab w:val="num" w:pos="540"/>
        </w:tabs>
        <w:ind w:left="540" w:hanging="270"/>
      </w:pPr>
      <w:rPr>
        <w:rFonts w:ascii="Calibri" w:hAnsi="Calibri"/>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6223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color w:val="162236"/>
      <w:sz w:val="22"/>
    </w:rPr>
  </w:style>
  <w:style w:type="paragraph" w:styleId="ListBullet2">
    <w:name w:val="List Bullet 2"/>
    <w:basedOn w:val="Normal"/>
    <w:uiPriority w:val="99"/>
    <w:unhideWhenUsed/>
    <w:rsid w:val="00326F90"/>
    <w:pPr>
      <w:numPr>
        <w:numId w:val="2"/>
      </w:numPr>
      <w:spacing w:after="80" w:line="300" w:lineRule="auto"/>
      <w:ind w:left="1008" w:hanging="259"/>
      <w:contextualSpacing/>
    </w:pPr>
    <w:rPr>
      <w:rFonts w:ascii="Calibri" w:hAnsi="Calibri"/>
      <w:color w:val="162236"/>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color w:val="162236"/>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s.google.com/search/docs/fundamentals/creating-helpful-content" TargetMode="External"/><Relationship Id="rId12" Type="http://schemas.openxmlformats.org/officeDocument/2006/relationships/hyperlink" Target="https://developers.google.com/search/docs/fundamentals/seo-starter-guide" TargetMode="External"/><Relationship Id="rId13" Type="http://schemas.openxmlformats.org/officeDocument/2006/relationships/hyperlink" Target="https://developers.google.com/search/docs/appearance/title-link" TargetMode="External"/><Relationship Id="rId14" Type="http://schemas.openxmlformats.org/officeDocument/2006/relationships/hyperlink" Target="https://developers.google.com/search/docs/appearance/snippet" TargetMode="External"/><Relationship Id="rId15" Type="http://schemas.openxmlformats.org/officeDocument/2006/relationships/hyperlink" Target="https://developers.google.com/search/docs/crawling-indexing/mobile/mobile-sites-mobile-first-indexing" TargetMode="External"/><Relationship Id="rId16" Type="http://schemas.openxmlformats.org/officeDocument/2006/relationships/hyperlink" Target="https://www.image3dconversio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Image3DConversion Website Strategy Blueprint</dc:title>
  <dc:subject>Public website and Case Portal content system</dc:subject>
  <dc:creator>Image3DConversion</dc:creator>
  <cp:keywords>Image3DConversion, website strategy, SEO, digital implant workflow, case portal</cp:keywords>
  <dc:description>generated by python-docx</dc:description>
  <cp:lastModifiedBy/>
  <cp:revision>1</cp:revision>
  <dcterms:created xsi:type="dcterms:W3CDTF">2013-12-23T23:15:00Z</dcterms:created>
  <dcterms:modified xsi:type="dcterms:W3CDTF">2013-12-23T23:15:00Z</dcterms:modified>
  <cp:category/>
</cp:coreProperties>
</file>