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80" w:line="300" w:lineRule="auto"/>
        <w:jc w:val="left"/>
      </w:pPr>
      <w:r>
        <w:rPr>
          <w:rFonts w:ascii="Calibri" w:hAnsi="Calibri" w:eastAsia="Calibri"/>
          <w:b/>
          <w:i w:val="0"/>
          <w:color w:val="2E74B5"/>
          <w:sz w:val="19"/>
        </w:rPr>
        <w:t>CONTENT + EXPERIENCE SPECIFICATION</w:t>
      </w:r>
    </w:p>
    <w:p>
      <w:pPr>
        <w:spacing w:after="120"/>
      </w:pPr>
      <w:r>
        <w:rPr>
          <w:rFonts w:ascii="Calibri" w:hAnsi="Calibri" w:eastAsia="Calibri"/>
          <w:b/>
          <w:color w:val="162236"/>
          <w:sz w:val="56"/>
        </w:rPr>
        <w:t>Image3DConversion</w:t>
        <w:br/>
      </w:r>
      <w:r>
        <w:rPr>
          <w:rFonts w:ascii="Calibri" w:hAnsi="Calibri" w:eastAsia="Calibri"/>
          <w:b/>
          <w:color w:val="2E74B5"/>
          <w:sz w:val="50"/>
        </w:rPr>
        <w:t>White-Label Workflow Partnership</w:t>
      </w:r>
    </w:p>
    <w:p>
      <w:pPr>
        <w:spacing w:before="0" w:after="320" w:line="300" w:lineRule="auto"/>
        <w:jc w:val="left"/>
      </w:pPr>
      <w:r>
        <w:rPr>
          <w:rFonts w:ascii="Calibri" w:hAnsi="Calibri" w:eastAsia="Calibri"/>
          <w:b w:val="0"/>
          <w:i w:val="0"/>
          <w:color w:val="5F6B7A"/>
          <w:sz w:val="26"/>
        </w:rPr>
        <w:t>Final page copy, SEO hierarchy, design psychology, 3D visual direction, partnership positioning, mobile behaviour, Case Portal alignment and publication controls.</w:t>
      </w:r>
    </w:p>
    <w:p>
      <w:pPr>
        <w:spacing w:before="0" w:after="100" w:line="300" w:lineRule="auto"/>
        <w:ind w:left="158" w:right="86"/>
        <w:shd w:fill="F4F6F9"/>
        <w:pBdr>
          <w:left w:val="single" w:sz="14" w:space="8" w:color="2E74B5"/>
        </w:pBdr>
        <w:keepLines w:val="1"/>
      </w:pPr>
      <w:r>
        <w:rPr>
          <w:rFonts w:ascii="Calibri" w:hAnsi="Calibri" w:eastAsia="Calibri"/>
          <w:b/>
          <w:color w:val="1F4D78"/>
          <w:sz w:val="21"/>
        </w:rPr>
        <w:t xml:space="preserve">Version: </w:t>
      </w:r>
      <w:r>
        <w:rPr>
          <w:rFonts w:ascii="Calibri" w:hAnsi="Calibri" w:eastAsia="Calibri"/>
          <w:color w:val="162236"/>
          <w:sz w:val="21"/>
        </w:rPr>
        <w:t>1.0 · 28 July 2026</w:t>
      </w:r>
    </w:p>
    <w:p>
      <w:pPr>
        <w:spacing w:before="0" w:after="100" w:line="300" w:lineRule="auto"/>
        <w:ind w:left="158" w:right="86"/>
        <w:shd w:fill="F4F6F9"/>
        <w:pBdr>
          <w:left w:val="single" w:sz="14" w:space="8" w:color="2E74B5"/>
        </w:pBdr>
        <w:keepLines w:val="1"/>
      </w:pPr>
      <w:r>
        <w:rPr>
          <w:rFonts w:ascii="Calibri" w:hAnsi="Calibri" w:eastAsia="Calibri"/>
          <w:b/>
          <w:color w:val="1F4D78"/>
          <w:sz w:val="21"/>
        </w:rPr>
        <w:t xml:space="preserve">Status: </w:t>
      </w:r>
      <w:r>
        <w:rPr>
          <w:rFonts w:ascii="Calibri" w:hAnsi="Calibri" w:eastAsia="Calibri"/>
          <w:color w:val="162236"/>
          <w:sz w:val="21"/>
        </w:rPr>
        <w:t>Prepared for Founder approval and design/development handoff</w:t>
      </w:r>
    </w:p>
    <w:p>
      <w:pPr>
        <w:spacing w:before="0" w:after="100" w:line="300" w:lineRule="auto"/>
        <w:ind w:left="158" w:right="86"/>
        <w:shd w:fill="F4F6F9"/>
        <w:pBdr>
          <w:left w:val="single" w:sz="14" w:space="8" w:color="2E74B5"/>
        </w:pBdr>
        <w:keepLines w:val="1"/>
      </w:pPr>
      <w:r>
        <w:rPr>
          <w:rFonts w:ascii="Calibri" w:hAnsi="Calibri" w:eastAsia="Calibri"/>
          <w:b/>
          <w:color w:val="1F4D78"/>
          <w:sz w:val="21"/>
        </w:rPr>
        <w:t xml:space="preserve">Public URL: </w:t>
      </w:r>
      <w:r>
        <w:rPr>
          <w:rFonts w:ascii="Calibri" w:hAnsi="Calibri" w:eastAsia="Calibri"/>
          <w:color w:val="162236"/>
          <w:sz w:val="21"/>
        </w:rPr>
        <w:t>https://www.image3dconversion.com/white-label-workflow-partnership/</w:t>
      </w:r>
    </w:p>
    <w:p>
      <w:pPr>
        <w:spacing w:before="0" w:after="100" w:line="300" w:lineRule="auto"/>
        <w:ind w:left="158" w:right="86"/>
        <w:shd w:fill="F4F6F9"/>
        <w:pBdr>
          <w:left w:val="single" w:sz="14" w:space="8" w:color="2E74B5"/>
        </w:pBdr>
        <w:keepLines w:val="1"/>
      </w:pPr>
      <w:r>
        <w:rPr>
          <w:rFonts w:ascii="Calibri" w:hAnsi="Calibri" w:eastAsia="Calibri"/>
          <w:b/>
          <w:color w:val="1F4D78"/>
          <w:sz w:val="21"/>
        </w:rPr>
        <w:t xml:space="preserve">Primary action: </w:t>
      </w:r>
      <w:r>
        <w:rPr>
          <w:rFonts w:ascii="Calibri" w:hAnsi="Calibri" w:eastAsia="Calibri"/>
          <w:color w:val="162236"/>
          <w:sz w:val="21"/>
        </w:rPr>
        <w:t>Explore Partnership</w:t>
      </w:r>
    </w:p>
    <w:p>
      <w:pPr>
        <w:spacing w:before="60" w:after="180" w:line="300" w:lineRule="auto"/>
        <w:ind w:left="173" w:right="115"/>
        <w:shd w:fill="E8EEF5"/>
        <w:pBdr>
          <w:left w:val="single" w:sz="18" w:space="8" w:color="2E74B5"/>
        </w:pBdr>
        <w:keepLines w:val="1"/>
      </w:pPr>
      <w:r>
        <w:rPr>
          <w:rFonts w:ascii="Calibri" w:hAnsi="Calibri" w:eastAsia="Calibri"/>
          <w:b/>
          <w:color w:val="2E74B5"/>
          <w:sz w:val="19"/>
        </w:rPr>
        <w:t xml:space="preserve">PAGE DECISION  </w:t>
      </w:r>
      <w:r>
        <w:rPr>
          <w:rFonts w:ascii="Calibri" w:hAnsi="Calibri" w:eastAsia="Calibri"/>
          <w:b w:val="0"/>
          <w:color w:val="162236"/>
          <w:sz w:val="22"/>
        </w:rPr>
        <w:t>This page should attract labs, DSOs, implant companies, training groups and digital-dentistry operators who need a behind-the-scenes workflow partner. It must sound operational and credible, not like a vague outsourcing page.</w:t>
      </w:r>
    </w:p>
    <w:p>
      <w:pPr>
        <w:pStyle w:val="Heading2"/>
        <w:keepNext w:val="1"/>
        <w:keepLines w:val="1"/>
      </w:pPr>
      <w:r>
        <w:t>The job of this page</w:t>
      </w:r>
    </w:p>
    <w:p>
      <w:pPr>
        <w:numPr>
          <w:ilvl w:val="0"/>
          <w:numId w:val="10"/>
        </w:numPr>
        <w:spacing w:before="0" w:after="80" w:line="300" w:lineRule="auto"/>
        <w:keepLines w:val="1"/>
      </w:pPr>
      <w:r>
        <w:rPr>
          <w:rFonts w:ascii="Calibri" w:hAnsi="Calibri" w:eastAsia="Calibri"/>
          <w:color w:val="162236"/>
          <w:sz w:val="22"/>
        </w:rPr>
        <w:t>Position Image3DConversion as a discreet digital implant planning and guided-workflow partner for professional organisations.</w:t>
      </w:r>
    </w:p>
    <w:p>
      <w:pPr>
        <w:numPr>
          <w:ilvl w:val="0"/>
          <w:numId w:val="10"/>
        </w:numPr>
        <w:spacing w:before="0" w:after="80" w:line="300" w:lineRule="auto"/>
        <w:keepLines w:val="1"/>
      </w:pPr>
      <w:r>
        <w:rPr>
          <w:rFonts w:ascii="Calibri" w:hAnsi="Calibri" w:eastAsia="Calibri"/>
          <w:color w:val="162236"/>
          <w:sz w:val="22"/>
        </w:rPr>
        <w:t>Start from the partner's patient-facing promise: the smile and prosthetic outcome must stay aligned even when I3DC works behind the scenes.</w:t>
      </w:r>
    </w:p>
    <w:p>
      <w:pPr>
        <w:numPr>
          <w:ilvl w:val="0"/>
          <w:numId w:val="10"/>
        </w:numPr>
        <w:spacing w:before="0" w:after="80" w:line="300" w:lineRule="auto"/>
        <w:keepLines w:val="1"/>
      </w:pPr>
      <w:r>
        <w:rPr>
          <w:rFonts w:ascii="Calibri" w:hAnsi="Calibri" w:eastAsia="Calibri"/>
          <w:color w:val="162236"/>
          <w:sz w:val="22"/>
        </w:rPr>
        <w:t>Clarify which partnership models are possible: design support, case-planning support, production-ready files, local-production handoff and education-to-service pathways.</w:t>
      </w:r>
    </w:p>
    <w:p>
      <w:pPr>
        <w:numPr>
          <w:ilvl w:val="0"/>
          <w:numId w:val="10"/>
        </w:numPr>
        <w:spacing w:before="0" w:after="80" w:line="300" w:lineRule="auto"/>
        <w:keepLines w:val="1"/>
      </w:pPr>
      <w:r>
        <w:rPr>
          <w:rFonts w:ascii="Calibri" w:hAnsi="Calibri" w:eastAsia="Calibri"/>
          <w:color w:val="162236"/>
          <w:sz w:val="22"/>
        </w:rPr>
        <w:t>Protect clinical authority, approval responsibility, data routing and operational scope before any partnership claim goes live.</w:t>
      </w:r>
    </w:p>
    <w:p>
      <w:pPr>
        <w:numPr>
          <w:ilvl w:val="0"/>
          <w:numId w:val="10"/>
        </w:numPr>
        <w:spacing w:before="0" w:after="80" w:line="300" w:lineRule="auto"/>
        <w:keepLines w:val="1"/>
      </w:pPr>
      <w:r>
        <w:rPr>
          <w:rFonts w:ascii="Calibri" w:hAnsi="Calibri" w:eastAsia="Calibri"/>
          <w:color w:val="162236"/>
          <w:sz w:val="22"/>
        </w:rPr>
        <w:t>Support global practices and organisations without vague scale claims, hidden outcome assurances or unsupported regulatory language.</w:t>
      </w:r>
    </w:p>
    <w:p>
      <w:pPr>
        <w:numPr>
          <w:ilvl w:val="0"/>
          <w:numId w:val="10"/>
        </w:numPr>
        <w:spacing w:before="0" w:after="80" w:line="300" w:lineRule="auto"/>
        <w:keepLines w:val="1"/>
      </w:pPr>
      <w:r>
        <w:rPr>
          <w:rFonts w:ascii="Calibri" w:hAnsi="Calibri" w:eastAsia="Calibri"/>
          <w:color w:val="162236"/>
          <w:sz w:val="22"/>
        </w:rPr>
        <w:t>Route sensitive case records only through the authenticated Case Portal or agreed professional intake route after scope is verified.</w:t>
      </w:r>
    </w:p>
    <w:p>
      <w:r>
        <w:br w:type="page"/>
      </w:r>
    </w:p>
    <w:p>
      <w:pPr>
        <w:pStyle w:val="Heading1"/>
        <w:keepNext w:val="1"/>
        <w:keepLines w:val="1"/>
      </w:pPr>
      <w:r>
        <w:t>1. SEO and page identity</w:t>
      </w:r>
    </w:p>
    <w:tbl>
      <w:tblPr>
        <w:tblW w:type="dxa" w:w="900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4" w:space="0" w:color="D9E0E8"/>
          <w:left w:val="single" w:sz="4" w:space="0" w:color="D9E0E8"/>
          <w:bottom w:val="single" w:sz="4" w:space="0" w:color="D9E0E8"/>
          <w:right w:val="single" w:sz="4" w:space="0" w:color="D9E0E8"/>
          <w:insideH w:val="single" w:sz="4" w:space="0" w:color="D9E0E8"/>
          <w:insideV w:val="single" w:sz="4" w:space="0" w:color="D9E0E8"/>
        </w:tblBorders>
      </w:tblPr>
      <w:tblGrid>
        <w:gridCol w:w="2500"/>
        <w:gridCol w:w="6500"/>
      </w:tblGrid>
      <w:tr>
        <w:trPr>
          <w:tblHeader w:val="true"/>
          <w:cantSplit/>
        </w:trPr>
        <w:tc>
          <w:tcPr>
            <w:tcW w:type="dxa" w:w="25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/>
                <w:b/>
                <w:color w:val="1F4D78"/>
                <w:sz w:val="19"/>
              </w:rPr>
              <w:t>Field</w:t>
            </w:r>
          </w:p>
        </w:tc>
        <w:tc>
          <w:tcPr>
            <w:tcW w:type="dxa" w:w="65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/>
                <w:b/>
                <w:color w:val="1F4D78"/>
                <w:sz w:val="19"/>
              </w:rPr>
              <w:t>Approved value</w:t>
            </w:r>
          </w:p>
        </w:tc>
      </w:tr>
      <w:tr>
        <w:trPr>
          <w:cantSplit/>
        </w:trPr>
        <w:tc>
          <w:tcPr>
            <w:tcW w:type="dxa" w:w="25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/>
                <w:color w:val="162236"/>
                <w:sz w:val="18"/>
              </w:rPr>
              <w:t>Route</w:t>
            </w:r>
          </w:p>
        </w:tc>
        <w:tc>
          <w:tcPr>
            <w:tcW w:type="dxa" w:w="65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/>
                <w:color w:val="162236"/>
                <w:sz w:val="18"/>
              </w:rPr>
              <w:t>/white-label-workflow-partnership/</w:t>
            </w:r>
          </w:p>
        </w:tc>
      </w:tr>
      <w:tr>
        <w:trPr>
          <w:cantSplit/>
        </w:trPr>
        <w:tc>
          <w:tcPr>
            <w:tcW w:type="dxa" w:w="25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/>
                <w:color w:val="162236"/>
                <w:sz w:val="18"/>
              </w:rPr>
              <w:t>Indexing</w:t>
            </w:r>
          </w:p>
        </w:tc>
        <w:tc>
          <w:tcPr>
            <w:tcW w:type="dxa" w:w="65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/>
                <w:color w:val="162236"/>
                <w:sz w:val="18"/>
              </w:rPr>
              <w:t>index, follow</w:t>
            </w:r>
          </w:p>
        </w:tc>
      </w:tr>
      <w:tr>
        <w:trPr>
          <w:cantSplit/>
        </w:trPr>
        <w:tc>
          <w:tcPr>
            <w:tcW w:type="dxa" w:w="25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/>
                <w:color w:val="162236"/>
                <w:sz w:val="18"/>
              </w:rPr>
              <w:t>SEO title</w:t>
            </w:r>
          </w:p>
        </w:tc>
        <w:tc>
          <w:tcPr>
            <w:tcW w:type="dxa" w:w="65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/>
                <w:color w:val="162236"/>
                <w:sz w:val="18"/>
              </w:rPr>
              <w:t>White-Label Digital Implant Workflow Partnership | Image3DConversion</w:t>
            </w:r>
          </w:p>
        </w:tc>
      </w:tr>
      <w:tr>
        <w:trPr>
          <w:cantSplit/>
        </w:trPr>
        <w:tc>
          <w:tcPr>
            <w:tcW w:type="dxa" w:w="25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/>
                <w:color w:val="162236"/>
                <w:sz w:val="18"/>
              </w:rPr>
              <w:t>Meta description</w:t>
            </w:r>
          </w:p>
        </w:tc>
        <w:tc>
          <w:tcPr>
            <w:tcW w:type="dxa" w:w="65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/>
                <w:color w:val="162236"/>
                <w:sz w:val="18"/>
              </w:rPr>
              <w:t>Partner with Image3DConversion for white-label digital implant planning, surgical guide design support, production-ready files and structured workflow collaboration.</w:t>
            </w:r>
          </w:p>
        </w:tc>
      </w:tr>
      <w:tr>
        <w:trPr>
          <w:cantSplit/>
        </w:trPr>
        <w:tc>
          <w:tcPr>
            <w:tcW w:type="dxa" w:w="25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/>
                <w:color w:val="162236"/>
                <w:sz w:val="18"/>
              </w:rPr>
              <w:t>H1</w:t>
            </w:r>
          </w:p>
        </w:tc>
        <w:tc>
          <w:tcPr>
            <w:tcW w:type="dxa" w:w="65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/>
                <w:color w:val="162236"/>
                <w:sz w:val="18"/>
              </w:rPr>
              <w:t>Your brand. Our digital implant workflow support.</w:t>
            </w:r>
          </w:p>
        </w:tc>
      </w:tr>
      <w:tr>
        <w:trPr>
          <w:cantSplit/>
        </w:trPr>
        <w:tc>
          <w:tcPr>
            <w:tcW w:type="dxa" w:w="25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/>
                <w:color w:val="162236"/>
                <w:sz w:val="18"/>
              </w:rPr>
              <w:t>Primary keyword</w:t>
            </w:r>
          </w:p>
        </w:tc>
        <w:tc>
          <w:tcPr>
            <w:tcW w:type="dxa" w:w="65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/>
                <w:color w:val="162236"/>
                <w:sz w:val="18"/>
              </w:rPr>
              <w:t>white label digital implant workflow partner</w:t>
            </w:r>
          </w:p>
        </w:tc>
      </w:tr>
      <w:tr>
        <w:trPr>
          <w:cantSplit/>
        </w:trPr>
        <w:tc>
          <w:tcPr>
            <w:tcW w:type="dxa" w:w="25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/>
                <w:color w:val="162236"/>
                <w:sz w:val="18"/>
              </w:rPr>
              <w:t>Supporting keywords</w:t>
            </w:r>
          </w:p>
        </w:tc>
        <w:tc>
          <w:tcPr>
            <w:tcW w:type="dxa" w:w="65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/>
                <w:color w:val="162236"/>
                <w:sz w:val="18"/>
              </w:rPr>
              <w:t>white label surgical guide design; dental implant planning partner; digital dentistry outsourcing partner; lab surgical guide workflow support; DSO implant planning workflow</w:t>
            </w:r>
          </w:p>
        </w:tc>
      </w:tr>
      <w:tr>
        <w:trPr>
          <w:cantSplit/>
        </w:trPr>
        <w:tc>
          <w:tcPr>
            <w:tcW w:type="dxa" w:w="25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/>
                <w:color w:val="162236"/>
                <w:sz w:val="18"/>
              </w:rPr>
              <w:t>Primary CTA</w:t>
            </w:r>
          </w:p>
        </w:tc>
        <w:tc>
          <w:tcPr>
            <w:tcW w:type="dxa" w:w="65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/>
                <w:color w:val="162236"/>
                <w:sz w:val="18"/>
              </w:rPr>
              <w:t>Explore Partnership</w:t>
            </w:r>
          </w:p>
        </w:tc>
      </w:tr>
      <w:tr>
        <w:trPr>
          <w:cantSplit/>
        </w:trPr>
        <w:tc>
          <w:tcPr>
            <w:tcW w:type="dxa" w:w="25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/>
                <w:color w:val="162236"/>
                <w:sz w:val="18"/>
              </w:rPr>
              <w:t>Secondary CTA</w:t>
            </w:r>
          </w:p>
        </w:tc>
        <w:tc>
          <w:tcPr>
            <w:tcW w:type="dxa" w:w="65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/>
                <w:color w:val="162236"/>
                <w:sz w:val="18"/>
              </w:rPr>
              <w:t>Discuss Workflow Scope</w:t>
            </w:r>
          </w:p>
        </w:tc>
      </w:tr>
    </w:tbl>
    <w:p>
      <w:pPr>
        <w:spacing w:before="0" w:after="80" w:line="300" w:lineRule="auto"/>
        <w:jc w:val="left"/>
      </w:pPr>
      <w:r>
        <w:rPr>
          <w:rFonts w:ascii="Calibri" w:hAnsi="Calibri" w:eastAsia="Calibri"/>
          <w:b w:val="0"/>
          <w:i w:val="0"/>
          <w:color w:val="162236"/>
          <w:sz w:val="22"/>
        </w:rPr>
      </w:r>
    </w:p>
    <w:p>
      <w:pPr>
        <w:spacing w:before="60" w:after="180" w:line="300" w:lineRule="auto"/>
        <w:ind w:left="173" w:right="115"/>
        <w:shd w:fill="E8EEF5"/>
        <w:pBdr>
          <w:left w:val="single" w:sz="18" w:space="8" w:color="2E74B5"/>
        </w:pBdr>
        <w:keepLines w:val="1"/>
      </w:pPr>
      <w:r>
        <w:rPr>
          <w:rFonts w:ascii="Calibri" w:hAnsi="Calibri" w:eastAsia="Calibri"/>
          <w:b/>
          <w:color w:val="2E74B5"/>
          <w:sz w:val="19"/>
        </w:rPr>
        <w:t xml:space="preserve">SEO PRINCIPLE  </w:t>
      </w:r>
      <w:r>
        <w:rPr>
          <w:rFonts w:ascii="Calibri" w:hAnsi="Calibri" w:eastAsia="Calibri"/>
          <w:b w:val="0"/>
          <w:color w:val="162236"/>
          <w:sz w:val="22"/>
        </w:rPr>
        <w:t>This page should answer a professional partner's real question: can Image3DConversion support my branded service without weakening clinical quality, communication discipline or responsibility boundaries?</w:t>
      </w:r>
    </w:p>
    <w:p>
      <w:pPr>
        <w:pStyle w:val="Heading1"/>
        <w:pageBreakBefore w:val="1"/>
        <w:keepNext w:val="1"/>
        <w:keepLines w:val="1"/>
      </w:pPr>
      <w:r>
        <w:t>2. Final page copy</w:t>
      </w:r>
    </w:p>
    <w:p>
      <w:pPr>
        <w:spacing w:before="0" w:after="80"/>
        <w:keepNext w:val="1"/>
      </w:pPr>
      <w:r>
        <w:rPr>
          <w:rFonts w:ascii="Calibri" w:hAnsi="Calibri" w:eastAsia="Calibri"/>
          <w:b/>
          <w:color w:val="2E74B5"/>
          <w:sz w:val="19"/>
        </w:rPr>
        <w:t>HERO EYEBROW</w:t>
      </w:r>
    </w:p>
    <w:p>
      <w:pPr>
        <w:spacing w:before="0" w:after="100" w:line="300" w:lineRule="auto"/>
        <w:jc w:val="left"/>
        <w:keepLines w:val="1"/>
      </w:pPr>
      <w:r>
        <w:rPr>
          <w:rFonts w:ascii="Calibri" w:hAnsi="Calibri" w:eastAsia="Calibri"/>
          <w:b w:val="0"/>
          <w:i w:val="0"/>
          <w:color w:val="162236"/>
          <w:sz w:val="24"/>
        </w:rPr>
        <w:t>WHITE-LABEL WORKFLOW PARTNERSHIP</w:t>
      </w:r>
    </w:p>
    <w:p>
      <w:pPr>
        <w:spacing w:before="0" w:after="80"/>
        <w:keepNext w:val="1"/>
      </w:pPr>
      <w:r>
        <w:rPr>
          <w:rFonts w:ascii="Calibri" w:hAnsi="Calibri" w:eastAsia="Calibri"/>
          <w:b/>
          <w:color w:val="2E74B5"/>
          <w:sz w:val="19"/>
        </w:rPr>
        <w:t>H1</w:t>
      </w:r>
    </w:p>
    <w:p>
      <w:pPr>
        <w:spacing w:before="0" w:after="100" w:line="300" w:lineRule="auto"/>
        <w:jc w:val="left"/>
        <w:keepLines w:val="1"/>
      </w:pPr>
      <w:r>
        <w:rPr>
          <w:rFonts w:ascii="Calibri" w:hAnsi="Calibri" w:eastAsia="Calibri"/>
          <w:b w:val="0"/>
          <w:i w:val="0"/>
          <w:color w:val="162236"/>
          <w:sz w:val="24"/>
        </w:rPr>
        <w:t>Your brand. Our digital implant workflow support.</w:t>
      </w:r>
    </w:p>
    <w:p>
      <w:pPr>
        <w:spacing w:before="0" w:after="80"/>
        <w:keepNext w:val="1"/>
      </w:pPr>
      <w:r>
        <w:rPr>
          <w:rFonts w:ascii="Calibri" w:hAnsi="Calibri" w:eastAsia="Calibri"/>
          <w:b/>
          <w:color w:val="2E74B5"/>
          <w:sz w:val="19"/>
        </w:rPr>
        <w:t>HERO BODY</w:t>
      </w:r>
    </w:p>
    <w:p>
      <w:pPr>
        <w:spacing w:before="0" w:after="100" w:line="300" w:lineRule="auto"/>
        <w:jc w:val="left"/>
        <w:keepLines w:val="1"/>
      </w:pPr>
      <w:r>
        <w:rPr>
          <w:rFonts w:ascii="Calibri" w:hAnsi="Calibri" w:eastAsia="Calibri"/>
          <w:b w:val="0"/>
          <w:i w:val="0"/>
          <w:color w:val="162236"/>
          <w:sz w:val="24"/>
        </w:rPr>
        <w:t>Image3DConversion supports dental labs, DSOs, implant companies, training ecosystems and digital-dentistry partners with structured implant planning and guided-workflow services behind the scenes. The work stays aligned to the patient smile, prosthetic objective, clinical approval path and the partner's agreed operating model.</w:t>
      </w:r>
    </w:p>
    <w:p>
      <w:pPr>
        <w:spacing w:before="0" w:after="80"/>
        <w:keepNext w:val="1"/>
      </w:pPr>
      <w:r>
        <w:rPr>
          <w:rFonts w:ascii="Calibri" w:hAnsi="Calibri" w:eastAsia="Calibri"/>
          <w:b/>
          <w:color w:val="2E74B5"/>
          <w:sz w:val="19"/>
        </w:rPr>
        <w:t>PROFESSIONAL NOTE</w:t>
      </w:r>
    </w:p>
    <w:p>
      <w:pPr>
        <w:spacing w:before="0" w:after="100" w:line="300" w:lineRule="auto"/>
        <w:jc w:val="left"/>
        <w:keepLines w:val="1"/>
      </w:pPr>
      <w:r>
        <w:rPr>
          <w:rFonts w:ascii="Calibri" w:hAnsi="Calibri" w:eastAsia="Calibri"/>
          <w:b w:val="0"/>
          <w:i w:val="0"/>
          <w:color w:val="162236"/>
          <w:sz w:val="24"/>
        </w:rPr>
        <w:t>For professional organisations and authorised partners. Diagnosis, treatment indication, patient consent, clinical approval and final delivery decisions remain with the responsible treating team and the partner's agreed clinical governance.</w:t>
      </w:r>
    </w:p>
    <w:p>
      <w:pPr>
        <w:spacing w:before="0" w:after="100" w:line="300" w:lineRule="auto"/>
        <w:ind w:left="158" w:right="86"/>
        <w:shd w:fill="E8EEF5"/>
        <w:pBdr>
          <w:left w:val="single" w:sz="14" w:space="8" w:color="2E74B5"/>
        </w:pBdr>
        <w:keepLines w:val="1"/>
      </w:pPr>
      <w:r>
        <w:rPr>
          <w:rFonts w:ascii="Calibri" w:hAnsi="Calibri" w:eastAsia="Calibri"/>
          <w:b/>
          <w:color w:val="1F4D78"/>
          <w:sz w:val="21"/>
        </w:rPr>
        <w:t xml:space="preserve">Primary CTA: </w:t>
      </w:r>
      <w:r>
        <w:rPr>
          <w:rFonts w:ascii="Calibri" w:hAnsi="Calibri" w:eastAsia="Calibri"/>
          <w:color w:val="162236"/>
          <w:sz w:val="21"/>
        </w:rPr>
        <w:t>Explore Partnership</w:t>
      </w:r>
    </w:p>
    <w:p>
      <w:pPr>
        <w:spacing w:before="0" w:after="100" w:line="300" w:lineRule="auto"/>
        <w:ind w:left="158" w:right="86"/>
        <w:shd w:fill="F4F6F9"/>
        <w:pBdr>
          <w:left w:val="single" w:sz="14" w:space="8" w:color="1F4D78"/>
        </w:pBdr>
        <w:keepLines w:val="1"/>
      </w:pPr>
      <w:r>
        <w:rPr>
          <w:rFonts w:ascii="Calibri" w:hAnsi="Calibri" w:eastAsia="Calibri"/>
          <w:b/>
          <w:color w:val="1F4D78"/>
          <w:sz w:val="21"/>
        </w:rPr>
        <w:t xml:space="preserve">Secondary CTA: </w:t>
      </w:r>
      <w:r>
        <w:rPr>
          <w:rFonts w:ascii="Calibri" w:hAnsi="Calibri" w:eastAsia="Calibri"/>
          <w:color w:val="162236"/>
          <w:sz w:val="21"/>
        </w:rPr>
        <w:t>Discuss Workflow Scope</w:t>
      </w:r>
    </w:p>
    <w:p>
      <w:pPr>
        <w:pStyle w:val="Heading2"/>
        <w:keepNext w:val="1"/>
        <w:keepLines w:val="1"/>
      </w:pPr>
      <w:r>
        <w:t>Section 1 — White-label should not mean invisible risk</w:t>
      </w:r>
    </w:p>
    <w:p>
      <w:pPr>
        <w:spacing w:before="0" w:after="100" w:line="300" w:lineRule="auto"/>
        <w:jc w:val="left"/>
      </w:pPr>
      <w:r>
        <w:rPr>
          <w:rFonts w:ascii="Calibri" w:hAnsi="Calibri" w:eastAsia="Calibri"/>
          <w:b/>
          <w:i w:val="0"/>
          <w:color w:val="1F4D78"/>
          <w:sz w:val="30"/>
        </w:rPr>
        <w:t>The patient still sees the smile first.</w:t>
      </w:r>
    </w:p>
    <w:p>
      <w:pPr>
        <w:spacing w:before="0" w:after="120" w:line="300" w:lineRule="auto"/>
        <w:jc w:val="left"/>
      </w:pPr>
      <w:r>
        <w:rPr>
          <w:rFonts w:ascii="Calibri" w:hAnsi="Calibri" w:eastAsia="Calibri"/>
          <w:b w:val="0"/>
          <w:i w:val="0"/>
          <w:color w:val="162236"/>
          <w:sz w:val="23"/>
        </w:rPr>
        <w:t>In a white-label model, the end customer may experience the partner's brand, but the workflow behind that brand still has to protect the prosthetic objective, implant-plan logic, design review, production route and clinical approval chain.</w:t>
      </w:r>
    </w:p>
    <w:p>
      <w:pPr>
        <w:spacing w:before="0" w:after="120" w:line="300" w:lineRule="auto"/>
        <w:jc w:val="left"/>
      </w:pPr>
      <w:r>
        <w:rPr>
          <w:rFonts w:ascii="Calibri" w:hAnsi="Calibri" w:eastAsia="Calibri"/>
          <w:b w:val="0"/>
          <w:i w:val="0"/>
          <w:color w:val="162236"/>
          <w:sz w:val="23"/>
        </w:rPr>
        <w:t>Image3DConversion is positioned as a behind-the-scenes workflow partner for organisations that want stronger digital implant planning capacity without building every planning, guide-design and file-preparation layer internally from day one.</w:t>
      </w:r>
    </w:p>
    <w:p>
      <w:pPr>
        <w:spacing w:before="0" w:after="60" w:line="300" w:lineRule="auto"/>
        <w:jc w:val="left"/>
        <w:keepNext w:val="1"/>
        <w:keepLines w:val="1"/>
      </w:pPr>
      <w:r>
        <w:rPr>
          <w:rFonts w:ascii="Calibri" w:hAnsi="Calibri" w:eastAsia="Calibri"/>
          <w:b w:val="0"/>
          <w:i/>
          <w:color w:val="5F6B7A"/>
          <w:sz w:val="19"/>
        </w:rPr>
        <w:t>Psychological job: Build trust with serious operators. The visitor should feel that I3DC understands white-label responsibility, not only volume outsourcing.</w:t>
      </w:r>
    </w:p>
    <w:p>
      <w:pPr>
        <w:spacing w:before="0" w:after="60" w:line="300" w:lineRule="auto"/>
        <w:jc w:val="left"/>
        <w:keepNext w:val="1"/>
        <w:keepLines w:val="1"/>
      </w:pPr>
      <w:r>
        <w:rPr>
          <w:rFonts w:ascii="Calibri" w:hAnsi="Calibri" w:eastAsia="Calibri"/>
          <w:b w:val="0"/>
          <w:i w:val="0"/>
          <w:color w:val="5F6B7A"/>
          <w:sz w:val="19"/>
        </w:rPr>
        <w:t>Visual direction: Blue-white 3D visual: branded partner front layer, translucent digital dental planning stack behind it, and a prosthetic smile reference anchoring the scene.</w:t>
      </w:r>
    </w:p>
    <w:p>
      <w:pPr>
        <w:spacing w:before="0" w:after="60" w:line="300" w:lineRule="auto"/>
        <w:jc w:val="left"/>
        <w:keepNext w:val="1"/>
        <w:keepLines w:val="1"/>
      </w:pPr>
      <w:r>
        <w:rPr>
          <w:rFonts w:ascii="Calibri" w:hAnsi="Calibri" w:eastAsia="Calibri"/>
          <w:b w:val="0"/>
          <w:i w:val="0"/>
          <w:color w:val="5F6B7A"/>
          <w:sz w:val="19"/>
        </w:rPr>
        <w:t>Mobile: Open with one premium statement, then stack partnership models as compact cards.</w:t>
      </w:r>
    </w:p>
    <w:p>
      <w:pPr>
        <w:spacing w:before="0" w:after="140" w:line="300" w:lineRule="auto"/>
        <w:jc w:val="left"/>
        <w:keepLines w:val="1"/>
      </w:pPr>
      <w:r>
        <w:rPr>
          <w:rFonts w:ascii="Calibri" w:hAnsi="Calibri" w:eastAsia="Calibri"/>
          <w:b w:val="0"/>
          <w:i w:val="0"/>
          <w:color w:val="5F6B7A"/>
          <w:sz w:val="19"/>
        </w:rPr>
        <w:t>Implementation: Avoid stock handshake imagery. Use digital dentistry workflow depth, versioned design layers and branded operating paths.</w:t>
      </w:r>
    </w:p>
    <w:p>
      <w:pPr>
        <w:pStyle w:val="Heading2"/>
        <w:keepNext w:val="1"/>
        <w:keepLines w:val="1"/>
      </w:pPr>
      <w:r>
        <w:t>Section 2 — Who this partnership is for</w:t>
      </w:r>
    </w:p>
    <w:tbl>
      <w:tblPr>
        <w:tblW w:type="dxa" w:w="900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4" w:space="0" w:color="D9E0E8"/>
          <w:left w:val="single" w:sz="4" w:space="0" w:color="D9E0E8"/>
          <w:bottom w:val="single" w:sz="4" w:space="0" w:color="D9E0E8"/>
          <w:right w:val="single" w:sz="4" w:space="0" w:color="D9E0E8"/>
          <w:insideH w:val="single" w:sz="4" w:space="0" w:color="D9E0E8"/>
          <w:insideV w:val="single" w:sz="4" w:space="0" w:color="D9E0E8"/>
        </w:tblBorders>
      </w:tblPr>
      <w:tblGrid>
        <w:gridCol w:w="2700"/>
        <w:gridCol w:w="6300"/>
      </w:tblGrid>
      <w:tr>
        <w:trPr>
          <w:tblHeader w:val="true"/>
          <w:cantSplit/>
        </w:trPr>
        <w:tc>
          <w:tcPr>
            <w:tcW w:type="dxa" w:w="27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/>
                <w:b/>
                <w:color w:val="1F4D78"/>
                <w:sz w:val="19"/>
              </w:rPr>
              <w:t>Partner type</w:t>
            </w:r>
          </w:p>
        </w:tc>
        <w:tc>
          <w:tcPr>
            <w:tcW w:type="dxa" w:w="63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/>
                <w:b/>
                <w:color w:val="1F4D78"/>
                <w:sz w:val="19"/>
              </w:rPr>
              <w:t>What they may need from Image3DConversion</w:t>
            </w:r>
          </w:p>
        </w:tc>
      </w:tr>
      <w:tr>
        <w:trPr>
          <w:cantSplit/>
        </w:trPr>
        <w:tc>
          <w:tcPr>
            <w:tcW w:type="dxa" w:w="27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/>
                <w:color w:val="162236"/>
                <w:sz w:val="17"/>
              </w:rPr>
              <w:t>Dental labs</w:t>
            </w:r>
          </w:p>
        </w:tc>
        <w:tc>
          <w:tcPr>
            <w:tcW w:type="dxa" w:w="63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/>
                <w:color w:val="162236"/>
                <w:sz w:val="17"/>
              </w:rPr>
              <w:t>Guided implant planning/design support, production-ready files and predictable case handoff language.</w:t>
            </w:r>
          </w:p>
        </w:tc>
      </w:tr>
      <w:tr>
        <w:trPr>
          <w:cantSplit/>
        </w:trPr>
        <w:tc>
          <w:tcPr>
            <w:tcW w:type="dxa" w:w="27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/>
                <w:color w:val="162236"/>
                <w:sz w:val="17"/>
              </w:rPr>
              <w:t>DSOs and group practices</w:t>
            </w:r>
          </w:p>
        </w:tc>
        <w:tc>
          <w:tcPr>
            <w:tcW w:type="dxa" w:w="63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/>
                <w:color w:val="162236"/>
                <w:sz w:val="17"/>
              </w:rPr>
              <w:t>A scalable planning support layer across locations while preserving clinician approval and local execution.</w:t>
            </w:r>
          </w:p>
        </w:tc>
      </w:tr>
      <w:tr>
        <w:trPr>
          <w:cantSplit/>
        </w:trPr>
        <w:tc>
          <w:tcPr>
            <w:tcW w:type="dxa" w:w="27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/>
                <w:color w:val="162236"/>
                <w:sz w:val="17"/>
              </w:rPr>
              <w:t>Implant companies</w:t>
            </w:r>
          </w:p>
        </w:tc>
        <w:tc>
          <w:tcPr>
            <w:tcW w:type="dxa" w:w="63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/>
                <w:color w:val="162236"/>
                <w:sz w:val="17"/>
              </w:rPr>
              <w:t>Workflow support for customers who need planning discipline, guide design and education-to-service continuity.</w:t>
            </w:r>
          </w:p>
        </w:tc>
      </w:tr>
      <w:tr>
        <w:trPr>
          <w:cantSplit/>
        </w:trPr>
        <w:tc>
          <w:tcPr>
            <w:tcW w:type="dxa" w:w="27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/>
                <w:color w:val="162236"/>
                <w:sz w:val="17"/>
              </w:rPr>
              <w:t>Training ecosystems</w:t>
            </w:r>
          </w:p>
        </w:tc>
        <w:tc>
          <w:tcPr>
            <w:tcW w:type="dxa" w:w="63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/>
                <w:color w:val="162236"/>
                <w:sz w:val="17"/>
              </w:rPr>
              <w:t>A service pathway for clinicians after education, so learning can convert into supported case execution.</w:t>
            </w:r>
          </w:p>
        </w:tc>
      </w:tr>
      <w:tr>
        <w:trPr>
          <w:cantSplit/>
        </w:trPr>
        <w:tc>
          <w:tcPr>
            <w:tcW w:type="dxa" w:w="27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/>
                <w:color w:val="162236"/>
                <w:sz w:val="17"/>
              </w:rPr>
              <w:t>International partners</w:t>
            </w:r>
          </w:p>
        </w:tc>
        <w:tc>
          <w:tcPr>
            <w:tcW w:type="dxa" w:w="63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/>
                <w:color w:val="162236"/>
                <w:sz w:val="17"/>
              </w:rPr>
              <w:t>Design-only, local-production or coordinated delivery options adapted to region, time zone and scope.</w:t>
            </w:r>
          </w:p>
        </w:tc>
      </w:tr>
      <w:tr>
        <w:trPr>
          <w:cantSplit/>
        </w:trPr>
        <w:tc>
          <w:tcPr>
            <w:tcW w:type="dxa" w:w="27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/>
                <w:color w:val="162236"/>
                <w:sz w:val="17"/>
              </w:rPr>
              <w:t>Digital dentistry operators</w:t>
            </w:r>
          </w:p>
        </w:tc>
        <w:tc>
          <w:tcPr>
            <w:tcW w:type="dxa" w:w="63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/>
                <w:color w:val="162236"/>
                <w:sz w:val="17"/>
              </w:rPr>
              <w:t>A specialised implant workflow layer that can sit behind an existing digital service portfolio.</w:t>
            </w:r>
          </w:p>
        </w:tc>
      </w:tr>
    </w:tbl>
    <w:p>
      <w:pPr>
        <w:spacing w:before="0" w:after="80" w:line="300" w:lineRule="auto"/>
        <w:jc w:val="left"/>
      </w:pPr>
      <w:r>
        <w:rPr>
          <w:rFonts w:ascii="Calibri" w:hAnsi="Calibri" w:eastAsia="Calibri"/>
          <w:b w:val="0"/>
          <w:i w:val="0"/>
          <w:color w:val="162236"/>
          <w:sz w:val="22"/>
        </w:rPr>
      </w:r>
    </w:p>
    <w:p>
      <w:pPr>
        <w:pStyle w:val="Heading2"/>
        <w:keepNext w:val="1"/>
        <w:keepLines w:val="1"/>
      </w:pPr>
      <w:r>
        <w:t>Section 3 — Partnership models</w:t>
      </w:r>
    </w:p>
    <w:tbl>
      <w:tblPr>
        <w:tblW w:type="dxa" w:w="900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4" w:space="0" w:color="D9E0E8"/>
          <w:left w:val="single" w:sz="4" w:space="0" w:color="D9E0E8"/>
          <w:bottom w:val="single" w:sz="4" w:space="0" w:color="D9E0E8"/>
          <w:right w:val="single" w:sz="4" w:space="0" w:color="D9E0E8"/>
          <w:insideH w:val="single" w:sz="4" w:space="0" w:color="D9E0E8"/>
          <w:insideV w:val="single" w:sz="4" w:space="0" w:color="D9E0E8"/>
        </w:tblBorders>
      </w:tblPr>
      <w:tblGrid>
        <w:gridCol w:w="2050"/>
        <w:gridCol w:w="4300"/>
        <w:gridCol w:w="2650"/>
      </w:tblGrid>
      <w:tr>
        <w:trPr>
          <w:tblHeader w:val="true"/>
          <w:cantSplit/>
        </w:trPr>
        <w:tc>
          <w:tcPr>
            <w:tcW w:type="dxa" w:w="205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/>
                <w:b/>
                <w:color w:val="1F4D78"/>
                <w:sz w:val="19"/>
              </w:rPr>
              <w:t>Model</w:t>
            </w:r>
          </w:p>
        </w:tc>
        <w:tc>
          <w:tcPr>
            <w:tcW w:type="dxa" w:w="43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/>
                <w:b/>
                <w:color w:val="1F4D78"/>
                <w:sz w:val="19"/>
              </w:rPr>
              <w:t>Meaning</w:t>
            </w:r>
          </w:p>
        </w:tc>
        <w:tc>
          <w:tcPr>
            <w:tcW w:type="dxa" w:w="265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/>
                <w:b/>
                <w:color w:val="1F4D78"/>
                <w:sz w:val="19"/>
              </w:rPr>
              <w:t>Boundary</w:t>
            </w:r>
          </w:p>
        </w:tc>
      </w:tr>
      <w:tr>
        <w:trPr>
          <w:cantSplit/>
        </w:trPr>
        <w:tc>
          <w:tcPr>
            <w:tcW w:type="dxa" w:w="205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/>
                <w:color w:val="162236"/>
                <w:sz w:val="16"/>
              </w:rPr>
              <w:t>Design support</w:t>
            </w:r>
          </w:p>
        </w:tc>
        <w:tc>
          <w:tcPr>
            <w:tcW w:type="dxa" w:w="43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/>
                <w:color w:val="162236"/>
                <w:sz w:val="16"/>
              </w:rPr>
              <w:t>I3DC supports planning/design file preparation under an agreed partner workflow.</w:t>
            </w:r>
          </w:p>
        </w:tc>
        <w:tc>
          <w:tcPr>
            <w:tcW w:type="dxa" w:w="265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/>
                <w:color w:val="162236"/>
                <w:sz w:val="16"/>
              </w:rPr>
              <w:t>Clinical approval remains with the treating professional.</w:t>
            </w:r>
          </w:p>
        </w:tc>
      </w:tr>
      <w:tr>
        <w:trPr>
          <w:cantSplit/>
        </w:trPr>
        <w:tc>
          <w:tcPr>
            <w:tcW w:type="dxa" w:w="205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/>
                <w:color w:val="162236"/>
                <w:sz w:val="16"/>
              </w:rPr>
              <w:t>Design-only files</w:t>
            </w:r>
          </w:p>
        </w:tc>
        <w:tc>
          <w:tcPr>
            <w:tcW w:type="dxa" w:w="43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/>
                <w:color w:val="162236"/>
                <w:sz w:val="16"/>
              </w:rPr>
              <w:t>The partner receives production-ready digital outputs for local fabrication where appropriate.</w:t>
            </w:r>
          </w:p>
        </w:tc>
        <w:tc>
          <w:tcPr>
            <w:tcW w:type="dxa" w:w="265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/>
                <w:color w:val="162236"/>
                <w:sz w:val="16"/>
              </w:rPr>
              <w:t>Local production responsibility must be confirmed before use.</w:t>
            </w:r>
          </w:p>
        </w:tc>
      </w:tr>
      <w:tr>
        <w:trPr>
          <w:cantSplit/>
        </w:trPr>
        <w:tc>
          <w:tcPr>
            <w:tcW w:type="dxa" w:w="205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/>
                <w:color w:val="162236"/>
                <w:sz w:val="16"/>
              </w:rPr>
              <w:t>Design-to-delivery support</w:t>
            </w:r>
          </w:p>
        </w:tc>
        <w:tc>
          <w:tcPr>
            <w:tcW w:type="dxa" w:w="43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/>
                <w:color w:val="162236"/>
                <w:sz w:val="16"/>
              </w:rPr>
              <w:t>Planning, guide/prosthetic design and production handoff are coordinated through the agreed scope.</w:t>
            </w:r>
          </w:p>
        </w:tc>
        <w:tc>
          <w:tcPr>
            <w:tcW w:type="dxa" w:w="265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/>
                <w:color w:val="162236"/>
                <w:sz w:val="16"/>
              </w:rPr>
              <w:t>Availability depends on case type, region and production route.</w:t>
            </w:r>
          </w:p>
        </w:tc>
      </w:tr>
      <w:tr>
        <w:trPr>
          <w:cantSplit/>
        </w:trPr>
        <w:tc>
          <w:tcPr>
            <w:tcW w:type="dxa" w:w="205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/>
                <w:color w:val="162236"/>
                <w:sz w:val="16"/>
              </w:rPr>
              <w:t>Education-to-service pathway</w:t>
            </w:r>
          </w:p>
        </w:tc>
        <w:tc>
          <w:tcPr>
            <w:tcW w:type="dxa" w:w="43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/>
                <w:color w:val="162236"/>
                <w:sz w:val="16"/>
              </w:rPr>
              <w:t>Course participants or customers can move into a structured support workflow after training.</w:t>
            </w:r>
          </w:p>
        </w:tc>
        <w:tc>
          <w:tcPr>
            <w:tcW w:type="dxa" w:w="265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/>
                <w:color w:val="162236"/>
                <w:sz w:val="16"/>
              </w:rPr>
              <w:t>Education does not replace case-specific diagnosis or approval.</w:t>
            </w:r>
          </w:p>
        </w:tc>
      </w:tr>
      <w:tr>
        <w:trPr>
          <w:cantSplit/>
        </w:trPr>
        <w:tc>
          <w:tcPr>
            <w:tcW w:type="dxa" w:w="205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/>
                <w:color w:val="162236"/>
                <w:sz w:val="16"/>
              </w:rPr>
              <w:t>Advanced-case collaboration</w:t>
            </w:r>
          </w:p>
        </w:tc>
        <w:tc>
          <w:tcPr>
            <w:tcW w:type="dxa" w:w="43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/>
                <w:color w:val="162236"/>
                <w:sz w:val="16"/>
              </w:rPr>
              <w:t>Complex workflows can receive more disciplined review cycles and version control.</w:t>
            </w:r>
          </w:p>
        </w:tc>
        <w:tc>
          <w:tcPr>
            <w:tcW w:type="dxa" w:w="265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/>
                <w:color w:val="162236"/>
                <w:sz w:val="16"/>
              </w:rPr>
              <w:t>Advanced cases require specialist clinical leadership.</w:t>
            </w:r>
          </w:p>
        </w:tc>
      </w:tr>
    </w:tbl>
    <w:p>
      <w:pPr>
        <w:spacing w:before="0" w:after="80" w:line="300" w:lineRule="auto"/>
        <w:jc w:val="left"/>
      </w:pPr>
      <w:r>
        <w:rPr>
          <w:rFonts w:ascii="Calibri" w:hAnsi="Calibri" w:eastAsia="Calibri"/>
          <w:b w:val="0"/>
          <w:i w:val="0"/>
          <w:color w:val="162236"/>
          <w:sz w:val="22"/>
        </w:rPr>
      </w:r>
    </w:p>
    <w:p>
      <w:pPr>
        <w:pStyle w:val="Heading2"/>
        <w:keepNext w:val="1"/>
        <w:keepLines w:val="1"/>
      </w:pPr>
      <w:r>
        <w:t>Section 4 — What makes the partnership workable</w:t>
      </w:r>
    </w:p>
    <w:p>
      <w:pPr>
        <w:numPr>
          <w:ilvl w:val="0"/>
          <w:numId w:val="11"/>
        </w:numPr>
        <w:spacing w:before="0" w:after="80" w:line="300" w:lineRule="auto"/>
        <w:keepLines w:val="1"/>
      </w:pPr>
      <w:r>
        <w:rPr>
          <w:rFonts w:ascii="Calibri" w:hAnsi="Calibri" w:eastAsia="Calibri"/>
          <w:color w:val="162236"/>
          <w:sz w:val="22"/>
        </w:rPr>
        <w:t>The partner's market, service promise and customer-facing brand position are clearly understood.</w:t>
      </w:r>
    </w:p>
    <w:p>
      <w:pPr>
        <w:numPr>
          <w:ilvl w:val="0"/>
          <w:numId w:val="11"/>
        </w:numPr>
        <w:spacing w:before="0" w:after="80" w:line="300" w:lineRule="auto"/>
        <w:keepLines w:val="1"/>
      </w:pPr>
      <w:r>
        <w:rPr>
          <w:rFonts w:ascii="Calibri" w:hAnsi="Calibri" w:eastAsia="Calibri"/>
          <w:color w:val="162236"/>
          <w:sz w:val="22"/>
        </w:rPr>
        <w:t>Scope is defined before clinical records are exchanged: planning, design-only, local production, coordinated delivery or education support.</w:t>
      </w:r>
    </w:p>
    <w:p>
      <w:pPr>
        <w:numPr>
          <w:ilvl w:val="0"/>
          <w:numId w:val="11"/>
        </w:numPr>
        <w:spacing w:before="0" w:after="80" w:line="300" w:lineRule="auto"/>
        <w:keepLines w:val="1"/>
      </w:pPr>
      <w:r>
        <w:rPr>
          <w:rFonts w:ascii="Calibri" w:hAnsi="Calibri" w:eastAsia="Calibri"/>
          <w:color w:val="162236"/>
          <w:sz w:val="22"/>
        </w:rPr>
        <w:t>Case categories, implant systems, production capability and expected review timelines are documented.</w:t>
      </w:r>
    </w:p>
    <w:p>
      <w:pPr>
        <w:numPr>
          <w:ilvl w:val="0"/>
          <w:numId w:val="11"/>
        </w:numPr>
        <w:spacing w:before="0" w:after="80" w:line="300" w:lineRule="auto"/>
        <w:keepLines w:val="1"/>
      </w:pPr>
      <w:r>
        <w:rPr>
          <w:rFonts w:ascii="Calibri" w:hAnsi="Calibri" w:eastAsia="Calibri"/>
          <w:color w:val="162236"/>
          <w:sz w:val="22"/>
        </w:rPr>
        <w:t>Versioning, revision requests, file naming and final approval responsibilities are agreed.</w:t>
      </w:r>
    </w:p>
    <w:p>
      <w:pPr>
        <w:numPr>
          <w:ilvl w:val="0"/>
          <w:numId w:val="11"/>
        </w:numPr>
        <w:spacing w:before="0" w:after="80" w:line="300" w:lineRule="auto"/>
        <w:keepLines w:val="1"/>
      </w:pPr>
      <w:r>
        <w:rPr>
          <w:rFonts w:ascii="Calibri" w:hAnsi="Calibri" w:eastAsia="Calibri"/>
          <w:color w:val="162236"/>
          <w:sz w:val="22"/>
        </w:rPr>
        <w:t>Sensitive case records move through the authorised intake route after scope is confirmed.</w:t>
      </w:r>
    </w:p>
    <w:p>
      <w:pPr>
        <w:numPr>
          <w:ilvl w:val="0"/>
          <w:numId w:val="11"/>
        </w:numPr>
        <w:spacing w:before="0" w:after="80" w:line="300" w:lineRule="auto"/>
        <w:keepLines w:val="1"/>
      </w:pPr>
      <w:r>
        <w:rPr>
          <w:rFonts w:ascii="Calibri" w:hAnsi="Calibri" w:eastAsia="Calibri"/>
          <w:color w:val="162236"/>
          <w:sz w:val="22"/>
        </w:rPr>
        <w:t>The public claim remains truthful: I3DC supports the workflow layer; it does not replace local diagnosis, consent, surgery or legal responsibility.</w:t>
      </w:r>
    </w:p>
    <w:p>
      <w:pPr>
        <w:pStyle w:val="Heading2"/>
        <w:keepNext w:val="1"/>
        <w:keepLines w:val="1"/>
      </w:pPr>
      <w:r>
        <w:t>Section 5 — The white-label workflow map</w:t>
      </w:r>
    </w:p>
    <w:tbl>
      <w:tblPr>
        <w:tblW w:type="dxa" w:w="900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4" w:space="0" w:color="D9E0E8"/>
          <w:left w:val="single" w:sz="4" w:space="0" w:color="D9E0E8"/>
          <w:bottom w:val="single" w:sz="4" w:space="0" w:color="D9E0E8"/>
          <w:right w:val="single" w:sz="4" w:space="0" w:color="D9E0E8"/>
          <w:insideH w:val="single" w:sz="4" w:space="0" w:color="D9E0E8"/>
          <w:insideV w:val="single" w:sz="4" w:space="0" w:color="D9E0E8"/>
        </w:tblBorders>
      </w:tblPr>
      <w:tblGrid>
        <w:gridCol w:w="1800"/>
        <w:gridCol w:w="4300"/>
        <w:gridCol w:w="2900"/>
      </w:tblGrid>
      <w:tr>
        <w:trPr>
          <w:tblHeader w:val="true"/>
          <w:cantSplit/>
        </w:trPr>
        <w:tc>
          <w:tcPr>
            <w:tcW w:type="dxa" w:w="1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/>
                <w:b/>
                <w:color w:val="1F4D78"/>
                <w:sz w:val="19"/>
              </w:rPr>
              <w:t>Stage</w:t>
            </w:r>
          </w:p>
        </w:tc>
        <w:tc>
          <w:tcPr>
            <w:tcW w:type="dxa" w:w="43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/>
                <w:b/>
                <w:color w:val="1F4D78"/>
                <w:sz w:val="19"/>
              </w:rPr>
              <w:t>Partner-facing meaning</w:t>
            </w:r>
          </w:p>
        </w:tc>
        <w:tc>
          <w:tcPr>
            <w:tcW w:type="dxa" w:w="29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/>
                <w:b/>
                <w:color w:val="1F4D78"/>
                <w:sz w:val="19"/>
              </w:rPr>
              <w:t>Visitor-facing message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/>
                <w:color w:val="162236"/>
                <w:sz w:val="17"/>
              </w:rPr>
              <w:t>1. Define scope</w:t>
            </w:r>
          </w:p>
        </w:tc>
        <w:tc>
          <w:tcPr>
            <w:tcW w:type="dxa" w:w="43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/>
                <w:color w:val="162236"/>
                <w:sz w:val="17"/>
              </w:rPr>
              <w:t>Partner model, geography, case categories and service promise are clarified.</w:t>
            </w:r>
          </w:p>
        </w:tc>
        <w:tc>
          <w:tcPr>
            <w:tcW w:type="dxa" w:w="29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/>
                <w:color w:val="162236"/>
                <w:sz w:val="17"/>
              </w:rPr>
              <w:t>Partnership starts with workflow fit.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/>
                <w:color w:val="162236"/>
                <w:sz w:val="17"/>
              </w:rPr>
              <w:t>2. Align outcome</w:t>
            </w:r>
          </w:p>
        </w:tc>
        <w:tc>
          <w:tcPr>
            <w:tcW w:type="dxa" w:w="43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/>
                <w:color w:val="162236"/>
                <w:sz w:val="17"/>
              </w:rPr>
              <w:t>Smile, prosthetic goal and clinical direction guide the planning support.</w:t>
            </w:r>
          </w:p>
        </w:tc>
        <w:tc>
          <w:tcPr>
            <w:tcW w:type="dxa" w:w="29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/>
                <w:color w:val="162236"/>
                <w:sz w:val="17"/>
              </w:rPr>
              <w:t>The patient outcome remains the anchor.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/>
                <w:color w:val="162236"/>
                <w:sz w:val="17"/>
              </w:rPr>
              <w:t>3. Receive records</w:t>
            </w:r>
          </w:p>
        </w:tc>
        <w:tc>
          <w:tcPr>
            <w:tcW w:type="dxa" w:w="43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/>
                <w:color w:val="162236"/>
                <w:sz w:val="17"/>
              </w:rPr>
              <w:t>Records move through the agreed professional route after intake.</w:t>
            </w:r>
          </w:p>
        </w:tc>
        <w:tc>
          <w:tcPr>
            <w:tcW w:type="dxa" w:w="29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/>
                <w:color w:val="162236"/>
                <w:sz w:val="17"/>
              </w:rPr>
              <w:t>No public clinical file exchange.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/>
                <w:color w:val="162236"/>
                <w:sz w:val="17"/>
              </w:rPr>
              <w:t>4. Plan and design</w:t>
            </w:r>
          </w:p>
        </w:tc>
        <w:tc>
          <w:tcPr>
            <w:tcW w:type="dxa" w:w="43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/>
                <w:color w:val="162236"/>
                <w:sz w:val="17"/>
              </w:rPr>
              <w:t>I3DC supports the agreed planning/design layer and review cycle.</w:t>
            </w:r>
          </w:p>
        </w:tc>
        <w:tc>
          <w:tcPr>
            <w:tcW w:type="dxa" w:w="29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/>
                <w:color w:val="162236"/>
                <w:sz w:val="17"/>
              </w:rPr>
              <w:t>Structured digital workflow support.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/>
                <w:color w:val="162236"/>
                <w:sz w:val="17"/>
              </w:rPr>
              <w:t>5. Approve and hand off</w:t>
            </w:r>
          </w:p>
        </w:tc>
        <w:tc>
          <w:tcPr>
            <w:tcW w:type="dxa" w:w="43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/>
                <w:color w:val="162236"/>
                <w:sz w:val="17"/>
              </w:rPr>
              <w:t>Partner/treating team confirms approval and production route.</w:t>
            </w:r>
          </w:p>
        </w:tc>
        <w:tc>
          <w:tcPr>
            <w:tcW w:type="dxa" w:w="29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/>
                <w:color w:val="162236"/>
                <w:sz w:val="17"/>
              </w:rPr>
              <w:t>Clear responsibility before delivery or use.</w:t>
            </w:r>
          </w:p>
        </w:tc>
      </w:tr>
    </w:tbl>
    <w:p>
      <w:pPr>
        <w:spacing w:before="0" w:after="80" w:line="300" w:lineRule="auto"/>
        <w:jc w:val="left"/>
      </w:pPr>
      <w:r>
        <w:rPr>
          <w:rFonts w:ascii="Calibri" w:hAnsi="Calibri" w:eastAsia="Calibri"/>
          <w:b w:val="0"/>
          <w:i w:val="0"/>
          <w:color w:val="162236"/>
          <w:sz w:val="22"/>
        </w:rPr>
      </w:r>
    </w:p>
    <w:p>
      <w:pPr>
        <w:pStyle w:val="Heading2"/>
        <w:keepNext w:val="1"/>
        <w:keepLines w:val="1"/>
      </w:pPr>
      <w:r>
        <w:t>Section 6 — What partners should prepare before inquiry</w:t>
      </w:r>
    </w:p>
    <w:p>
      <w:pPr>
        <w:spacing w:before="0" w:after="120" w:line="300" w:lineRule="auto"/>
        <w:jc w:val="left"/>
      </w:pPr>
      <w:r>
        <w:rPr>
          <w:rFonts w:ascii="Calibri" w:hAnsi="Calibri" w:eastAsia="Calibri"/>
          <w:b w:val="0"/>
          <w:i w:val="0"/>
          <w:color w:val="162236"/>
          <w:sz w:val="23"/>
        </w:rPr>
        <w:t>The partnership inquiry should be strategic first. The public form should collect enough information to qualify the conversation without asking for patient-identifying material.</w:t>
      </w:r>
    </w:p>
    <w:p>
      <w:pPr>
        <w:numPr>
          <w:ilvl w:val="0"/>
          <w:numId w:val="12"/>
        </w:numPr>
        <w:spacing w:before="0" w:after="80" w:line="300" w:lineRule="auto"/>
        <w:keepLines w:val="1"/>
      </w:pPr>
      <w:r>
        <w:rPr>
          <w:rFonts w:ascii="Calibri" w:hAnsi="Calibri" w:eastAsia="Calibri"/>
          <w:color w:val="162236"/>
          <w:sz w:val="22"/>
        </w:rPr>
        <w:t>Organisation type: lab, DSO, implant company, education group, digital dentistry operator or other partner.</w:t>
      </w:r>
    </w:p>
    <w:p>
      <w:pPr>
        <w:numPr>
          <w:ilvl w:val="0"/>
          <w:numId w:val="12"/>
        </w:numPr>
        <w:spacing w:before="0" w:after="80" w:line="300" w:lineRule="auto"/>
        <w:keepLines w:val="1"/>
      </w:pPr>
      <w:r>
        <w:rPr>
          <w:rFonts w:ascii="Calibri" w:hAnsi="Calibri" w:eastAsia="Calibri"/>
          <w:color w:val="162236"/>
          <w:sz w:val="22"/>
        </w:rPr>
        <w:t>Country, region and expected customer base.</w:t>
      </w:r>
    </w:p>
    <w:p>
      <w:pPr>
        <w:numPr>
          <w:ilvl w:val="0"/>
          <w:numId w:val="12"/>
        </w:numPr>
        <w:spacing w:before="0" w:after="80" w:line="300" w:lineRule="auto"/>
        <w:keepLines w:val="1"/>
      </w:pPr>
      <w:r>
        <w:rPr>
          <w:rFonts w:ascii="Calibri" w:hAnsi="Calibri" w:eastAsia="Calibri"/>
          <w:color w:val="162236"/>
          <w:sz w:val="22"/>
        </w:rPr>
        <w:t>Desired model: design support, design-only files, design-to-delivery, local production support or education-to-service pathway.</w:t>
      </w:r>
    </w:p>
    <w:p>
      <w:pPr>
        <w:numPr>
          <w:ilvl w:val="0"/>
          <w:numId w:val="12"/>
        </w:numPr>
        <w:spacing w:before="0" w:after="80" w:line="300" w:lineRule="auto"/>
        <w:keepLines w:val="1"/>
      </w:pPr>
      <w:r>
        <w:rPr>
          <w:rFonts w:ascii="Calibri" w:hAnsi="Calibri" w:eastAsia="Calibri"/>
          <w:color w:val="162236"/>
          <w:sz w:val="22"/>
        </w:rPr>
        <w:t>Case categories and monthly volume range if already known.</w:t>
      </w:r>
    </w:p>
    <w:p>
      <w:pPr>
        <w:numPr>
          <w:ilvl w:val="0"/>
          <w:numId w:val="12"/>
        </w:numPr>
        <w:spacing w:before="0" w:after="80" w:line="300" w:lineRule="auto"/>
        <w:keepLines w:val="1"/>
      </w:pPr>
      <w:r>
        <w:rPr>
          <w:rFonts w:ascii="Calibri" w:hAnsi="Calibri" w:eastAsia="Calibri"/>
          <w:color w:val="162236"/>
          <w:sz w:val="22"/>
        </w:rPr>
        <w:t>Implant systems, production capability and review expectations.</w:t>
      </w:r>
    </w:p>
    <w:p>
      <w:pPr>
        <w:numPr>
          <w:ilvl w:val="0"/>
          <w:numId w:val="12"/>
        </w:numPr>
        <w:spacing w:before="0" w:after="80" w:line="300" w:lineRule="auto"/>
        <w:keepLines w:val="1"/>
      </w:pPr>
      <w:r>
        <w:rPr>
          <w:rFonts w:ascii="Calibri" w:hAnsi="Calibri" w:eastAsia="Calibri"/>
          <w:color w:val="162236"/>
          <w:sz w:val="22"/>
        </w:rPr>
        <w:t>Preferred communication channel and decision owner for the partnership discussion.</w:t>
      </w:r>
    </w:p>
    <w:p>
      <w:pPr>
        <w:pStyle w:val="Heading2"/>
        <w:keepNext w:val="1"/>
        <w:keepLines w:val="1"/>
      </w:pPr>
      <w:r>
        <w:t>Section 7 — CTA block</w:t>
      </w:r>
    </w:p>
    <w:p>
      <w:pPr>
        <w:spacing w:before="0" w:after="80"/>
        <w:keepNext w:val="1"/>
      </w:pPr>
      <w:r>
        <w:rPr>
          <w:rFonts w:ascii="Calibri" w:hAnsi="Calibri" w:eastAsia="Calibri"/>
          <w:b/>
          <w:color w:val="2E74B5"/>
          <w:sz w:val="19"/>
        </w:rPr>
        <w:t>CTA HEADLINE</w:t>
      </w:r>
    </w:p>
    <w:p>
      <w:pPr>
        <w:spacing w:before="0" w:after="100" w:line="300" w:lineRule="auto"/>
        <w:jc w:val="left"/>
        <w:keepLines w:val="1"/>
      </w:pPr>
      <w:r>
        <w:rPr>
          <w:rFonts w:ascii="Calibri" w:hAnsi="Calibri" w:eastAsia="Calibri"/>
          <w:b w:val="0"/>
          <w:i w:val="0"/>
          <w:color w:val="162236"/>
          <w:sz w:val="24"/>
        </w:rPr>
        <w:t>Build a stronger implant workflow behind your brand.</w:t>
      </w:r>
    </w:p>
    <w:p>
      <w:pPr>
        <w:spacing w:before="0" w:after="80"/>
        <w:keepNext w:val="1"/>
      </w:pPr>
      <w:r>
        <w:rPr>
          <w:rFonts w:ascii="Calibri" w:hAnsi="Calibri" w:eastAsia="Calibri"/>
          <w:b/>
          <w:color w:val="2E74B5"/>
          <w:sz w:val="19"/>
        </w:rPr>
        <w:t>CTA COPY</w:t>
      </w:r>
    </w:p>
    <w:p>
      <w:pPr>
        <w:spacing w:before="0" w:after="100" w:line="300" w:lineRule="auto"/>
        <w:jc w:val="left"/>
        <w:keepLines w:val="1"/>
      </w:pPr>
      <w:r>
        <w:rPr>
          <w:rFonts w:ascii="Calibri" w:hAnsi="Calibri" w:eastAsia="Calibri"/>
          <w:b w:val="0"/>
          <w:i w:val="0"/>
          <w:color w:val="162236"/>
          <w:sz w:val="24"/>
        </w:rPr>
        <w:t>Share your partnership model, geography and service goal. Image3DConversion can help assess whether a white-label or behind-the-scenes workflow is the right fit.</w:t>
      </w:r>
    </w:p>
    <w:p>
      <w:pPr>
        <w:spacing w:before="0" w:after="100" w:line="300" w:lineRule="auto"/>
        <w:ind w:left="158" w:right="86"/>
        <w:shd w:fill="E8EEF5"/>
        <w:pBdr>
          <w:left w:val="single" w:sz="14" w:space="8" w:color="2E74B5"/>
        </w:pBdr>
        <w:keepLines w:val="1"/>
      </w:pPr>
      <w:r>
        <w:rPr>
          <w:rFonts w:ascii="Calibri" w:hAnsi="Calibri" w:eastAsia="Calibri"/>
          <w:b/>
          <w:color w:val="1F4D78"/>
          <w:sz w:val="21"/>
        </w:rPr>
        <w:t xml:space="preserve">Primary CTA: </w:t>
      </w:r>
      <w:r>
        <w:rPr>
          <w:rFonts w:ascii="Calibri" w:hAnsi="Calibri" w:eastAsia="Calibri"/>
          <w:color w:val="162236"/>
          <w:sz w:val="21"/>
        </w:rPr>
        <w:t>Explore Partnership</w:t>
      </w:r>
    </w:p>
    <w:p>
      <w:pPr>
        <w:spacing w:before="0" w:after="100" w:line="300" w:lineRule="auto"/>
        <w:ind w:left="158" w:right="86"/>
        <w:shd w:fill="F4F6F9"/>
        <w:pBdr>
          <w:left w:val="single" w:sz="14" w:space="8" w:color="1F4D78"/>
        </w:pBdr>
        <w:keepLines w:val="1"/>
      </w:pPr>
      <w:r>
        <w:rPr>
          <w:rFonts w:ascii="Calibri" w:hAnsi="Calibri" w:eastAsia="Calibri"/>
          <w:b/>
          <w:color w:val="1F4D78"/>
          <w:sz w:val="21"/>
        </w:rPr>
        <w:t xml:space="preserve">Secondary CTA: </w:t>
      </w:r>
      <w:r>
        <w:rPr>
          <w:rFonts w:ascii="Calibri" w:hAnsi="Calibri" w:eastAsia="Calibri"/>
          <w:color w:val="162236"/>
          <w:sz w:val="21"/>
        </w:rPr>
        <w:t>Discuss Workflow Scope</w:t>
      </w:r>
    </w:p>
    <w:p>
      <w:pPr>
        <w:pStyle w:val="Heading1"/>
        <w:pageBreakBefore w:val="1"/>
        <w:keepNext w:val="1"/>
        <w:keepLines w:val="1"/>
      </w:pPr>
      <w:r>
        <w:t>3. Design psychology and 3D visual direction</w:t>
      </w:r>
    </w:p>
    <w:tbl>
      <w:tblPr>
        <w:tblW w:type="dxa" w:w="900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4" w:space="0" w:color="D9E0E8"/>
          <w:left w:val="single" w:sz="4" w:space="0" w:color="D9E0E8"/>
          <w:bottom w:val="single" w:sz="4" w:space="0" w:color="D9E0E8"/>
          <w:right w:val="single" w:sz="4" w:space="0" w:color="D9E0E8"/>
          <w:insideH w:val="single" w:sz="4" w:space="0" w:color="D9E0E8"/>
          <w:insideV w:val="single" w:sz="4" w:space="0" w:color="D9E0E8"/>
        </w:tblBorders>
      </w:tblPr>
      <w:tblGrid>
        <w:gridCol w:w="2600"/>
        <w:gridCol w:w="6400"/>
      </w:tblGrid>
      <w:tr>
        <w:trPr>
          <w:tblHeader w:val="true"/>
          <w:cantSplit/>
        </w:trPr>
        <w:tc>
          <w:tcPr>
            <w:tcW w:type="dxa" w:w="26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/>
                <w:b/>
                <w:color w:val="1F4D78"/>
                <w:sz w:val="19"/>
              </w:rPr>
              <w:t>Layer</w:t>
            </w:r>
          </w:p>
        </w:tc>
        <w:tc>
          <w:tcPr>
            <w:tcW w:type="dxa" w:w="64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/>
                <w:b/>
                <w:color w:val="1F4D78"/>
                <w:sz w:val="19"/>
              </w:rPr>
              <w:t>Direction</w:t>
            </w:r>
          </w:p>
        </w:tc>
      </w:tr>
      <w:tr>
        <w:trPr>
          <w:cantSplit/>
        </w:trPr>
        <w:tc>
          <w:tcPr>
            <w:tcW w:type="dxa" w:w="26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/>
                <w:color w:val="162236"/>
                <w:sz w:val="17"/>
              </w:rPr>
              <w:t>Emotional entry</w:t>
            </w:r>
          </w:p>
        </w:tc>
        <w:tc>
          <w:tcPr>
            <w:tcW w:type="dxa" w:w="64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/>
                <w:color w:val="162236"/>
                <w:sz w:val="17"/>
              </w:rPr>
              <w:t>The partner wants capability under their own brand without losing workflow control.</w:t>
            </w:r>
          </w:p>
        </w:tc>
      </w:tr>
      <w:tr>
        <w:trPr>
          <w:cantSplit/>
        </w:trPr>
        <w:tc>
          <w:tcPr>
            <w:tcW w:type="dxa" w:w="26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/>
                <w:color w:val="162236"/>
                <w:sz w:val="17"/>
              </w:rPr>
              <w:t>Visual story</w:t>
            </w:r>
          </w:p>
        </w:tc>
        <w:tc>
          <w:tcPr>
            <w:tcW w:type="dxa" w:w="64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/>
                <w:color w:val="162236"/>
                <w:sz w:val="17"/>
              </w:rPr>
              <w:t>Brand surface in front; deep blue-white 3D implant planning stack behind; patient smile/prosthetic endpoint as the origin.</w:t>
            </w:r>
          </w:p>
        </w:tc>
      </w:tr>
      <w:tr>
        <w:trPr>
          <w:cantSplit/>
        </w:trPr>
        <w:tc>
          <w:tcPr>
            <w:tcW w:type="dxa" w:w="26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/>
                <w:color w:val="162236"/>
                <w:sz w:val="17"/>
              </w:rPr>
              <w:t>Interaction</w:t>
            </w:r>
          </w:p>
        </w:tc>
        <w:tc>
          <w:tcPr>
            <w:tcW w:type="dxa" w:w="64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/>
                <w:color w:val="162236"/>
                <w:sz w:val="17"/>
              </w:rPr>
              <w:t>Cards compare partner types and models. A simple workflow strip shows scope -&gt; outcome -&gt; records -&gt; design -&gt; approval.</w:t>
            </w:r>
          </w:p>
        </w:tc>
      </w:tr>
      <w:tr>
        <w:trPr>
          <w:cantSplit/>
        </w:trPr>
        <w:tc>
          <w:tcPr>
            <w:tcW w:type="dxa" w:w="26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/>
                <w:color w:val="162236"/>
                <w:sz w:val="17"/>
              </w:rPr>
              <w:t>Avoid</w:t>
            </w:r>
          </w:p>
        </w:tc>
        <w:tc>
          <w:tcPr>
            <w:tcW w:type="dxa" w:w="64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/>
                <w:color w:val="162236"/>
                <w:sz w:val="17"/>
              </w:rPr>
              <w:t>Handshake stock photos, generic world maps, dark-purple SaaS gradients, claims of unlimited capacity, outcome-assurance language, and copy that sounds like anonymous outsourcing.</w:t>
            </w:r>
          </w:p>
        </w:tc>
      </w:tr>
      <w:tr>
        <w:trPr>
          <w:cantSplit/>
        </w:trPr>
        <w:tc>
          <w:tcPr>
            <w:tcW w:type="dxa" w:w="26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/>
                <w:color w:val="162236"/>
                <w:sz w:val="17"/>
              </w:rPr>
              <w:t>CTA feel</w:t>
            </w:r>
          </w:p>
        </w:tc>
        <w:tc>
          <w:tcPr>
            <w:tcW w:type="dxa" w:w="64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/>
                <w:color w:val="162236"/>
                <w:sz w:val="17"/>
              </w:rPr>
              <w:t>Strategic partnership inquiry, not a casual contact form.</w:t>
            </w:r>
          </w:p>
        </w:tc>
      </w:tr>
    </w:tbl>
    <w:p>
      <w:pPr>
        <w:spacing w:before="0" w:after="80" w:line="300" w:lineRule="auto"/>
        <w:jc w:val="left"/>
      </w:pPr>
      <w:r>
        <w:rPr>
          <w:rFonts w:ascii="Calibri" w:hAnsi="Calibri" w:eastAsia="Calibri"/>
          <w:b w:val="0"/>
          <w:i w:val="0"/>
          <w:color w:val="162236"/>
          <w:sz w:val="22"/>
        </w:rPr>
      </w:r>
    </w:p>
    <w:p>
      <w:pPr>
        <w:pStyle w:val="Heading1"/>
        <w:keepNext w:val="1"/>
        <w:keepLines w:val="1"/>
      </w:pPr>
      <w:r>
        <w:t>4. Mobile behaviour</w:t>
      </w:r>
    </w:p>
    <w:p>
      <w:pPr>
        <w:numPr>
          <w:ilvl w:val="0"/>
          <w:numId w:val="13"/>
        </w:numPr>
        <w:spacing w:before="0" w:after="80" w:line="300" w:lineRule="auto"/>
        <w:keepLines w:val="1"/>
      </w:pPr>
      <w:r>
        <w:rPr>
          <w:rFonts w:ascii="Calibri" w:hAnsi="Calibri" w:eastAsia="Calibri"/>
          <w:color w:val="162236"/>
          <w:sz w:val="22"/>
        </w:rPr>
        <w:t>Hero should show one strong 3D dental workflow image with readable H1 and two CTAs.</w:t>
      </w:r>
    </w:p>
    <w:p>
      <w:pPr>
        <w:numPr>
          <w:ilvl w:val="0"/>
          <w:numId w:val="13"/>
        </w:numPr>
        <w:spacing w:before="0" w:after="80" w:line="300" w:lineRule="auto"/>
        <w:keepLines w:val="1"/>
      </w:pPr>
      <w:r>
        <w:rPr>
          <w:rFonts w:ascii="Calibri" w:hAnsi="Calibri" w:eastAsia="Calibri"/>
          <w:color w:val="162236"/>
          <w:sz w:val="22"/>
        </w:rPr>
        <w:t>Partner-type and model tables should convert to stacked cards.</w:t>
      </w:r>
    </w:p>
    <w:p>
      <w:pPr>
        <w:numPr>
          <w:ilvl w:val="0"/>
          <w:numId w:val="13"/>
        </w:numPr>
        <w:spacing w:before="0" w:after="80" w:line="300" w:lineRule="auto"/>
        <w:keepLines w:val="1"/>
      </w:pPr>
      <w:r>
        <w:rPr>
          <w:rFonts w:ascii="Calibri" w:hAnsi="Calibri" w:eastAsia="Calibri"/>
          <w:color w:val="162236"/>
          <w:sz w:val="22"/>
        </w:rPr>
        <w:t>The workflow map should render as five vertical stages with short labels.</w:t>
      </w:r>
    </w:p>
    <w:p>
      <w:pPr>
        <w:numPr>
          <w:ilvl w:val="0"/>
          <w:numId w:val="13"/>
        </w:numPr>
        <w:spacing w:before="0" w:after="80" w:line="300" w:lineRule="auto"/>
        <w:keepLines w:val="1"/>
      </w:pPr>
      <w:r>
        <w:rPr>
          <w:rFonts w:ascii="Calibri" w:hAnsi="Calibri" w:eastAsia="Calibri"/>
          <w:color w:val="162236"/>
          <w:sz w:val="22"/>
        </w:rPr>
        <w:t>Keep public inquiry lightweight; do not ask for clinical uploads on this page.</w:t>
      </w:r>
    </w:p>
    <w:p>
      <w:pPr>
        <w:numPr>
          <w:ilvl w:val="0"/>
          <w:numId w:val="13"/>
        </w:numPr>
        <w:spacing w:before="0" w:after="80" w:line="300" w:lineRule="auto"/>
        <w:keepLines w:val="1"/>
      </w:pPr>
      <w:r>
        <w:rPr>
          <w:rFonts w:ascii="Calibri" w:hAnsi="Calibri" w:eastAsia="Calibri"/>
          <w:color w:val="162236"/>
          <w:sz w:val="22"/>
        </w:rPr>
        <w:t>The Case Portal link can appear as a secondary professional route after partnership scope is established.</w:t>
      </w:r>
    </w:p>
    <w:p>
      <w:pPr>
        <w:pStyle w:val="Heading1"/>
        <w:keepNext w:val="1"/>
        <w:keepLines w:val="1"/>
      </w:pPr>
      <w:r>
        <w:t>5. Publication controls</w:t>
      </w:r>
    </w:p>
    <w:tbl>
      <w:tblPr>
        <w:tblW w:type="dxa" w:w="900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4" w:space="0" w:color="D9E0E8"/>
          <w:left w:val="single" w:sz="4" w:space="0" w:color="D9E0E8"/>
          <w:bottom w:val="single" w:sz="4" w:space="0" w:color="D9E0E8"/>
          <w:right w:val="single" w:sz="4" w:space="0" w:color="D9E0E8"/>
          <w:insideH w:val="single" w:sz="4" w:space="0" w:color="D9E0E8"/>
          <w:insideV w:val="single" w:sz="4" w:space="0" w:color="D9E0E8"/>
        </w:tblBorders>
      </w:tblPr>
      <w:tblGrid>
        <w:gridCol w:w="2500"/>
        <w:gridCol w:w="6500"/>
      </w:tblGrid>
      <w:tr>
        <w:trPr>
          <w:tblHeader w:val="true"/>
          <w:cantSplit/>
        </w:trPr>
        <w:tc>
          <w:tcPr>
            <w:tcW w:type="dxa" w:w="25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/>
                <w:b/>
                <w:color w:val="1F4D78"/>
                <w:sz w:val="19"/>
              </w:rPr>
              <w:t>Control</w:t>
            </w:r>
          </w:p>
        </w:tc>
        <w:tc>
          <w:tcPr>
            <w:tcW w:type="dxa" w:w="65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/>
                <w:b/>
                <w:color w:val="1F4D78"/>
                <w:sz w:val="19"/>
              </w:rPr>
              <w:t>Rule</w:t>
            </w:r>
          </w:p>
        </w:tc>
      </w:tr>
      <w:tr>
        <w:trPr>
          <w:cantSplit/>
        </w:trPr>
        <w:tc>
          <w:tcPr>
            <w:tcW w:type="dxa" w:w="25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/>
                <w:color w:val="162236"/>
                <w:sz w:val="17"/>
              </w:rPr>
              <w:t>Brand</w:t>
            </w:r>
          </w:p>
        </w:tc>
        <w:tc>
          <w:tcPr>
            <w:tcW w:type="dxa" w:w="65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/>
                <w:color w:val="162236"/>
                <w:sz w:val="17"/>
              </w:rPr>
              <w:t>Blue + White only. Use depth, lighting and 3D dental planning imagery for premium feel.</w:t>
            </w:r>
          </w:p>
        </w:tc>
      </w:tr>
      <w:tr>
        <w:trPr>
          <w:cantSplit/>
        </w:trPr>
        <w:tc>
          <w:tcPr>
            <w:tcW w:type="dxa" w:w="25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/>
                <w:color w:val="162236"/>
                <w:sz w:val="17"/>
              </w:rPr>
              <w:t>Claims</w:t>
            </w:r>
          </w:p>
        </w:tc>
        <w:tc>
          <w:tcPr>
            <w:tcW w:type="dxa" w:w="65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/>
                <w:color w:val="162236"/>
                <w:sz w:val="17"/>
              </w:rPr>
              <w:t>Mention support, collaboration, planning/design workflow and production-ready files only where scope can be verified.</w:t>
            </w:r>
          </w:p>
        </w:tc>
      </w:tr>
      <w:tr>
        <w:trPr>
          <w:cantSplit/>
        </w:trPr>
        <w:tc>
          <w:tcPr>
            <w:tcW w:type="dxa" w:w="25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/>
                <w:color w:val="162236"/>
                <w:sz w:val="17"/>
              </w:rPr>
              <w:t>Clinical authority</w:t>
            </w:r>
          </w:p>
        </w:tc>
        <w:tc>
          <w:tcPr>
            <w:tcW w:type="dxa" w:w="65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/>
                <w:color w:val="162236"/>
                <w:sz w:val="17"/>
              </w:rPr>
              <w:t>Keep diagnosis, consent, surgical execution and final approval with the treating professional.</w:t>
            </w:r>
          </w:p>
        </w:tc>
      </w:tr>
      <w:tr>
        <w:trPr>
          <w:cantSplit/>
        </w:trPr>
        <w:tc>
          <w:tcPr>
            <w:tcW w:type="dxa" w:w="25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/>
                <w:color w:val="162236"/>
                <w:sz w:val="17"/>
              </w:rPr>
              <w:t>White-label</w:t>
            </w:r>
          </w:p>
        </w:tc>
        <w:tc>
          <w:tcPr>
            <w:tcW w:type="dxa" w:w="65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/>
                <w:color w:val="162236"/>
                <w:sz w:val="17"/>
              </w:rPr>
              <w:t>Do not imply invisible clinical responsibility transfer. The partner model must be scoped.</w:t>
            </w:r>
          </w:p>
        </w:tc>
      </w:tr>
      <w:tr>
        <w:trPr>
          <w:cantSplit/>
        </w:trPr>
        <w:tc>
          <w:tcPr>
            <w:tcW w:type="dxa" w:w="25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/>
                <w:color w:val="162236"/>
                <w:sz w:val="17"/>
              </w:rPr>
              <w:t>Records</w:t>
            </w:r>
          </w:p>
        </w:tc>
        <w:tc>
          <w:tcPr>
            <w:tcW w:type="dxa" w:w="65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/>
                <w:color w:val="162236"/>
                <w:sz w:val="17"/>
              </w:rPr>
              <w:t>Public page may collect partnership inquiry data only. Clinical records move through the authorised professional route.</w:t>
            </w:r>
          </w:p>
        </w:tc>
      </w:tr>
      <w:tr>
        <w:trPr>
          <w:cantSplit/>
        </w:trPr>
        <w:tc>
          <w:tcPr>
            <w:tcW w:type="dxa" w:w="25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/>
                <w:color w:val="162236"/>
                <w:sz w:val="17"/>
              </w:rPr>
              <w:t>Global</w:t>
            </w:r>
          </w:p>
        </w:tc>
        <w:tc>
          <w:tcPr>
            <w:tcW w:type="dxa" w:w="65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/>
                <w:color w:val="162236"/>
                <w:sz w:val="17"/>
              </w:rPr>
              <w:t>Use operational fit language: region, time zone, production route, review cycle and responsibility boundary.</w:t>
            </w:r>
          </w:p>
        </w:tc>
      </w:tr>
    </w:tbl>
    <w:p>
      <w:pPr>
        <w:spacing w:before="0" w:after="80" w:line="300" w:lineRule="auto"/>
        <w:jc w:val="left"/>
      </w:pPr>
      <w:r>
        <w:rPr>
          <w:rFonts w:ascii="Calibri" w:hAnsi="Calibri" w:eastAsia="Calibri"/>
          <w:b w:val="0"/>
          <w:i w:val="0"/>
          <w:color w:val="162236"/>
          <w:sz w:val="22"/>
        </w:rPr>
      </w:r>
    </w:p>
    <w:p>
      <w:pPr>
        <w:pStyle w:val="Heading1"/>
        <w:keepNext w:val="1"/>
        <w:keepLines w:val="1"/>
      </w:pPr>
      <w:r>
        <w:t>6. Evidence and source controls</w:t>
      </w:r>
    </w:p>
    <w:p>
      <w:pPr>
        <w:spacing w:before="0" w:after="120" w:line="300" w:lineRule="auto"/>
        <w:jc w:val="left"/>
      </w:pPr>
      <w:r>
        <w:rPr>
          <w:rFonts w:ascii="Calibri" w:hAnsi="Calibri" w:eastAsia="Calibri"/>
          <w:b w:val="0"/>
          <w:i w:val="0"/>
          <w:color w:val="162236"/>
          <w:sz w:val="22"/>
        </w:rPr>
        <w:t>This page is primarily commercial and operational, so it should not over-cite. Use evidence only where it supports guided workflow boundaries and professional responsibility.</w:t>
      </w:r>
    </w:p>
    <w:p>
      <w:pPr>
        <w:numPr>
          <w:ilvl w:val="0"/>
          <w:numId w:val="14"/>
        </w:numPr>
        <w:spacing w:after="80" w:line="300" w:lineRule="auto"/>
      </w:pPr>
      <w:hyperlink r:id="rId11">
        <w:r>
          <w:rPr>
            <w:rFonts w:ascii="Calibri" w:hAnsi="Calibri"/>
            <w:color w:val="2E74B5"/>
            <w:u w:val="single"/>
          </w:rPr>
          <w:t>ITI consensus: guided surgery supports but does not replace clinical diagnosis and verification</w:t>
        </w:r>
      </w:hyperlink>
    </w:p>
    <w:p>
      <w:pPr>
        <w:numPr>
          <w:ilvl w:val="0"/>
          <w:numId w:val="15"/>
        </w:numPr>
        <w:spacing w:after="80" w:line="300" w:lineRule="auto"/>
      </w:pPr>
      <w:hyperlink r:id="rId12">
        <w:r>
          <w:rPr>
            <w:rFonts w:ascii="Calibri" w:hAnsi="Calibri"/>
            <w:color w:val="2E74B5"/>
            <w:u w:val="single"/>
          </w:rPr>
          <w:t>Google Search Central: people-first content</w:t>
        </w:r>
      </w:hyperlink>
    </w:p>
    <w:p>
      <w:pPr>
        <w:numPr>
          <w:ilvl w:val="0"/>
          <w:numId w:val="16"/>
        </w:numPr>
        <w:spacing w:after="80" w:line="300" w:lineRule="auto"/>
      </w:pPr>
      <w:hyperlink r:id="rId13">
        <w:r>
          <w:rPr>
            <w:rFonts w:ascii="Calibri" w:hAnsi="Calibri"/>
            <w:color w:val="2E74B5"/>
            <w:u w:val="single"/>
          </w:rPr>
          <w:t>Google Search Central: SEO Starter Guide</w:t>
        </w:r>
      </w:hyperlink>
    </w:p>
    <w:p>
      <w:pPr>
        <w:pStyle w:val="Heading1"/>
        <w:keepNext w:val="1"/>
        <w:keepLines w:val="1"/>
      </w:pPr>
      <w:r>
        <w:t>7. Developer handoff notes</w:t>
      </w:r>
    </w:p>
    <w:p>
      <w:pPr>
        <w:numPr>
          <w:ilvl w:val="0"/>
          <w:numId w:val="17"/>
        </w:numPr>
        <w:spacing w:before="0" w:after="80" w:line="300" w:lineRule="auto"/>
        <w:keepLines w:val="1"/>
      </w:pPr>
      <w:r>
        <w:rPr>
          <w:rFonts w:ascii="Calibri" w:hAnsi="Calibri" w:eastAsia="Calibri"/>
          <w:color w:val="162236"/>
          <w:sz w:val="22"/>
        </w:rPr>
        <w:t>Create route `/white-label-workflow-partnership/` only after Homepage + Global Shell patterns are in place.</w:t>
      </w:r>
    </w:p>
    <w:p>
      <w:pPr>
        <w:numPr>
          <w:ilvl w:val="0"/>
          <w:numId w:val="17"/>
        </w:numPr>
        <w:spacing w:before="0" w:after="80" w:line="300" w:lineRule="auto"/>
        <w:keepLines w:val="1"/>
      </w:pPr>
      <w:r>
        <w:rPr>
          <w:rFonts w:ascii="Calibri" w:hAnsi="Calibri" w:eastAsia="Calibri"/>
          <w:color w:val="162236"/>
          <w:sz w:val="22"/>
        </w:rPr>
        <w:t>Use shared header, footer, CTA, card, source-link and workflow-strip components from Blueprint 01.</w:t>
      </w:r>
    </w:p>
    <w:p>
      <w:pPr>
        <w:numPr>
          <w:ilvl w:val="0"/>
          <w:numId w:val="17"/>
        </w:numPr>
        <w:spacing w:before="0" w:after="80" w:line="300" w:lineRule="auto"/>
        <w:keepLines w:val="1"/>
      </w:pPr>
      <w:r>
        <w:rPr>
          <w:rFonts w:ascii="Calibri" w:hAnsi="Calibri" w:eastAsia="Calibri"/>
          <w:color w:val="162236"/>
          <w:sz w:val="22"/>
        </w:rPr>
        <w:t>Keep Case Portal terminology consistent; do not create any public-facing clinical-file intake route.</w:t>
      </w:r>
    </w:p>
    <w:p>
      <w:pPr>
        <w:numPr>
          <w:ilvl w:val="0"/>
          <w:numId w:val="17"/>
        </w:numPr>
        <w:spacing w:before="0" w:after="80" w:line="300" w:lineRule="auto"/>
        <w:keepLines w:val="1"/>
      </w:pPr>
      <w:r>
        <w:rPr>
          <w:rFonts w:ascii="Calibri" w:hAnsi="Calibri" w:eastAsia="Calibri"/>
          <w:color w:val="162236"/>
          <w:sz w:val="22"/>
        </w:rPr>
        <w:t>Expose this route from Global Practice Workflows, footer services and relevant partnership CTAs.</w:t>
      </w:r>
    </w:p>
    <w:p>
      <w:pPr>
        <w:numPr>
          <w:ilvl w:val="0"/>
          <w:numId w:val="17"/>
        </w:numPr>
        <w:spacing w:before="0" w:after="80" w:line="300" w:lineRule="auto"/>
        <w:keepLines w:val="1"/>
      </w:pPr>
      <w:r>
        <w:rPr>
          <w:rFonts w:ascii="Calibri" w:hAnsi="Calibri" w:eastAsia="Calibri"/>
          <w:color w:val="162236"/>
          <w:sz w:val="22"/>
        </w:rPr>
        <w:t>Before publication, Founder must verify partner models, eligible regions, service capacity, inquiry routing and responsibility language.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  <w:jc w:val="right"/>
    </w:pPr>
    <w:r>
      <w:rPr>
        <w:rFonts w:ascii="Calibri" w:hAnsi="Calibri" w:eastAsia="Calibri"/>
        <w:color w:val="5F6B7A"/>
        <w:sz w:val="18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9360" w:val="left"/>
      </w:tabs>
      <w:spacing w:after="0"/>
    </w:pPr>
    <w:r>
      <w:rPr>
        <w:rFonts w:ascii="Calibri" w:hAnsi="Calibri" w:eastAsia="Calibri"/>
        <w:b/>
        <w:color w:val="5F6B7A"/>
        <w:sz w:val="17"/>
      </w:rPr>
      <w:t>IMAGE3DCONVERSION  /  WHITE-LABEL WORKFLOW PARTNERSHIP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bullet"/>
      <w:lvlText w:val="•"/>
      <w:suff w:val="tab"/>
      <w:lvlJc w:val="left"/>
      <w:pPr>
        <w:tabs>
          <w:tab w:val="num" w:pos="540"/>
        </w:tabs>
        <w:ind w:left="540" w:hanging="270"/>
      </w:pPr>
      <w:rPr>
        <w:rFonts w:ascii="Calibri" w:hAnsi="Calibri" w:hint="default"/>
      </w:rPr>
    </w:lvl>
  </w:abstractNum>
  <w:num w:numId="10">
    <w:abstractNumId w:val="9"/>
  </w:num>
  <w:abstractNum w:abstractNumId="10">
    <w:multiLevelType w:val="singleLevel"/>
    <w:lvl w:ilvl="0">
      <w:start w:val="1"/>
      <w:numFmt w:val="bullet"/>
      <w:lvlText w:val="•"/>
      <w:suff w:val="tab"/>
      <w:lvlJc w:val="left"/>
      <w:pPr>
        <w:tabs>
          <w:tab w:val="num" w:pos="540"/>
        </w:tabs>
        <w:ind w:left="540" w:hanging="270"/>
      </w:pPr>
      <w:rPr>
        <w:rFonts w:ascii="Calibri" w:hAnsi="Calibri" w:hint="default"/>
      </w:rPr>
    </w:lvl>
  </w:abstractNum>
  <w:num w:numId="11">
    <w:abstractNumId w:val="10"/>
  </w:num>
  <w:abstractNum w:abstractNumId="11">
    <w:multiLevelType w:val="singleLevel"/>
    <w:lvl w:ilvl="0">
      <w:start w:val="1"/>
      <w:numFmt w:val="bullet"/>
      <w:lvlText w:val="•"/>
      <w:suff w:val="tab"/>
      <w:lvlJc w:val="left"/>
      <w:pPr>
        <w:tabs>
          <w:tab w:val="num" w:pos="540"/>
        </w:tabs>
        <w:ind w:left="540" w:hanging="270"/>
      </w:pPr>
      <w:rPr>
        <w:rFonts w:ascii="Calibri" w:hAnsi="Calibri" w:hint="default"/>
      </w:rPr>
    </w:lvl>
  </w:abstractNum>
  <w:num w:numId="12">
    <w:abstractNumId w:val="11"/>
  </w:num>
  <w:abstractNum w:abstractNumId="12">
    <w:multiLevelType w:val="singleLevel"/>
    <w:lvl w:ilvl="0">
      <w:start w:val="1"/>
      <w:numFmt w:val="bullet"/>
      <w:lvlText w:val="•"/>
      <w:suff w:val="tab"/>
      <w:lvlJc w:val="left"/>
      <w:pPr>
        <w:tabs>
          <w:tab w:val="num" w:pos="540"/>
        </w:tabs>
        <w:ind w:left="540" w:hanging="270"/>
      </w:pPr>
      <w:rPr>
        <w:rFonts w:ascii="Calibri" w:hAnsi="Calibri" w:hint="default"/>
      </w:rPr>
    </w:lvl>
  </w:abstractNum>
  <w:num w:numId="13">
    <w:abstractNumId w:val="12"/>
  </w:num>
  <w:abstractNum w:abstractNumId="13">
    <w:multiLevelType w:val="singleLevel"/>
    <w:lvl w:ilvl="0">
      <w:start w:val="1"/>
      <w:numFmt w:val="bullet"/>
      <w:lvlText w:val="•"/>
      <w:suff w:val="tab"/>
      <w:lvlJc w:val="left"/>
      <w:pPr>
        <w:tabs>
          <w:tab w:val="num" w:pos="540"/>
        </w:tabs>
        <w:ind w:left="540" w:hanging="270"/>
      </w:pPr>
      <w:rPr>
        <w:rFonts w:ascii="Calibri" w:hAnsi="Calibri" w:hint="default"/>
      </w:rPr>
    </w:lvl>
  </w:abstractNum>
  <w:num w:numId="14">
    <w:abstractNumId w:val="13"/>
  </w:num>
  <w:abstractNum w:abstractNumId="14">
    <w:multiLevelType w:val="singleLevel"/>
    <w:lvl w:ilvl="0">
      <w:start w:val="1"/>
      <w:numFmt w:val="bullet"/>
      <w:lvlText w:val="•"/>
      <w:suff w:val="tab"/>
      <w:lvlJc w:val="left"/>
      <w:pPr>
        <w:tabs>
          <w:tab w:val="num" w:pos="540"/>
        </w:tabs>
        <w:ind w:left="540" w:hanging="270"/>
      </w:pPr>
      <w:rPr>
        <w:rFonts w:ascii="Calibri" w:hAnsi="Calibri" w:hint="default"/>
      </w:rPr>
    </w:lvl>
  </w:abstractNum>
  <w:num w:numId="15">
    <w:abstractNumId w:val="14"/>
  </w:num>
  <w:abstractNum w:abstractNumId="15">
    <w:multiLevelType w:val="singleLevel"/>
    <w:lvl w:ilvl="0">
      <w:start w:val="1"/>
      <w:numFmt w:val="bullet"/>
      <w:lvlText w:val="•"/>
      <w:suff w:val="tab"/>
      <w:lvlJc w:val="left"/>
      <w:pPr>
        <w:tabs>
          <w:tab w:val="num" w:pos="540"/>
        </w:tabs>
        <w:ind w:left="540" w:hanging="270"/>
      </w:pPr>
      <w:rPr>
        <w:rFonts w:ascii="Calibri" w:hAnsi="Calibri" w:hint="default"/>
      </w:rPr>
    </w:lvl>
  </w:abstractNum>
  <w:num w:numId="16">
    <w:abstractNumId w:val="15"/>
  </w:num>
  <w:abstractNum w:abstractNumId="16">
    <w:multiLevelType w:val="singleLevel"/>
    <w:lvl w:ilvl="0">
      <w:start w:val="1"/>
      <w:numFmt w:val="bullet"/>
      <w:lvlText w:val="•"/>
      <w:suff w:val="tab"/>
      <w:lvlJc w:val="left"/>
      <w:pPr>
        <w:tabs>
          <w:tab w:val="num" w:pos="540"/>
        </w:tabs>
        <w:ind w:left="540" w:hanging="270"/>
      </w:pPr>
      <w:rPr>
        <w:rFonts w:ascii="Calibri" w:hAnsi="Calibri" w:hint="default"/>
      </w:rPr>
    </w:lvl>
  </w:abstractNum>
  <w:num w:numId="17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/>
      <w:color w:val="162236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300" w:lineRule="auto"/>
      <w:ind w:left="540" w:hanging="271"/>
      <w:contextualSpacing/>
    </w:pPr>
    <w:rPr>
      <w:rFonts w:ascii="Calibri" w:hAnsi="Calibr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80" w:line="300" w:lineRule="auto"/>
      <w:ind w:left="936" w:hanging="259"/>
      <w:contextualSpacing/>
    </w:pPr>
    <w:rPr>
      <w:rFonts w:ascii="Calibri" w:hAnsi="Calibri"/>
      <w:sz w:val="22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300" w:lineRule="auto"/>
      <w:ind w:left="540" w:hanging="271"/>
      <w:contextualSpacing/>
    </w:pPr>
    <w:rPr>
      <w:rFonts w:ascii="Calibri" w:hAnsi="Calibr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academy.iti.org/academy/consensus-database/consensus-statement/-/consensus/computer-guided-implant-surgery/1213" TargetMode="External"/><Relationship Id="rId12" Type="http://schemas.openxmlformats.org/officeDocument/2006/relationships/hyperlink" Target="https://developers.google.com/search/docs/fundamentals/creating-helpful-content" TargetMode="External"/><Relationship Id="rId13" Type="http://schemas.openxmlformats.org/officeDocument/2006/relationships/hyperlink" Target="https://developers.google.com/search/docs/fundamentals/seo-starter-guid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