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80" w:line="300" w:lineRule="auto"/>
        <w:jc w:val="left"/>
      </w:pPr>
      <w:r>
        <w:rPr>
          <w:rFonts w:ascii="Calibri" w:hAnsi="Calibri" w:eastAsia="Calibri"/>
          <w:b/>
          <w:i w:val="0"/>
          <w:color w:val="2E74B5"/>
          <w:sz w:val="19"/>
        </w:rPr>
        <w:t>CONTENT + EXPERIENCE SPECIFICATION</w:t>
      </w:r>
    </w:p>
    <w:p>
      <w:pPr>
        <w:spacing w:before="0" w:after="120" w:line="240" w:lineRule="auto"/>
      </w:pPr>
      <w:r>
        <w:rPr>
          <w:rFonts w:ascii="Calibri" w:hAnsi="Calibri" w:eastAsia="Calibri"/>
          <w:b/>
          <w:color w:val="162236"/>
          <w:sz w:val="56"/>
        </w:rPr>
        <w:t>Image3DConversion</w:t>
        <w:br/>
      </w:r>
      <w:r>
        <w:rPr>
          <w:rFonts w:ascii="Calibri" w:hAnsi="Calibri" w:eastAsia="Calibri"/>
          <w:b/>
          <w:color w:val="2E74B5"/>
          <w:sz w:val="50"/>
        </w:rPr>
        <w:t>Zygoma &amp; Pterygoid Planning Workflow</w:t>
      </w:r>
    </w:p>
    <w:p>
      <w:pPr>
        <w:spacing w:before="0" w:after="320" w:line="300" w:lineRule="auto"/>
        <w:jc w:val="left"/>
      </w:pPr>
      <w:r>
        <w:rPr>
          <w:rFonts w:ascii="Calibri" w:hAnsi="Calibri" w:eastAsia="Calibri"/>
          <w:b w:val="0"/>
          <w:i w:val="0"/>
          <w:color w:val="5F6B7A"/>
          <w:sz w:val="26"/>
        </w:rPr>
        <w:t>Final page copy, SEO hierarchy, design psychology, global-practice positioning, mobile behaviour, Case Portal alignment and clinical publication controls.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Version: </w:t>
      </w:r>
      <w:r>
        <w:rPr>
          <w:rFonts w:ascii="Calibri" w:hAnsi="Calibri" w:eastAsia="Calibri"/>
          <w:color w:val="162236"/>
          <w:sz w:val="21"/>
        </w:rPr>
        <w:t>1.0 · 27 July 2026</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Status: </w:t>
      </w:r>
      <w:r>
        <w:rPr>
          <w:rFonts w:ascii="Calibri" w:hAnsi="Calibri" w:eastAsia="Calibri"/>
          <w:color w:val="162236"/>
          <w:sz w:val="21"/>
        </w:rPr>
        <w:t>Prepared for Founder approval and design/development handoff</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Public URL: </w:t>
      </w:r>
      <w:r>
        <w:rPr>
          <w:rFonts w:ascii="Calibri" w:hAnsi="Calibri" w:eastAsia="Calibri"/>
          <w:color w:val="162236"/>
          <w:sz w:val="21"/>
        </w:rPr>
        <w:t>https://www.image3dconversion.com/zygoma-pterygoid-planning/</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Primary action: </w:t>
      </w:r>
      <w:r>
        <w:rPr>
          <w:rFonts w:ascii="Calibri" w:hAnsi="Calibri" w:eastAsia="Calibri"/>
          <w:color w:val="162236"/>
          <w:sz w:val="21"/>
        </w:rPr>
        <w:t>Discuss an Advanced Case</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THE PAGE DECISION  </w:t>
      </w:r>
      <w:r>
        <w:rPr>
          <w:rFonts w:ascii="Calibri" w:hAnsi="Calibri" w:eastAsia="Calibri"/>
          <w:b w:val="0"/>
          <w:color w:val="162236"/>
          <w:sz w:val="22"/>
        </w:rPr>
        <w:t>This page begins with the patient smile and intended prosthetic result. Function, biology and the anatomical route follow. Zygomatic and pterygoid implants are presented as complex clinician-led treatment pathways, never as products or routine shortcuts.</w:t>
      </w:r>
    </w:p>
    <w:p>
      <w:pPr>
        <w:pStyle w:val="Heading2"/>
        <w:keepNext w:val="1"/>
        <w:keepLines w:val="1"/>
      </w:pPr>
      <w:r>
        <w:t>The job of this page</w:t>
      </w:r>
    </w:p>
    <w:p>
      <w:pPr>
        <w:numPr>
          <w:ilvl w:val="0"/>
          <w:numId w:val="10"/>
        </w:numPr>
        <w:spacing w:before="0" w:after="80" w:line="300" w:lineRule="auto"/>
        <w:keepLines w:val="1"/>
      </w:pPr>
      <w:r>
        <w:rPr>
          <w:rFonts w:ascii="Calibri" w:hAnsi="Calibri" w:eastAsia="Calibri"/>
          <w:color w:val="162236"/>
          <w:sz w:val="22"/>
        </w:rPr>
        <w:t>Attract experienced implant practices and advanced clinical teams seeking a digital planning partner.</w:t>
      </w:r>
    </w:p>
    <w:p>
      <w:pPr>
        <w:numPr>
          <w:ilvl w:val="0"/>
          <w:numId w:val="10"/>
        </w:numPr>
        <w:spacing w:before="0" w:after="80" w:line="300" w:lineRule="auto"/>
        <w:keepLines w:val="1"/>
      </w:pPr>
      <w:r>
        <w:rPr>
          <w:rFonts w:ascii="Calibri" w:hAnsi="Calibri" w:eastAsia="Calibri"/>
          <w:color w:val="162236"/>
          <w:sz w:val="22"/>
        </w:rPr>
        <w:t>Begin with the intended smile and prosthetic endpoint before introducing implant trajectory or guide design.</w:t>
      </w:r>
    </w:p>
    <w:p>
      <w:pPr>
        <w:numPr>
          <w:ilvl w:val="0"/>
          <w:numId w:val="10"/>
        </w:numPr>
        <w:spacing w:before="0" w:after="80" w:line="300" w:lineRule="auto"/>
        <w:keepLines w:val="1"/>
      </w:pPr>
      <w:r>
        <w:rPr>
          <w:rFonts w:ascii="Calibri" w:hAnsi="Calibri" w:eastAsia="Calibri"/>
          <w:color w:val="162236"/>
          <w:sz w:val="22"/>
        </w:rPr>
        <w:t>Show how aesthetics, function, biology, anatomy, components and access are reviewed as one case.</w:t>
      </w:r>
    </w:p>
    <w:p>
      <w:pPr>
        <w:numPr>
          <w:ilvl w:val="0"/>
          <w:numId w:val="10"/>
        </w:numPr>
        <w:spacing w:before="0" w:after="80" w:line="300" w:lineRule="auto"/>
        <w:keepLines w:val="1"/>
      </w:pPr>
      <w:r>
        <w:rPr>
          <w:rFonts w:ascii="Calibri" w:hAnsi="Calibri" w:eastAsia="Calibri"/>
          <w:color w:val="162236"/>
          <w:sz w:val="22"/>
        </w:rPr>
        <w:t>Separate zygomatic, pterygoid and combined pathways without implying that any route is automatically indicated.</w:t>
      </w:r>
    </w:p>
    <w:p>
      <w:pPr>
        <w:numPr>
          <w:ilvl w:val="0"/>
          <w:numId w:val="10"/>
        </w:numPr>
        <w:spacing w:before="0" w:after="80" w:line="300" w:lineRule="auto"/>
        <w:keepLines w:val="1"/>
      </w:pPr>
      <w:r>
        <w:rPr>
          <w:rFonts w:ascii="Calibri" w:hAnsi="Calibri" w:eastAsia="Calibri"/>
          <w:color w:val="162236"/>
          <w:sz w:val="22"/>
        </w:rPr>
        <w:t>Make clinical ownership, planning versions, limitations and verification points explicit.</w:t>
      </w:r>
    </w:p>
    <w:p>
      <w:pPr>
        <w:numPr>
          <w:ilvl w:val="0"/>
          <w:numId w:val="10"/>
        </w:numPr>
        <w:spacing w:before="0" w:after="80" w:line="300" w:lineRule="auto"/>
        <w:keepLines w:val="1"/>
      </w:pPr>
      <w:r>
        <w:rPr>
          <w:rFonts w:ascii="Calibri" w:hAnsi="Calibri" w:eastAsia="Calibri"/>
          <w:color w:val="162236"/>
          <w:sz w:val="22"/>
        </w:rPr>
        <w:t>Give global practices a clear remote-review, production and responsibility model.</w:t>
      </w:r>
    </w:p>
    <w:p>
      <w:pPr>
        <w:numPr>
          <w:ilvl w:val="0"/>
          <w:numId w:val="10"/>
        </w:numPr>
        <w:spacing w:before="0" w:after="80" w:line="300" w:lineRule="auto"/>
        <w:keepLines w:val="1"/>
      </w:pPr>
      <w:r>
        <w:rPr>
          <w:rFonts w:ascii="Calibri" w:hAnsi="Calibri" w:eastAsia="Calibri"/>
          <w:color w:val="162236"/>
          <w:sz w:val="22"/>
        </w:rPr>
        <w:t>Route uncertain cases to professional discussion before clinical data are uploaded.</w:t>
      </w:r>
    </w:p>
    <w:p>
      <w:r>
        <w:br w:type="page"/>
      </w:r>
    </w:p>
    <w:p>
      <w:pPr>
        <w:pStyle w:val="Heading1"/>
        <w:keepNext w:val="1"/>
        <w:keepLines w:val="1"/>
      </w:pPr>
      <w:r>
        <w:t>1. Page strategy</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200"/>
        <w:gridCol w:w="7160"/>
      </w:tblGrid>
      <w:tr>
        <w:trPr>
          <w:tblHeader w:val="true"/>
          <w:cantSplit/>
        </w:trPr>
        <w:tc>
          <w:tcPr>
            <w:tcW w:type="dxa" w:w="22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Decision</w:t>
            </w:r>
          </w:p>
        </w:tc>
        <w:tc>
          <w:tcPr>
            <w:tcW w:type="dxa" w:w="71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Approved direction</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audience</w:t>
            </w:r>
          </w:p>
        </w:tc>
        <w:tc>
          <w:tcPr>
            <w:tcW w:type="dxa" w:w="7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Experienced implant clinicians, maxillofacial teams, restorative partners, laboratories and authorised global workflow partners.</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Visitor question</w:t>
            </w:r>
          </w:p>
        </w:tc>
        <w:tc>
          <w:tcPr>
            <w:tcW w:type="dxa" w:w="7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Can this team coordinate the intended smile, functional prosthesis and complex anatomical route in one reviewable digital workflow?</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Emotional shift</w:t>
            </w:r>
          </w:p>
        </w:tc>
        <w:tc>
          <w:tcPr>
            <w:tcW w:type="dxa" w:w="7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High anatomical and operational complexity -&gt; one visible, versioned case with named decisions and boundaries.</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conversion</w:t>
            </w:r>
          </w:p>
        </w:tc>
        <w:tc>
          <w:tcPr>
            <w:tcW w:type="dxa" w:w="7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Discuss an Advanced Case before submission unless an established workflow already exists.</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Secondary conversion</w:t>
            </w:r>
          </w:p>
        </w:tc>
        <w:tc>
          <w:tcPr>
            <w:tcW w:type="dxa" w:w="7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Review advanced requirements or enter the authenticated portal with the agreed pathway preselected.</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Clinical boundary</w:t>
            </w:r>
          </w:p>
        </w:tc>
        <w:tc>
          <w:tcPr>
            <w:tcW w:type="dxa" w:w="7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The treating clinician determines diagnosis, indication, surgical approach, implant selection, approval, surgery and intraoperative decisions.</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Global-practice promise</w:t>
            </w:r>
          </w:p>
        </w:tc>
        <w:tc>
          <w:tcPr>
            <w:tcW w:type="dxa" w:w="7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Clear remote coordination, responsibility and delivery choices; no vague worldwide or universal-compatibility claim.</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Message hierarchy</w:t>
      </w:r>
    </w:p>
    <w:p>
      <w:pPr>
        <w:numPr>
          <w:ilvl w:val="0"/>
          <w:numId w:val="11"/>
        </w:numPr>
        <w:spacing w:before="0" w:after="100" w:line="300" w:lineRule="auto"/>
        <w:keepLines w:val="1"/>
      </w:pPr>
      <w:r>
        <w:rPr>
          <w:rFonts w:ascii="Calibri" w:hAnsi="Calibri" w:eastAsia="Calibri"/>
          <w:b/>
          <w:color w:val="162236"/>
          <w:sz w:val="22"/>
        </w:rPr>
        <w:t xml:space="preserve">Smile. </w:t>
      </w:r>
      <w:r>
        <w:rPr>
          <w:rFonts w:ascii="Calibri" w:hAnsi="Calibri" w:eastAsia="Calibri"/>
          <w:color w:val="162236"/>
          <w:sz w:val="22"/>
        </w:rPr>
        <w:t>Begin with the facially referenced patient outcome and intended prosthetic form.</w:t>
      </w:r>
    </w:p>
    <w:p>
      <w:pPr>
        <w:numPr>
          <w:ilvl w:val="0"/>
          <w:numId w:val="11"/>
        </w:numPr>
        <w:spacing w:before="0" w:after="100" w:line="300" w:lineRule="auto"/>
        <w:keepLines w:val="1"/>
      </w:pPr>
      <w:r>
        <w:rPr>
          <w:rFonts w:ascii="Calibri" w:hAnsi="Calibri" w:eastAsia="Calibri"/>
          <w:b/>
          <w:color w:val="162236"/>
          <w:sz w:val="22"/>
        </w:rPr>
        <w:t xml:space="preserve">Function. </w:t>
      </w:r>
      <w:r>
        <w:rPr>
          <w:rFonts w:ascii="Calibri" w:hAnsi="Calibri" w:eastAsia="Calibri"/>
          <w:color w:val="162236"/>
          <w:sz w:val="22"/>
        </w:rPr>
        <w:t>Relate tooth position to occlusion, restorative space, access, hygiene, lip support and the opposing arch.</w:t>
      </w:r>
    </w:p>
    <w:p>
      <w:pPr>
        <w:numPr>
          <w:ilvl w:val="0"/>
          <w:numId w:val="11"/>
        </w:numPr>
        <w:spacing w:before="0" w:after="100" w:line="300" w:lineRule="auto"/>
        <w:keepLines w:val="1"/>
      </w:pPr>
      <w:r>
        <w:rPr>
          <w:rFonts w:ascii="Calibri" w:hAnsi="Calibri" w:eastAsia="Calibri"/>
          <w:b/>
          <w:color w:val="162236"/>
          <w:sz w:val="22"/>
        </w:rPr>
        <w:t xml:space="preserve">Biology. </w:t>
      </w:r>
      <w:r>
        <w:rPr>
          <w:rFonts w:ascii="Calibri" w:hAnsi="Calibri" w:eastAsia="Calibri"/>
          <w:color w:val="162236"/>
          <w:sz w:val="22"/>
        </w:rPr>
        <w:t>Keep tissue conditions, sinus health and maintainability visible in the planning conversation.</w:t>
      </w:r>
    </w:p>
    <w:p>
      <w:pPr>
        <w:numPr>
          <w:ilvl w:val="0"/>
          <w:numId w:val="11"/>
        </w:numPr>
        <w:spacing w:before="0" w:after="100" w:line="300" w:lineRule="auto"/>
        <w:keepLines w:val="1"/>
      </w:pPr>
      <w:r>
        <w:rPr>
          <w:rFonts w:ascii="Calibri" w:hAnsi="Calibri" w:eastAsia="Calibri"/>
          <w:b/>
          <w:color w:val="162236"/>
          <w:sz w:val="22"/>
        </w:rPr>
        <w:t xml:space="preserve">Anatomy. </w:t>
      </w:r>
      <w:r>
        <w:rPr>
          <w:rFonts w:ascii="Calibri" w:hAnsi="Calibri" w:eastAsia="Calibri"/>
          <w:color w:val="162236"/>
          <w:sz w:val="22"/>
        </w:rPr>
        <w:t>Show that the route is defined by patient-specific anatomy, not by a generic implant trajectory.</w:t>
      </w:r>
    </w:p>
    <w:p>
      <w:pPr>
        <w:numPr>
          <w:ilvl w:val="0"/>
          <w:numId w:val="11"/>
        </w:numPr>
        <w:spacing w:before="0" w:after="100" w:line="300" w:lineRule="auto"/>
        <w:keepLines w:val="1"/>
      </w:pPr>
      <w:r>
        <w:rPr>
          <w:rFonts w:ascii="Calibri" w:hAnsi="Calibri" w:eastAsia="Calibri"/>
          <w:b/>
          <w:color w:val="162236"/>
          <w:sz w:val="22"/>
        </w:rPr>
        <w:t xml:space="preserve">Coordination. </w:t>
      </w:r>
      <w:r>
        <w:rPr>
          <w:rFonts w:ascii="Calibri" w:hAnsi="Calibri" w:eastAsia="Calibri"/>
          <w:color w:val="162236"/>
          <w:sz w:val="22"/>
        </w:rPr>
        <w:t>Align the prosthetic setup, planned anchorage, components, guide concept and delivery scope.</w:t>
      </w:r>
    </w:p>
    <w:p>
      <w:pPr>
        <w:numPr>
          <w:ilvl w:val="0"/>
          <w:numId w:val="11"/>
        </w:numPr>
        <w:spacing w:before="0" w:after="100" w:line="300" w:lineRule="auto"/>
        <w:keepLines w:val="1"/>
      </w:pPr>
      <w:r>
        <w:rPr>
          <w:rFonts w:ascii="Calibri" w:hAnsi="Calibri" w:eastAsia="Calibri"/>
          <w:b/>
          <w:color w:val="162236"/>
          <w:sz w:val="22"/>
        </w:rPr>
        <w:t xml:space="preserve">Control. </w:t>
      </w:r>
      <w:r>
        <w:rPr>
          <w:rFonts w:ascii="Calibri" w:hAnsi="Calibri" w:eastAsia="Calibri"/>
          <w:color w:val="162236"/>
          <w:sz w:val="22"/>
        </w:rPr>
        <w:t>Use versioned review, unresolved decisions and clinician approval.</w:t>
      </w:r>
    </w:p>
    <w:p>
      <w:pPr>
        <w:numPr>
          <w:ilvl w:val="0"/>
          <w:numId w:val="11"/>
        </w:numPr>
        <w:spacing w:before="0" w:after="100" w:line="300" w:lineRule="auto"/>
        <w:keepLines w:val="1"/>
      </w:pPr>
      <w:r>
        <w:rPr>
          <w:rFonts w:ascii="Calibri" w:hAnsi="Calibri" w:eastAsia="Calibri"/>
          <w:b/>
          <w:color w:val="162236"/>
          <w:sz w:val="22"/>
        </w:rPr>
        <w:t xml:space="preserve">Global fit. </w:t>
      </w:r>
      <w:r>
        <w:rPr>
          <w:rFonts w:ascii="Calibri" w:hAnsi="Calibri" w:eastAsia="Calibri"/>
          <w:color w:val="162236"/>
          <w:sz w:val="22"/>
        </w:rPr>
        <w:t>Explain how remote teams review, produce, deliver and verify the work.</w:t>
      </w:r>
    </w:p>
    <w:p>
      <w:pPr>
        <w:numPr>
          <w:ilvl w:val="0"/>
          <w:numId w:val="11"/>
        </w:numPr>
        <w:spacing w:before="0" w:after="100" w:line="300" w:lineRule="auto"/>
        <w:keepLines w:val="1"/>
      </w:pPr>
      <w:r>
        <w:rPr>
          <w:rFonts w:ascii="Calibri" w:hAnsi="Calibri" w:eastAsia="Calibri"/>
          <w:b/>
          <w:color w:val="162236"/>
          <w:sz w:val="22"/>
        </w:rPr>
        <w:t xml:space="preserve">Action. </w:t>
      </w:r>
      <w:r>
        <w:rPr>
          <w:rFonts w:ascii="Calibri" w:hAnsi="Calibri" w:eastAsia="Calibri"/>
          <w:color w:val="162236"/>
          <w:sz w:val="22"/>
        </w:rPr>
        <w:t>Discuss first, then start securely when the clinical pathway and records are ready.</w:t>
      </w:r>
    </w:p>
    <w:p>
      <w:pPr>
        <w:pStyle w:val="Heading2"/>
        <w:keepNext w:val="1"/>
        <w:keepLines w:val="1"/>
      </w:pPr>
      <w:r>
        <w:t>Language rules</w:t>
      </w:r>
    </w:p>
    <w:p>
      <w:pPr>
        <w:numPr>
          <w:ilvl w:val="0"/>
          <w:numId w:val="12"/>
        </w:numPr>
        <w:spacing w:before="0" w:after="80" w:line="300" w:lineRule="auto"/>
        <w:keepLines w:val="1"/>
      </w:pPr>
      <w:r>
        <w:rPr>
          <w:rFonts w:ascii="Calibri" w:hAnsi="Calibri" w:eastAsia="Calibri"/>
          <w:b/>
          <w:color w:val="162236"/>
          <w:sz w:val="22"/>
        </w:rPr>
        <w:t xml:space="preserve">Say </w:t>
      </w:r>
      <w:r>
        <w:rPr>
          <w:rFonts w:ascii="Calibri" w:hAnsi="Calibri" w:eastAsia="Calibri"/>
          <w:color w:val="162236"/>
          <w:sz w:val="22"/>
        </w:rPr>
        <w:t>"advanced planning support," "patient-specific anatomical route," "prosthetic endpoint," "versioned clinician review" and "case-dependent guide concept."</w:t>
      </w:r>
    </w:p>
    <w:p>
      <w:pPr>
        <w:numPr>
          <w:ilvl w:val="0"/>
          <w:numId w:val="12"/>
        </w:numPr>
        <w:spacing w:before="0" w:after="80" w:line="300" w:lineRule="auto"/>
        <w:keepLines w:val="1"/>
      </w:pPr>
      <w:r>
        <w:rPr>
          <w:rFonts w:ascii="Calibri" w:hAnsi="Calibri" w:eastAsia="Calibri"/>
          <w:b/>
          <w:color w:val="162236"/>
          <w:sz w:val="22"/>
        </w:rPr>
        <w:t xml:space="preserve">Avoid </w:t>
      </w:r>
      <w:r>
        <w:rPr>
          <w:rFonts w:ascii="Calibri" w:hAnsi="Calibri" w:eastAsia="Calibri"/>
          <w:color w:val="162236"/>
          <w:sz w:val="22"/>
        </w:rPr>
        <w:t>"graftless solution for everyone," "safe and predictable," "zero-risk," "perfect trajectory," "minimally invasive by default" and "guaranteed immediate loading."</w:t>
      </w:r>
    </w:p>
    <w:p>
      <w:pPr>
        <w:numPr>
          <w:ilvl w:val="0"/>
          <w:numId w:val="12"/>
        </w:numPr>
        <w:spacing w:before="0" w:after="80" w:line="300" w:lineRule="auto"/>
        <w:keepLines w:val="1"/>
      </w:pPr>
      <w:r>
        <w:rPr>
          <w:rFonts w:ascii="Calibri" w:hAnsi="Calibri" w:eastAsia="Calibri"/>
          <w:b/>
          <w:color w:val="162236"/>
          <w:sz w:val="22"/>
        </w:rPr>
        <w:t xml:space="preserve">Use </w:t>
      </w:r>
      <w:r>
        <w:rPr>
          <w:rFonts w:ascii="Calibri" w:hAnsi="Calibri" w:eastAsia="Calibri"/>
          <w:color w:val="162236"/>
          <w:sz w:val="22"/>
        </w:rPr>
        <w:t>"zygomatic," "pterygoid" and "combined" only for pathways actually included in the reviewed case.</w:t>
      </w:r>
    </w:p>
    <w:p>
      <w:pPr>
        <w:numPr>
          <w:ilvl w:val="0"/>
          <w:numId w:val="12"/>
        </w:numPr>
        <w:spacing w:before="0" w:after="80" w:line="300" w:lineRule="auto"/>
        <w:keepLines w:val="1"/>
      </w:pPr>
      <w:r>
        <w:rPr>
          <w:rFonts w:ascii="Calibri" w:hAnsi="Calibri" w:eastAsia="Calibri"/>
          <w:b/>
          <w:color w:val="162236"/>
          <w:sz w:val="22"/>
        </w:rPr>
        <w:t xml:space="preserve">Describe </w:t>
      </w:r>
      <w:r>
        <w:rPr>
          <w:rFonts w:ascii="Calibri" w:hAnsi="Calibri" w:eastAsia="Calibri"/>
          <w:color w:val="162236"/>
          <w:sz w:val="22"/>
        </w:rPr>
        <w:t>implant positions, access, guide support and provisional coordination as planned relationships, not assured clinical outcomes.</w:t>
      </w:r>
    </w:p>
    <w:p>
      <w:pPr>
        <w:numPr>
          <w:ilvl w:val="0"/>
          <w:numId w:val="12"/>
        </w:numPr>
        <w:spacing w:before="0" w:after="80" w:line="300" w:lineRule="auto"/>
        <w:keepLines w:val="1"/>
      </w:pPr>
      <w:r>
        <w:rPr>
          <w:rFonts w:ascii="Calibri" w:hAnsi="Calibri" w:eastAsia="Calibri"/>
          <w:b/>
          <w:color w:val="162236"/>
          <w:sz w:val="22"/>
        </w:rPr>
        <w:t xml:space="preserve">Keep </w:t>
      </w:r>
      <w:r>
        <w:rPr>
          <w:rFonts w:ascii="Calibri" w:hAnsi="Calibri" w:eastAsia="Calibri"/>
          <w:color w:val="162236"/>
          <w:sz w:val="22"/>
        </w:rPr>
        <w:t>system compatibility, guide architecture, drilling protocol, manufacturing route, shipping and timing conditional until verified.</w:t>
      </w:r>
    </w:p>
    <w:p>
      <w:pPr>
        <w:numPr>
          <w:ilvl w:val="0"/>
          <w:numId w:val="12"/>
        </w:numPr>
        <w:spacing w:before="0" w:after="80" w:line="300" w:lineRule="auto"/>
        <w:keepLines w:val="1"/>
      </w:pPr>
      <w:r>
        <w:rPr>
          <w:rFonts w:ascii="Calibri" w:hAnsi="Calibri" w:eastAsia="Calibri"/>
          <w:b/>
          <w:color w:val="162236"/>
          <w:sz w:val="22"/>
        </w:rPr>
        <w:t xml:space="preserve">Never </w:t>
      </w:r>
      <w:r>
        <w:rPr>
          <w:rFonts w:ascii="Calibri" w:hAnsi="Calibri" w:eastAsia="Calibri"/>
          <w:color w:val="162236"/>
          <w:sz w:val="22"/>
        </w:rPr>
        <w:t>use survival percentages or complication data as promotional proof for Image3DConversion.</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CLINICAL COMPLEXITY CONTROL  </w:t>
      </w:r>
      <w:r>
        <w:rPr>
          <w:rFonts w:ascii="Calibri" w:hAnsi="Calibri" w:eastAsia="Calibri"/>
          <w:b w:val="0"/>
          <w:color w:val="162236"/>
          <w:sz w:val="22"/>
        </w:rPr>
        <w:t>ITI guidance identifies zygomatic implant treatment as complex and highly dependent on surgical and restorative expertise. The page must support specialist judgement, not normalise an advanced treatment pathway for routine use.</w:t>
      </w:r>
    </w:p>
    <w:p>
      <w:pPr>
        <w:pStyle w:val="Heading1"/>
        <w:keepNext w:val="1"/>
        <w:keepLines w:val="1"/>
      </w:pPr>
      <w:r>
        <w:t>2. SEO and search intent</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SEO title: </w:t>
      </w:r>
      <w:r>
        <w:rPr>
          <w:rFonts w:ascii="Calibri" w:hAnsi="Calibri" w:eastAsia="Calibri"/>
          <w:color w:val="162236"/>
          <w:sz w:val="21"/>
        </w:rPr>
        <w:t>Zygomatic &amp; Pterygoid Implant Planning | Image3DConversion</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Meta description: </w:t>
      </w:r>
      <w:r>
        <w:rPr>
          <w:rFonts w:ascii="Calibri" w:hAnsi="Calibri" w:eastAsia="Calibri"/>
          <w:color w:val="162236"/>
          <w:sz w:val="21"/>
        </w:rPr>
        <w:t>Advanced digital planning support for zygomatic and pterygoid implant cases, aligning prosthetic intent, anatomy, trajectory and clinician review.</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H1: </w:t>
      </w:r>
      <w:r>
        <w:rPr>
          <w:rFonts w:ascii="Calibri" w:hAnsi="Calibri" w:eastAsia="Calibri"/>
          <w:color w:val="162236"/>
          <w:sz w:val="21"/>
        </w:rPr>
        <w:t>The smile defines the destination. Anatomy defines the route.</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Slug: </w:t>
      </w:r>
      <w:r>
        <w:rPr>
          <w:rFonts w:ascii="Calibri" w:hAnsi="Calibri" w:eastAsia="Calibri"/>
          <w:color w:val="162236"/>
          <w:sz w:val="21"/>
        </w:rPr>
        <w:t>/zygoma-pterygoid-planning/</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Primary phrase: </w:t>
      </w:r>
      <w:r>
        <w:rPr>
          <w:rFonts w:ascii="Calibri" w:hAnsi="Calibri" w:eastAsia="Calibri"/>
          <w:color w:val="162236"/>
          <w:sz w:val="21"/>
        </w:rPr>
        <w:t>zygomatic implant planning service</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Supporting phrases: </w:t>
      </w:r>
      <w:r>
        <w:rPr>
          <w:rFonts w:ascii="Calibri" w:hAnsi="Calibri" w:eastAsia="Calibri"/>
          <w:color w:val="162236"/>
          <w:sz w:val="21"/>
        </w:rPr>
        <w:t>pterygoid implant planning; guided zygomatic implant workflow; advanced maxillary implant planning; zygoma surgical guide planning</w:t>
      </w:r>
    </w:p>
    <w:p>
      <w:pPr>
        <w:pStyle w:val="Heading2"/>
        <w:keepNext w:val="1"/>
        <w:keepLines w:val="1"/>
      </w:pPr>
      <w:r>
        <w:t>Search intent</w:t>
      </w:r>
    </w:p>
    <w:p>
      <w:pPr>
        <w:spacing w:before="0" w:after="120" w:line="300" w:lineRule="auto"/>
        <w:jc w:val="left"/>
      </w:pPr>
      <w:r>
        <w:rPr>
          <w:rFonts w:ascii="Calibri" w:hAnsi="Calibri" w:eastAsia="Calibri"/>
          <w:b w:val="0"/>
          <w:i w:val="0"/>
          <w:color w:val="162236"/>
          <w:sz w:val="22"/>
        </w:rPr>
        <w:t>The visitor already understands advanced implant rehabilitation. They are looking for a planning and workflow partner, checking whether prosthetic design and anatomy are reviewed together, and evaluating how a remote team handles records, versions, approvals, production and delivery.</w:t>
      </w:r>
    </w:p>
    <w:p>
      <w:pPr>
        <w:pStyle w:val="Heading2"/>
        <w:keepNext w:val="1"/>
        <w:keepLines w:val="1"/>
      </w:pPr>
      <w:r>
        <w:t>Recommended heading hierarchy</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200"/>
        <w:gridCol w:w="8160"/>
      </w:tblGrid>
      <w:tr>
        <w:trPr>
          <w:tblHeader w:val="true"/>
          <w:cantSplit/>
        </w:trPr>
        <w:tc>
          <w:tcPr>
            <w:tcW w:type="dxa" w:w="12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Level</w:t>
            </w:r>
          </w:p>
        </w:tc>
        <w:tc>
          <w:tcPr>
            <w:tcW w:type="dxa" w:w="81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Visitor-facing heading</w:t>
            </w:r>
          </w:p>
        </w:tc>
      </w:tr>
      <w:tr>
        <w:trPr>
          <w:cantSplit/>
        </w:trP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H1</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The smile defines the destination. Anatomy defines the route.</w:t>
            </w:r>
          </w:p>
        </w:tc>
      </w:tr>
      <w:tr>
        <w:trPr>
          <w:cantSplit/>
        </w:trP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Begin with the patient outcome.</w:t>
            </w:r>
          </w:p>
        </w:tc>
      </w:tr>
      <w:tr>
        <w:trPr>
          <w:cantSplit/>
        </w:trP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Function gives the smile a working framework.</w:t>
            </w:r>
          </w:p>
        </w:tc>
      </w:tr>
      <w:tr>
        <w:trPr>
          <w:cantSplit/>
        </w:trP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Different anchorage. Different planning questions.</w:t>
            </w:r>
          </w:p>
        </w:tc>
      </w:tr>
      <w:tr>
        <w:trPr>
          <w:cantSplit/>
        </w:trP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See the prosthetic plan and anatomical route together.</w:t>
            </w:r>
          </w:p>
        </w:tc>
      </w:tr>
      <w:tr>
        <w:trPr>
          <w:cantSplit/>
        </w:trP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From advanced records to a reviewed workflow.</w:t>
            </w:r>
          </w:p>
        </w:tc>
      </w:tr>
      <w:tr>
        <w:trPr>
          <w:cantSplit/>
        </w:trP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Review the decisions, not only the implant positions.</w:t>
            </w:r>
          </w:p>
        </w:tc>
      </w:tr>
      <w:tr>
        <w:trPr>
          <w:cantSplit/>
        </w:trP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Advanced cases need complete records.</w:t>
            </w:r>
          </w:p>
        </w:tc>
      </w:tr>
      <w:tr>
        <w:trPr>
          <w:cantSplit/>
        </w:trP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Built for specialist collaboration across borders.</w:t>
            </w:r>
          </w:p>
        </w:tc>
      </w:tr>
      <w:tr>
        <w:trPr>
          <w:cantSplit/>
        </w:trP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See one verified case as a complete decision trail.</w:t>
            </w:r>
          </w:p>
        </w:tc>
      </w:tr>
      <w:tr>
        <w:trPr>
          <w:cantSplit/>
        </w:trP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Complex planning still requires clinical verification.</w:t>
            </w:r>
          </w:p>
        </w:tc>
      </w:tr>
      <w:tr>
        <w:trPr>
          <w:cantSplit/>
        </w:trP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Questions before you discuss the case?</w:t>
            </w:r>
          </w:p>
        </w:tc>
      </w:tr>
      <w:tr>
        <w:trPr>
          <w:cantSplit/>
        </w:trP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Ready to review the pathway?</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Internal links</w:t>
      </w:r>
    </w:p>
    <w:p>
      <w:pPr>
        <w:numPr>
          <w:ilvl w:val="0"/>
          <w:numId w:val="13"/>
        </w:numPr>
        <w:spacing w:before="0" w:after="80" w:line="300" w:lineRule="auto"/>
        <w:keepLines w:val="1"/>
      </w:pPr>
      <w:r>
        <w:rPr>
          <w:rFonts w:ascii="Calibri" w:hAnsi="Calibri" w:eastAsia="Calibri"/>
          <w:b/>
          <w:color w:val="162236"/>
          <w:sz w:val="22"/>
        </w:rPr>
        <w:t xml:space="preserve">Parent </w:t>
      </w:r>
      <w:r>
        <w:rPr>
          <w:rFonts w:ascii="Calibri" w:hAnsi="Calibri" w:eastAsia="Calibri"/>
          <w:color w:val="162236"/>
          <w:sz w:val="22"/>
        </w:rPr>
        <w:t>Clinical Workflow Solutions.</w:t>
      </w:r>
    </w:p>
    <w:p>
      <w:pPr>
        <w:numPr>
          <w:ilvl w:val="0"/>
          <w:numId w:val="13"/>
        </w:numPr>
        <w:spacing w:before="0" w:after="80" w:line="300" w:lineRule="auto"/>
        <w:keepLines w:val="1"/>
      </w:pPr>
      <w:r>
        <w:rPr>
          <w:rFonts w:ascii="Calibri" w:hAnsi="Calibri" w:eastAsia="Calibri"/>
          <w:b/>
          <w:color w:val="162236"/>
          <w:sz w:val="22"/>
        </w:rPr>
        <w:t xml:space="preserve">Foundation </w:t>
      </w:r>
      <w:r>
        <w:rPr>
          <w:rFonts w:ascii="Calibri" w:hAnsi="Calibri" w:eastAsia="Calibri"/>
          <w:color w:val="162236"/>
          <w:sz w:val="22"/>
        </w:rPr>
        <w:t>Full-Arch Stackable Workflow and Immediate-Loading Prosthetic Workflow.</w:t>
      </w:r>
    </w:p>
    <w:p>
      <w:pPr>
        <w:numPr>
          <w:ilvl w:val="0"/>
          <w:numId w:val="13"/>
        </w:numPr>
        <w:spacing w:before="0" w:after="80" w:line="300" w:lineRule="auto"/>
        <w:keepLines w:val="1"/>
      </w:pPr>
      <w:r>
        <w:rPr>
          <w:rFonts w:ascii="Calibri" w:hAnsi="Calibri" w:eastAsia="Calibri"/>
          <w:b/>
          <w:color w:val="162236"/>
          <w:sz w:val="22"/>
        </w:rPr>
        <w:t xml:space="preserve">Preparation </w:t>
      </w:r>
      <w:r>
        <w:rPr>
          <w:rFonts w:ascii="Calibri" w:hAnsi="Calibri" w:eastAsia="Calibri"/>
          <w:color w:val="162236"/>
          <w:sz w:val="22"/>
        </w:rPr>
        <w:t>Advanced Case Requirements.</w:t>
      </w:r>
    </w:p>
    <w:p>
      <w:pPr>
        <w:numPr>
          <w:ilvl w:val="0"/>
          <w:numId w:val="13"/>
        </w:numPr>
        <w:spacing w:before="0" w:after="80" w:line="300" w:lineRule="auto"/>
        <w:keepLines w:val="1"/>
      </w:pPr>
      <w:r>
        <w:rPr>
          <w:rFonts w:ascii="Calibri" w:hAnsi="Calibri" w:eastAsia="Calibri"/>
          <w:b/>
          <w:color w:val="162236"/>
          <w:sz w:val="22"/>
        </w:rPr>
        <w:t xml:space="preserve">Partnership </w:t>
      </w:r>
      <w:r>
        <w:rPr>
          <w:rFonts w:ascii="Calibri" w:hAnsi="Calibri" w:eastAsia="Calibri"/>
          <w:color w:val="162236"/>
          <w:sz w:val="22"/>
        </w:rPr>
        <w:t>Design-Only Workflow, Design-to-Delivery and White-Label Workflow Partnership.</w:t>
      </w:r>
    </w:p>
    <w:p>
      <w:pPr>
        <w:numPr>
          <w:ilvl w:val="0"/>
          <w:numId w:val="13"/>
        </w:numPr>
        <w:spacing w:before="0" w:after="80" w:line="300" w:lineRule="auto"/>
        <w:keepLines w:val="1"/>
      </w:pPr>
      <w:r>
        <w:rPr>
          <w:rFonts w:ascii="Calibri" w:hAnsi="Calibri" w:eastAsia="Calibri"/>
          <w:b/>
          <w:color w:val="162236"/>
          <w:sz w:val="22"/>
        </w:rPr>
        <w:t xml:space="preserve">Decision </w:t>
      </w:r>
      <w:r>
        <w:rPr>
          <w:rFonts w:ascii="Calibri" w:hAnsi="Calibri" w:eastAsia="Calibri"/>
          <w:color w:val="162236"/>
          <w:sz w:val="22"/>
        </w:rPr>
        <w:t>Discuss a Complex Case.</w:t>
      </w:r>
    </w:p>
    <w:p>
      <w:pPr>
        <w:numPr>
          <w:ilvl w:val="0"/>
          <w:numId w:val="13"/>
        </w:numPr>
        <w:spacing w:before="0" w:after="80" w:line="300" w:lineRule="auto"/>
        <w:keepLines w:val="1"/>
      </w:pPr>
      <w:r>
        <w:rPr>
          <w:rFonts w:ascii="Calibri" w:hAnsi="Calibri" w:eastAsia="Calibri"/>
          <w:b/>
          <w:color w:val="162236"/>
          <w:sz w:val="22"/>
        </w:rPr>
        <w:t xml:space="preserve">Action </w:t>
      </w:r>
      <w:r>
        <w:rPr>
          <w:rFonts w:ascii="Calibri" w:hAnsi="Calibri" w:eastAsia="Calibri"/>
          <w:color w:val="162236"/>
          <w:sz w:val="22"/>
        </w:rPr>
        <w:t>Image3DConversion Case Portal.</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SEO RESTRAINT  </w:t>
      </w:r>
      <w:r>
        <w:rPr>
          <w:rFonts w:ascii="Calibri" w:hAnsi="Calibri" w:eastAsia="Calibri"/>
          <w:b w:val="0"/>
          <w:color w:val="162236"/>
          <w:sz w:val="22"/>
        </w:rPr>
        <w:t>Do not build thin pages for every spelling variation or country. One authoritative page should answer the specialist workflow question; country and delivery language publishes only where operations genuinely differ.</w:t>
      </w:r>
    </w:p>
    <w:p>
      <w:pPr>
        <w:pStyle w:val="Heading1"/>
        <w:keepNext w:val="1"/>
        <w:keepLines w:val="1"/>
      </w:pPr>
      <w:r>
        <w:t>3. Navigation and CTA behaviour</w:t>
      </w:r>
    </w:p>
    <w:p>
      <w:pPr>
        <w:pStyle w:val="Heading2"/>
        <w:keepNext w:val="1"/>
        <w:keepLines w:val="1"/>
      </w:pPr>
      <w:r>
        <w:t>Desktop header</w:t>
      </w:r>
    </w:p>
    <w:p>
      <w:pPr>
        <w:spacing w:before="0" w:after="120" w:line="300" w:lineRule="auto"/>
        <w:jc w:val="left"/>
      </w:pPr>
      <w:r>
        <w:rPr>
          <w:rFonts w:ascii="Calibri" w:hAnsi="Calibri" w:eastAsia="Calibri"/>
          <w:b/>
          <w:i w:val="0"/>
          <w:color w:val="162236"/>
          <w:sz w:val="23"/>
        </w:rPr>
        <w:t>Logo | Clinical Workflows | How It Works | Case Requirements | For Partners | About | Discuss a Complex Case | Start a Case</w:t>
      </w:r>
    </w:p>
    <w:p>
      <w:pPr>
        <w:pStyle w:val="Heading2"/>
        <w:keepNext w:val="1"/>
        <w:keepLines w:val="1"/>
      </w:pPr>
      <w:r>
        <w:t>Returning-user utility</w:t>
      </w:r>
    </w:p>
    <w:p>
      <w:pPr>
        <w:spacing w:before="0" w:after="120" w:line="300" w:lineRule="auto"/>
        <w:jc w:val="left"/>
      </w:pPr>
      <w:r>
        <w:rPr>
          <w:rFonts w:ascii="Calibri" w:hAnsi="Calibri" w:eastAsia="Calibri"/>
          <w:b w:val="0"/>
          <w:i w:val="0"/>
          <w:color w:val="162236"/>
          <w:sz w:val="23"/>
        </w:rPr>
        <w:t>Already working with us? Open the Case Portal.</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200"/>
        <w:gridCol w:w="2460"/>
        <w:gridCol w:w="4700"/>
      </w:tblGrid>
      <w:tr>
        <w:trPr>
          <w:tblHeader w:val="true"/>
          <w:cantSplit/>
        </w:trPr>
        <w:tc>
          <w:tcPr>
            <w:tcW w:type="dxa" w:w="22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Visible action</w:t>
            </w:r>
          </w:p>
        </w:tc>
        <w:tc>
          <w:tcPr>
            <w:tcW w:type="dxa" w:w="24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Destination</w:t>
            </w:r>
          </w:p>
        </w:tc>
        <w:tc>
          <w:tcPr>
            <w:tcW w:type="dxa" w:w="47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Behaviour</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Discuss an Advanced Case</w:t>
            </w:r>
          </w:p>
        </w:tc>
        <w:tc>
          <w:tcPr>
            <w:tcW w:type="dxa" w:w="24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Professional workflow discussion</w:t>
            </w:r>
          </w:p>
        </w:tc>
        <w:tc>
          <w:tcPr>
            <w:tcW w:type="dxa" w:w="47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Collect professional identity, practice location and a non-identifying case summary. Do not accept clinical files on the public page.</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See Advanced Case Requirements</w:t>
            </w:r>
          </w:p>
        </w:tc>
        <w:tc>
          <w:tcPr>
            <w:tcW w:type="dxa" w:w="24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Requirements section</w:t>
            </w:r>
          </w:p>
        </w:tc>
        <w:tc>
          <w:tcPr>
            <w:tcW w:type="dxa" w:w="47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Scroll to the concise records list and link to the complete advanced-case requirements page.</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Start an Advanced Case</w:t>
            </w:r>
          </w:p>
        </w:tc>
        <w:tc>
          <w:tcPr>
            <w:tcW w:type="dxa" w:w="24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Image3DConversion Case Portal</w:t>
            </w:r>
          </w:p>
        </w:tc>
        <w:tc>
          <w:tcPr>
            <w:tcW w:type="dxa" w:w="47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Authenticate, then open Zygoma &amp; Pterygoid Planning with the agreed pathway and scope preselected.</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Open the Case Portal</w:t>
            </w:r>
          </w:p>
        </w:tc>
        <w:tc>
          <w:tcPr>
            <w:tcW w:type="dxa" w:w="24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Portal login</w:t>
            </w:r>
          </w:p>
        </w:tc>
        <w:tc>
          <w:tcPr>
            <w:tcW w:type="dxa" w:w="47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Return established users to the intended case or case list after authentication.</w:t>
            </w:r>
          </w:p>
        </w:tc>
      </w:tr>
    </w:tbl>
    <w:p>
      <w:pPr>
        <w:spacing w:before="0" w:after="80" w:line="300" w:lineRule="auto"/>
        <w:jc w:val="left"/>
      </w:pPr>
      <w:r>
        <w:rPr>
          <w:rFonts w:ascii="Calibri" w:hAnsi="Calibri" w:eastAsia="Calibri"/>
          <w:b w:val="0"/>
          <w:i w:val="0"/>
          <w:color w:val="162236"/>
          <w:sz w:val="22"/>
        </w:rPr>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SECURE-DATA BOUNDARY  </w:t>
      </w:r>
      <w:r>
        <w:rPr>
          <w:rFonts w:ascii="Calibri" w:hAnsi="Calibri" w:eastAsia="Calibri"/>
          <w:b w:val="0"/>
          <w:color w:val="162236"/>
          <w:sz w:val="22"/>
        </w:rPr>
        <w:t>The public discussion form may collect professional contact details, country, practice type and a non-identifying workflow summary. DICOM, scans, photographs and patient identifiers enter only through the authenticated Case Portal.</w:t>
      </w:r>
    </w:p>
    <w:p>
      <w:pPr>
        <w:pStyle w:val="Heading1"/>
        <w:keepNext w:val="1"/>
        <w:keepLines w:val="1"/>
      </w:pPr>
      <w:r>
        <w:t>4. Final visitor-facing page copy</w:t>
      </w:r>
    </w:p>
    <w:p>
      <w:pPr>
        <w:spacing w:before="0" w:after="120" w:line="300" w:lineRule="auto"/>
        <w:jc w:val="left"/>
      </w:pPr>
      <w:r>
        <w:rPr>
          <w:rFonts w:ascii="Calibri" w:hAnsi="Calibri" w:eastAsia="Calibri"/>
          <w:b w:val="0"/>
          <w:i/>
          <w:color w:val="5F6B7A"/>
          <w:sz w:val="20"/>
        </w:rPr>
        <w:t>The copy below is publish-ready except where a section is explicitly controlled by an evidence, clinical, legal or operations gate.</w:t>
      </w:r>
    </w:p>
    <w:p>
      <w:pPr>
        <w:pStyle w:val="Heading2"/>
        <w:keepNext w:val="1"/>
        <w:keepLines w:val="1"/>
      </w:pPr>
      <w:r>
        <w:t>Section 1 - Hero</w:t>
      </w:r>
    </w:p>
    <w:p>
      <w:pPr>
        <w:spacing w:before="0" w:after="80"/>
        <w:keepNext w:val="1"/>
      </w:pPr>
      <w:r>
        <w:rPr>
          <w:rFonts w:ascii="Calibri" w:hAnsi="Calibri" w:eastAsia="Calibri"/>
          <w:b/>
          <w:color w:val="2E74B5"/>
          <w:sz w:val="19"/>
        </w:rPr>
        <w:t>EYEBROW</w:t>
      </w:r>
    </w:p>
    <w:p>
      <w:pPr>
        <w:spacing w:before="0" w:after="100" w:line="300" w:lineRule="auto"/>
        <w:jc w:val="left"/>
        <w:keepLines w:val="1"/>
      </w:pPr>
      <w:r>
        <w:rPr>
          <w:rFonts w:ascii="Calibri" w:hAnsi="Calibri" w:eastAsia="Calibri"/>
          <w:b w:val="0"/>
          <w:i w:val="0"/>
          <w:color w:val="162236"/>
          <w:sz w:val="24"/>
        </w:rPr>
        <w:t>ADVANCED ZYGOMATIC &amp; PTERYGOID IMPLANT PLANNING</w:t>
      </w:r>
    </w:p>
    <w:p>
      <w:pPr>
        <w:spacing w:before="0" w:after="80"/>
        <w:keepNext w:val="1"/>
      </w:pPr>
      <w:r>
        <w:rPr>
          <w:rFonts w:ascii="Calibri" w:hAnsi="Calibri" w:eastAsia="Calibri"/>
          <w:b/>
          <w:color w:val="2E74B5"/>
          <w:sz w:val="19"/>
        </w:rPr>
        <w:t>H1</w:t>
      </w:r>
    </w:p>
    <w:p>
      <w:pPr>
        <w:spacing w:before="0" w:after="100" w:line="300" w:lineRule="auto"/>
        <w:jc w:val="left"/>
        <w:keepLines w:val="1"/>
      </w:pPr>
      <w:r>
        <w:rPr>
          <w:rFonts w:ascii="Calibri" w:hAnsi="Calibri" w:eastAsia="Calibri"/>
          <w:b w:val="0"/>
          <w:i w:val="0"/>
          <w:color w:val="162236"/>
          <w:sz w:val="24"/>
        </w:rPr>
        <w:t>The smile defines the destination. Anatomy defines the route.</w:t>
      </w:r>
    </w:p>
    <w:p>
      <w:pPr>
        <w:spacing w:before="0" w:after="80"/>
        <w:keepNext w:val="1"/>
      </w:pPr>
      <w:r>
        <w:rPr>
          <w:rFonts w:ascii="Calibri" w:hAnsi="Calibri" w:eastAsia="Calibri"/>
          <w:b/>
          <w:color w:val="2E74B5"/>
          <w:sz w:val="19"/>
        </w:rPr>
        <w:t>SUPPORT COPY</w:t>
      </w:r>
    </w:p>
    <w:p>
      <w:pPr>
        <w:spacing w:before="0" w:after="100" w:line="300" w:lineRule="auto"/>
        <w:jc w:val="left"/>
        <w:keepLines w:val="1"/>
      </w:pPr>
      <w:r>
        <w:rPr>
          <w:rFonts w:ascii="Calibri" w:hAnsi="Calibri" w:eastAsia="Calibri"/>
          <w:b w:val="0"/>
          <w:i w:val="0"/>
          <w:color w:val="162236"/>
          <w:sz w:val="24"/>
        </w:rPr>
        <w:t>For advanced maxillary cases, we help coordinate the intended smile and prosthetic design with function, biology, patient-specific anatomy, implant trajectory, component access, guide planning and versioned clinician review.</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Discuss an Advanced Case</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See Advanced Case Requirements</w:t>
      </w:r>
    </w:p>
    <w:p>
      <w:pPr>
        <w:spacing w:before="0" w:after="120" w:line="300" w:lineRule="auto"/>
        <w:jc w:val="left"/>
      </w:pPr>
      <w:r>
        <w:rPr>
          <w:rFonts w:ascii="Calibri" w:hAnsi="Calibri" w:eastAsia="Calibri"/>
          <w:b w:val="0"/>
          <w:i/>
          <w:color w:val="5F6B7A"/>
          <w:sz w:val="21"/>
        </w:rPr>
        <w:t>Established workflow? Start an Advanced Case in the Case Portal.</w:t>
      </w:r>
    </w:p>
    <w:p>
      <w:pPr>
        <w:spacing w:before="0" w:after="120" w:line="300" w:lineRule="auto"/>
        <w:jc w:val="left"/>
      </w:pPr>
      <w:r>
        <w:rPr>
          <w:rFonts w:ascii="Calibri" w:hAnsi="Calibri" w:eastAsia="Calibri"/>
          <w:b w:val="0"/>
          <w:i w:val="0"/>
          <w:color w:val="5F6B7A"/>
          <w:sz w:val="19"/>
        </w:rPr>
        <w:t>Professional note: This service supports experienced dental professionals and authorised workflow partners. It is not a patient consultation or treatment recommendation.</w:t>
      </w:r>
    </w:p>
    <w:p>
      <w:pPr>
        <w:spacing w:before="0" w:after="60" w:line="300" w:lineRule="auto"/>
        <w:jc w:val="left"/>
        <w:keepNext w:val="1"/>
        <w:keepLines w:val="1"/>
      </w:pPr>
      <w:r>
        <w:rPr>
          <w:rFonts w:ascii="Calibri" w:hAnsi="Calibri" w:eastAsia="Calibri"/>
          <w:b w:val="0"/>
          <w:i/>
          <w:color w:val="5F6B7A"/>
          <w:sz w:val="19"/>
        </w:rPr>
        <w:t>Psychological job: Lead with the patient outcome, then signal specialist depth without using fear, spectacle or claims of certainty.</w:t>
      </w:r>
    </w:p>
    <w:p>
      <w:pPr>
        <w:spacing w:before="0" w:after="60" w:line="300" w:lineRule="auto"/>
        <w:jc w:val="left"/>
        <w:keepNext w:val="1"/>
        <w:keepLines w:val="1"/>
      </w:pPr>
      <w:r>
        <w:rPr>
          <w:rFonts w:ascii="Calibri" w:hAnsi="Calibri" w:eastAsia="Calibri"/>
          <w:b w:val="0"/>
          <w:i w:val="0"/>
          <w:color w:val="5F6B7A"/>
          <w:sz w:val="19"/>
        </w:rPr>
        <w:t>Visual direction: Begin with a consented smile/facial reference and approved prosthetic setup. Reveal the corresponding anatomical route and implant plan from the same real case. White remains dominant; master blue traces the route.</w:t>
      </w:r>
    </w:p>
    <w:p>
      <w:pPr>
        <w:spacing w:before="0" w:after="60" w:line="300" w:lineRule="auto"/>
        <w:jc w:val="left"/>
        <w:keepNext w:val="1"/>
        <w:keepLines w:val="1"/>
      </w:pPr>
      <w:r>
        <w:rPr>
          <w:rFonts w:ascii="Calibri" w:hAnsi="Calibri" w:eastAsia="Calibri"/>
          <w:b w:val="0"/>
          <w:i w:val="0"/>
          <w:color w:val="5F6B7A"/>
          <w:sz w:val="19"/>
        </w:rPr>
        <w:t>Mobile: Show H1, two support lines, the discussion CTA and one outcome-to-anatomy visual before requirements.</w:t>
      </w:r>
    </w:p>
    <w:p>
      <w:pPr>
        <w:spacing w:before="0" w:after="140" w:line="300" w:lineRule="auto"/>
        <w:jc w:val="left"/>
        <w:keepLines w:val="1"/>
      </w:pPr>
      <w:r>
        <w:rPr>
          <w:rFonts w:ascii="Calibri" w:hAnsi="Calibri" w:eastAsia="Calibri"/>
          <w:b w:val="0"/>
          <w:i w:val="0"/>
          <w:color w:val="5F6B7A"/>
          <w:sz w:val="19"/>
        </w:rPr>
        <w:t>Implementation: No stock smile, generated patient, skull drama, orbit glow or invented anatomy. Recognisable patient content requires explicit publication consent.</w:t>
      </w:r>
    </w:p>
    <w:p>
      <w:pPr>
        <w:pStyle w:val="Heading2"/>
        <w:keepNext w:val="1"/>
        <w:keepLines w:val="1"/>
      </w:pPr>
      <w:r>
        <w:t>Section 2 - Patient outcome</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Begin with the patient outcome.</w:t>
      </w:r>
    </w:p>
    <w:p>
      <w:pPr>
        <w:spacing w:before="0" w:after="80"/>
        <w:keepNext w:val="1"/>
      </w:pPr>
      <w:r>
        <w:rPr>
          <w:rFonts w:ascii="Calibri" w:hAnsi="Calibri" w:eastAsia="Calibri"/>
          <w:b/>
          <w:color w:val="2E74B5"/>
          <w:sz w:val="19"/>
        </w:rPr>
        <w:t>BODY COPY</w:t>
      </w:r>
    </w:p>
    <w:p>
      <w:pPr>
        <w:spacing w:before="0" w:after="100" w:line="300" w:lineRule="auto"/>
        <w:jc w:val="left"/>
        <w:keepLines w:val="1"/>
      </w:pPr>
      <w:r>
        <w:rPr>
          <w:rFonts w:ascii="Calibri" w:hAnsi="Calibri" w:eastAsia="Calibri"/>
          <w:b w:val="0"/>
          <w:i w:val="0"/>
          <w:color w:val="162236"/>
          <w:sz w:val="24"/>
        </w:rPr>
        <w:t>Advanced anchorage does not change the order of restorative thinking. First define the smile, tooth position and prosthetic form the treatment team intends to deliver. The implant route is then planned to support that agreed destination within the clinical constraints.</w:t>
      </w:r>
    </w:p>
    <w:p>
      <w:pPr>
        <w:spacing w:before="80" w:after="40"/>
        <w:keepNext w:val="1"/>
      </w:pPr>
      <w:r>
        <w:rPr>
          <w:rFonts w:ascii="Calibri" w:hAnsi="Calibri" w:eastAsia="Calibri"/>
          <w:b/>
          <w:color w:val="1F4D78"/>
          <w:sz w:val="23"/>
        </w:rPr>
        <w:t>Smile and facial reference</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Use the available midline, tooth display, lip dynamics and facial reference to frame the intended restorative position.</w:t>
      </w:r>
    </w:p>
    <w:p>
      <w:pPr>
        <w:spacing w:before="80" w:after="40"/>
        <w:keepNext w:val="1"/>
      </w:pPr>
      <w:r>
        <w:rPr>
          <w:rFonts w:ascii="Calibri" w:hAnsi="Calibri" w:eastAsia="Calibri"/>
          <w:b/>
          <w:color w:val="1F4D78"/>
          <w:sz w:val="23"/>
        </w:rPr>
        <w:t>Prosthetic form</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Define tooth arrangement, gingival transition, lip support, restorative volume and the intended fixed or removable concept.</w:t>
      </w:r>
    </w:p>
    <w:p>
      <w:pPr>
        <w:spacing w:before="80" w:after="40"/>
        <w:keepNext w:val="1"/>
      </w:pPr>
      <w:r>
        <w:rPr>
          <w:rFonts w:ascii="Calibri" w:hAnsi="Calibri" w:eastAsia="Calibri"/>
          <w:b/>
          <w:color w:val="1F4D78"/>
          <w:sz w:val="23"/>
        </w:rPr>
        <w:t>Aesthetic approval</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Where the workflow includes a setup review, confirm the visible restorative direction before finalising the anatomical route and production scope.</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DESIGN ORDER  </w:t>
      </w:r>
      <w:r>
        <w:rPr>
          <w:rFonts w:ascii="Calibri" w:hAnsi="Calibri" w:eastAsia="Calibri"/>
          <w:b w:val="0"/>
          <w:color w:val="162236"/>
          <w:sz w:val="22"/>
        </w:rPr>
        <w:t>Patient smile -&gt; aesthetic and prosthetic setup -&gt; function and biology -&gt; anatomical route -&gt; guide and delivery scope.</w:t>
      </w:r>
    </w:p>
    <w:p>
      <w:pPr>
        <w:spacing w:before="0" w:after="60" w:line="300" w:lineRule="auto"/>
        <w:jc w:val="left"/>
        <w:keepNext w:val="1"/>
        <w:keepLines w:val="1"/>
      </w:pPr>
      <w:r>
        <w:rPr>
          <w:rFonts w:ascii="Calibri" w:hAnsi="Calibri" w:eastAsia="Calibri"/>
          <w:b w:val="0"/>
          <w:i/>
          <w:color w:val="5F6B7A"/>
          <w:sz w:val="19"/>
        </w:rPr>
        <w:t>Psychological job: Make the page human before it becomes anatomical. The desired smile creates relevance; disciplined sequencing creates trust.</w:t>
      </w:r>
    </w:p>
    <w:p>
      <w:pPr>
        <w:spacing w:before="0" w:after="60" w:line="300" w:lineRule="auto"/>
        <w:jc w:val="left"/>
        <w:keepNext w:val="1"/>
        <w:keepLines w:val="1"/>
      </w:pPr>
      <w:r>
        <w:rPr>
          <w:rFonts w:ascii="Calibri" w:hAnsi="Calibri" w:eastAsia="Calibri"/>
          <w:b w:val="0"/>
          <w:i w:val="0"/>
          <w:color w:val="5F6B7A"/>
          <w:sz w:val="19"/>
        </w:rPr>
        <w:t>Visual direction: Show a real smile/facial record next to its approved tooth setup, then a quiet transition into the anatomical view.</w:t>
      </w:r>
    </w:p>
    <w:p>
      <w:pPr>
        <w:spacing w:before="0" w:after="60" w:line="300" w:lineRule="auto"/>
        <w:jc w:val="left"/>
        <w:keepNext w:val="1"/>
        <w:keepLines w:val="1"/>
      </w:pPr>
      <w:r>
        <w:rPr>
          <w:rFonts w:ascii="Calibri" w:hAnsi="Calibri" w:eastAsia="Calibri"/>
          <w:b w:val="0"/>
          <w:i w:val="0"/>
          <w:color w:val="5F6B7A"/>
          <w:sz w:val="19"/>
        </w:rPr>
        <w:t>Mobile: Use one image pair followed by the five-stage design order as a vertical sequence.</w:t>
      </w:r>
    </w:p>
    <w:p>
      <w:pPr>
        <w:spacing w:before="0" w:after="140" w:line="300" w:lineRule="auto"/>
        <w:jc w:val="left"/>
        <w:keepLines w:val="1"/>
      </w:pPr>
      <w:r>
        <w:rPr>
          <w:rFonts w:ascii="Calibri" w:hAnsi="Calibri" w:eastAsia="Calibri"/>
          <w:b w:val="0"/>
          <w:i w:val="0"/>
          <w:color w:val="5F6B7A"/>
          <w:sz w:val="19"/>
        </w:rPr>
        <w:t>Implementation: Do not imply that a digital smile setup is a guaranteed postoperative result.</w:t>
      </w:r>
    </w:p>
    <w:p>
      <w:pPr>
        <w:pStyle w:val="Heading2"/>
        <w:keepNext w:val="1"/>
        <w:keepLines w:val="1"/>
      </w:pPr>
      <w:r>
        <w:t>Section 3 - Functional framework</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Function gives the smile a working framework.</w:t>
      </w:r>
    </w:p>
    <w:p>
      <w:pPr>
        <w:spacing w:before="0" w:after="80"/>
        <w:keepNext w:val="1"/>
      </w:pPr>
      <w:r>
        <w:rPr>
          <w:rFonts w:ascii="Calibri" w:hAnsi="Calibri" w:eastAsia="Calibri"/>
          <w:b/>
          <w:color w:val="2E74B5"/>
          <w:sz w:val="19"/>
        </w:rPr>
        <w:t>BODY COPY</w:t>
      </w:r>
    </w:p>
    <w:p>
      <w:pPr>
        <w:spacing w:before="0" w:after="100" w:line="300" w:lineRule="auto"/>
        <w:jc w:val="left"/>
        <w:keepLines w:val="1"/>
      </w:pPr>
      <w:r>
        <w:rPr>
          <w:rFonts w:ascii="Calibri" w:hAnsi="Calibri" w:eastAsia="Calibri"/>
          <w:b w:val="0"/>
          <w:i w:val="0"/>
          <w:color w:val="162236"/>
          <w:sz w:val="24"/>
        </w:rPr>
        <w:t>The prosthesis must do more than look correct. Occlusion, restorative space, access, hygiene, soft-tissue relationship, opposing dentition and maintainability shape the implant and component plan.</w:t>
      </w:r>
    </w:p>
    <w:p>
      <w:pPr>
        <w:spacing w:before="80" w:after="40"/>
        <w:keepNext w:val="1"/>
      </w:pPr>
      <w:r>
        <w:rPr>
          <w:rFonts w:ascii="Calibri" w:hAnsi="Calibri" w:eastAsia="Calibri"/>
          <w:b/>
          <w:color w:val="1F4D78"/>
          <w:sz w:val="23"/>
        </w:rPr>
        <w:t>Occlusion and jaw relation</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Confirm the records needed to position the planned restoration against the opposing arch and intended vertical relationship.</w:t>
      </w:r>
    </w:p>
    <w:p>
      <w:pPr>
        <w:spacing w:before="80" w:after="40"/>
        <w:keepNext w:val="1"/>
      </w:pPr>
      <w:r>
        <w:rPr>
          <w:rFonts w:ascii="Calibri" w:hAnsi="Calibri" w:eastAsia="Calibri"/>
          <w:b/>
          <w:color w:val="1F4D78"/>
          <w:sz w:val="23"/>
        </w:rPr>
        <w:t>Restorative space and access</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Relate tooth position and prosthetic volume to implant emergence, restorative access and component options.</w:t>
      </w:r>
    </w:p>
    <w:p>
      <w:pPr>
        <w:spacing w:before="80" w:after="40"/>
        <w:keepNext w:val="1"/>
      </w:pPr>
      <w:r>
        <w:rPr>
          <w:rFonts w:ascii="Calibri" w:hAnsi="Calibri" w:eastAsia="Calibri"/>
          <w:b/>
          <w:color w:val="1F4D78"/>
          <w:sz w:val="23"/>
        </w:rPr>
        <w:t>Hygiene and maintainability</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Keep the planned tissue relationship, cleansability and long-term access visible in the review conversation.</w:t>
      </w:r>
    </w:p>
    <w:p>
      <w:pPr>
        <w:spacing w:before="80" w:after="40"/>
        <w:keepNext w:val="1"/>
      </w:pPr>
      <w:r>
        <w:rPr>
          <w:rFonts w:ascii="Calibri" w:hAnsi="Calibri" w:eastAsia="Calibri"/>
          <w:b/>
          <w:color w:val="1F4D78"/>
          <w:sz w:val="23"/>
        </w:rPr>
        <w:t>Loading and provisional pathway</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Where included, coordinate the intended loading approach and provisional reference without presenting them as guaranteed outcomes.</w:t>
      </w:r>
    </w:p>
    <w:p>
      <w:pPr>
        <w:spacing w:before="0" w:after="60" w:line="300" w:lineRule="auto"/>
        <w:jc w:val="left"/>
        <w:keepNext w:val="1"/>
        <w:keepLines w:val="1"/>
      </w:pPr>
      <w:r>
        <w:rPr>
          <w:rFonts w:ascii="Calibri" w:hAnsi="Calibri" w:eastAsia="Calibri"/>
          <w:b w:val="0"/>
          <w:i/>
          <w:color w:val="5F6B7A"/>
          <w:sz w:val="19"/>
        </w:rPr>
        <w:t>Psychological job: Show that aesthetics is the opening objective, not a shortcut around function or biology.</w:t>
      </w:r>
    </w:p>
    <w:p>
      <w:pPr>
        <w:spacing w:before="0" w:after="60" w:line="300" w:lineRule="auto"/>
        <w:jc w:val="left"/>
        <w:keepNext w:val="1"/>
        <w:keepLines w:val="1"/>
      </w:pPr>
      <w:r>
        <w:rPr>
          <w:rFonts w:ascii="Calibri" w:hAnsi="Calibri" w:eastAsia="Calibri"/>
          <w:b w:val="0"/>
          <w:i w:val="0"/>
          <w:color w:val="5F6B7A"/>
          <w:sz w:val="19"/>
        </w:rPr>
        <w:t>Visual direction: Use one cross-section connecting tooth position, prosthetic volume, access, tissue relationship and implant trajectory.</w:t>
      </w:r>
    </w:p>
    <w:p>
      <w:pPr>
        <w:spacing w:before="0" w:after="60" w:line="300" w:lineRule="auto"/>
        <w:jc w:val="left"/>
        <w:keepNext w:val="1"/>
        <w:keepLines w:val="1"/>
      </w:pPr>
      <w:r>
        <w:rPr>
          <w:rFonts w:ascii="Calibri" w:hAnsi="Calibri" w:eastAsia="Calibri"/>
          <w:b w:val="0"/>
          <w:i w:val="0"/>
          <w:color w:val="5F6B7A"/>
          <w:sz w:val="19"/>
        </w:rPr>
        <w:t>Mobile: Keep each functional question beside the relevant image crop; avoid a dense technical diagram.</w:t>
      </w:r>
    </w:p>
    <w:p>
      <w:pPr>
        <w:spacing w:before="0" w:after="140" w:line="300" w:lineRule="auto"/>
        <w:jc w:val="left"/>
        <w:keepLines w:val="1"/>
      </w:pPr>
      <w:r>
        <w:rPr>
          <w:rFonts w:ascii="Calibri" w:hAnsi="Calibri" w:eastAsia="Calibri"/>
          <w:b w:val="0"/>
          <w:i w:val="0"/>
          <w:color w:val="5F6B7A"/>
          <w:sz w:val="19"/>
        </w:rPr>
        <w:t>Implementation: Functional and biological statements require clinical review before publication.</w:t>
      </w:r>
    </w:p>
    <w:p>
      <w:pPr>
        <w:pStyle w:val="Heading2"/>
        <w:pageBreakBefore w:val="1"/>
        <w:keepNext w:val="1"/>
        <w:keepLines w:val="1"/>
      </w:pPr>
      <w:r>
        <w:t>Section 4 - Workflow fit</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Different anchorage. Different planning questions.</w:t>
      </w:r>
    </w:p>
    <w:p>
      <w:pPr>
        <w:spacing w:before="80" w:after="40"/>
        <w:keepNext w:val="1"/>
      </w:pPr>
      <w:r>
        <w:rPr>
          <w:rFonts w:ascii="Calibri" w:hAnsi="Calibri" w:eastAsia="Calibri"/>
          <w:b/>
          <w:color w:val="1F4D78"/>
          <w:sz w:val="23"/>
        </w:rPr>
        <w:t>Zygomatic pathway</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Coordinate the prosthetic endpoint, maxillary and zygomatic anatomy, planned trajectory, restorative emergence, access and the clinician’s selected surgical approach.</w:t>
      </w:r>
    </w:p>
    <w:p>
      <w:pPr>
        <w:spacing w:before="80" w:after="40"/>
        <w:keepNext w:val="1"/>
      </w:pPr>
      <w:r>
        <w:rPr>
          <w:rFonts w:ascii="Calibri" w:hAnsi="Calibri" w:eastAsia="Calibri"/>
          <w:b/>
          <w:color w:val="1F4D78"/>
          <w:sz w:val="23"/>
        </w:rPr>
        <w:t>Pterygoid pathway</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Review the posterior restorative objective, pterygomaxillary anatomy, implant trajectory, component access and relationship to the complete-arch plan.</w:t>
      </w:r>
    </w:p>
    <w:p>
      <w:pPr>
        <w:spacing w:before="80" w:after="40"/>
        <w:keepNext w:val="1"/>
      </w:pPr>
      <w:r>
        <w:rPr>
          <w:rFonts w:ascii="Calibri" w:hAnsi="Calibri" w:eastAsia="Calibri"/>
          <w:b/>
          <w:color w:val="1F4D78"/>
          <w:sz w:val="23"/>
        </w:rPr>
        <w:t>Combined advanced pathway</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Where the clinician’s plan includes conventional, zygomatic or pterygoid anchorage together, review the complete restorative and surgical relationship as one case.</w:t>
      </w:r>
    </w:p>
    <w:p>
      <w:pPr>
        <w:spacing w:before="80" w:after="40"/>
        <w:keepNext w:val="1"/>
      </w:pPr>
      <w:r>
        <w:rPr>
          <w:rFonts w:ascii="Calibri" w:hAnsi="Calibri" w:eastAsia="Calibri"/>
          <w:b/>
          <w:color w:val="1F4D78"/>
          <w:sz w:val="23"/>
        </w:rPr>
        <w:t>Quad-zygomatic or other specialist concept</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Use a dedicated discussion and clinical review route. The website must not decide indication or present one configuration as a default.</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NOT A SUITABILITY TEST  </w:t>
      </w:r>
      <w:r>
        <w:rPr>
          <w:rFonts w:ascii="Calibri" w:hAnsi="Calibri" w:eastAsia="Calibri"/>
          <w:b w:val="0"/>
          <w:color w:val="162236"/>
          <w:sz w:val="22"/>
        </w:rPr>
        <w:t>These pathways help an experienced clinician identify the relevant planning conversation. They do not determine whether a patient is a candidate.</w:t>
      </w:r>
    </w:p>
    <w:p>
      <w:pPr>
        <w:spacing w:before="0" w:after="60" w:line="300" w:lineRule="auto"/>
        <w:jc w:val="left"/>
        <w:keepNext w:val="1"/>
        <w:keepLines w:val="1"/>
      </w:pPr>
      <w:r>
        <w:rPr>
          <w:rFonts w:ascii="Calibri" w:hAnsi="Calibri" w:eastAsia="Calibri"/>
          <w:b w:val="0"/>
          <w:i/>
          <w:color w:val="5F6B7A"/>
          <w:sz w:val="19"/>
        </w:rPr>
        <w:t>Psychological job: Help specialists self-identify without simplifying advanced treatment into selectable products.</w:t>
      </w:r>
    </w:p>
    <w:p>
      <w:pPr>
        <w:spacing w:before="0" w:after="60" w:line="300" w:lineRule="auto"/>
        <w:jc w:val="left"/>
        <w:keepNext w:val="1"/>
        <w:keepLines w:val="1"/>
      </w:pPr>
      <w:r>
        <w:rPr>
          <w:rFonts w:ascii="Calibri" w:hAnsi="Calibri" w:eastAsia="Calibri"/>
          <w:b w:val="0"/>
          <w:i w:val="0"/>
          <w:color w:val="5F6B7A"/>
          <w:sz w:val="19"/>
        </w:rPr>
        <w:t>Visual direction: Show four distinct, de-identified real planning views with the prosthetic setup visible in each. Avoid interchangeable implant icons.</w:t>
      </w:r>
    </w:p>
    <w:p>
      <w:pPr>
        <w:spacing w:before="0" w:after="60" w:line="300" w:lineRule="auto"/>
        <w:jc w:val="left"/>
        <w:keepNext w:val="1"/>
        <w:keepLines w:val="1"/>
      </w:pPr>
      <w:r>
        <w:rPr>
          <w:rFonts w:ascii="Calibri" w:hAnsi="Calibri" w:eastAsia="Calibri"/>
          <w:b w:val="0"/>
          <w:i w:val="0"/>
          <w:color w:val="5F6B7A"/>
          <w:sz w:val="19"/>
        </w:rPr>
        <w:t>Mobile: Stack the pathways vertically with the planning question visible before the image.</w:t>
      </w:r>
    </w:p>
    <w:p>
      <w:pPr>
        <w:spacing w:before="0" w:after="140" w:line="300" w:lineRule="auto"/>
        <w:jc w:val="left"/>
        <w:keepLines w:val="1"/>
      </w:pPr>
      <w:r>
        <w:rPr>
          <w:rFonts w:ascii="Calibri" w:hAnsi="Calibri" w:eastAsia="Calibri"/>
          <w:b w:val="0"/>
          <w:i w:val="0"/>
          <w:color w:val="5F6B7A"/>
          <w:sz w:val="19"/>
        </w:rPr>
        <w:t>Implementation: Every pathway label and image requires clinical confirmation that it represents the described route.</w:t>
      </w:r>
    </w:p>
    <w:p>
      <w:pPr>
        <w:pStyle w:val="Heading2"/>
        <w:keepNext w:val="1"/>
        <w:keepLines w:val="1"/>
      </w:pPr>
      <w:r>
        <w:t>Section 5 - Anatomy and trajectory</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See the prosthetic plan and anatomical route together.</w:t>
      </w:r>
    </w:p>
    <w:p>
      <w:pPr>
        <w:spacing w:before="0" w:after="80"/>
        <w:keepNext w:val="1"/>
      </w:pPr>
      <w:r>
        <w:rPr>
          <w:rFonts w:ascii="Calibri" w:hAnsi="Calibri" w:eastAsia="Calibri"/>
          <w:b/>
          <w:color w:val="2E74B5"/>
          <w:sz w:val="19"/>
        </w:rPr>
        <w:t>BODY COPY</w:t>
      </w:r>
    </w:p>
    <w:p>
      <w:pPr>
        <w:spacing w:before="0" w:after="100" w:line="300" w:lineRule="auto"/>
        <w:jc w:val="left"/>
        <w:keepLines w:val="1"/>
      </w:pPr>
      <w:r>
        <w:rPr>
          <w:rFonts w:ascii="Calibri" w:hAnsi="Calibri" w:eastAsia="Calibri"/>
          <w:b w:val="0"/>
          <w:i w:val="0"/>
          <w:color w:val="162236"/>
          <w:sz w:val="24"/>
        </w:rPr>
        <w:t>Advanced planning becomes useful when the treating team can inspect the proposed restorative emergence, implant path and relevant anatomy in the same case view. The displayed route remains a proposal until the clinician reviews and approves it.</w:t>
      </w:r>
    </w:p>
    <w:p>
      <w:pPr>
        <w:numPr>
          <w:ilvl w:val="0"/>
          <w:numId w:val="14"/>
        </w:numPr>
        <w:spacing w:before="0" w:after="80" w:line="300" w:lineRule="auto"/>
        <w:keepLines w:val="1"/>
      </w:pPr>
      <w:r>
        <w:rPr>
          <w:rFonts w:ascii="Calibri" w:hAnsi="Calibri" w:eastAsia="Calibri"/>
          <w:color w:val="162236"/>
          <w:sz w:val="22"/>
        </w:rPr>
        <w:t>Facially referenced prosthetic setup and restorative envelope.</w:t>
      </w:r>
    </w:p>
    <w:p>
      <w:pPr>
        <w:numPr>
          <w:ilvl w:val="0"/>
          <w:numId w:val="14"/>
        </w:numPr>
        <w:spacing w:before="0" w:after="80" w:line="300" w:lineRule="auto"/>
        <w:keepLines w:val="1"/>
      </w:pPr>
      <w:r>
        <w:rPr>
          <w:rFonts w:ascii="Calibri" w:hAnsi="Calibri" w:eastAsia="Calibri"/>
          <w:color w:val="162236"/>
          <w:sz w:val="22"/>
        </w:rPr>
        <w:t>Relevant CBCT anatomy and segmented structures within the confirmed imaging scope.</w:t>
      </w:r>
    </w:p>
    <w:p>
      <w:pPr>
        <w:numPr>
          <w:ilvl w:val="0"/>
          <w:numId w:val="14"/>
        </w:numPr>
        <w:spacing w:before="0" w:after="80" w:line="300" w:lineRule="auto"/>
        <w:keepLines w:val="1"/>
      </w:pPr>
      <w:r>
        <w:rPr>
          <w:rFonts w:ascii="Calibri" w:hAnsi="Calibri" w:eastAsia="Calibri"/>
          <w:color w:val="162236"/>
          <w:sz w:val="22"/>
        </w:rPr>
        <w:t>Proposed implant entry, trajectory, dimensions and prosthetic emergence.</w:t>
      </w:r>
    </w:p>
    <w:p>
      <w:pPr>
        <w:numPr>
          <w:ilvl w:val="0"/>
          <w:numId w:val="14"/>
        </w:numPr>
        <w:spacing w:before="0" w:after="80" w:line="300" w:lineRule="auto"/>
        <w:keepLines w:val="1"/>
      </w:pPr>
      <w:r>
        <w:rPr>
          <w:rFonts w:ascii="Calibri" w:hAnsi="Calibri" w:eastAsia="Calibri"/>
          <w:color w:val="162236"/>
          <w:sz w:val="22"/>
        </w:rPr>
        <w:t>Planned restorative components and access where the confirmed library supports them.</w:t>
      </w:r>
    </w:p>
    <w:p>
      <w:pPr>
        <w:numPr>
          <w:ilvl w:val="0"/>
          <w:numId w:val="14"/>
        </w:numPr>
        <w:spacing w:before="0" w:after="80" w:line="300" w:lineRule="auto"/>
        <w:keepLines w:val="1"/>
      </w:pPr>
      <w:r>
        <w:rPr>
          <w:rFonts w:ascii="Calibri" w:hAnsi="Calibri" w:eastAsia="Calibri"/>
          <w:color w:val="162236"/>
          <w:sz w:val="22"/>
        </w:rPr>
        <w:t>Guide support, fixation, sleeve or drill-path concept where included.</w:t>
      </w:r>
    </w:p>
    <w:p>
      <w:pPr>
        <w:numPr>
          <w:ilvl w:val="0"/>
          <w:numId w:val="14"/>
        </w:numPr>
        <w:spacing w:before="0" w:after="80" w:line="300" w:lineRule="auto"/>
        <w:keepLines w:val="1"/>
      </w:pPr>
      <w:r>
        <w:rPr>
          <w:rFonts w:ascii="Calibri" w:hAnsi="Calibri" w:eastAsia="Calibri"/>
          <w:color w:val="162236"/>
          <w:sz w:val="22"/>
        </w:rPr>
        <w:t>Named limitations, safety considerations and unresolved clinical decisions.</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GUIDANCE IS NOT CERTAINTY  </w:t>
      </w:r>
      <w:r>
        <w:rPr>
          <w:rFonts w:ascii="Calibri" w:hAnsi="Calibri" w:eastAsia="Calibri"/>
          <w:b w:val="0"/>
          <w:color w:val="162236"/>
          <w:sz w:val="22"/>
        </w:rPr>
        <w:t>Published guided-zygomatic studies report measurable positional deviation. The page must require safety margins, seating and fixation checks, instrument access and intraoperative judgement; it must never imply exact transfer of a virtual path.</w:t>
      </w:r>
    </w:p>
    <w:p>
      <w:pPr>
        <w:spacing w:before="0" w:after="60" w:line="300" w:lineRule="auto"/>
        <w:jc w:val="left"/>
        <w:keepNext w:val="1"/>
        <w:keepLines w:val="1"/>
      </w:pPr>
      <w:r>
        <w:rPr>
          <w:rFonts w:ascii="Calibri" w:hAnsi="Calibri" w:eastAsia="Calibri"/>
          <w:b w:val="0"/>
          <w:i/>
          <w:color w:val="5F6B7A"/>
          <w:sz w:val="19"/>
        </w:rPr>
        <w:t>Psychological job: Replace anatomical spectacle with a reviewable decision surface. Trust comes from showing what is known, proposed and still unresolved.</w:t>
      </w:r>
    </w:p>
    <w:p>
      <w:pPr>
        <w:spacing w:before="0" w:after="60" w:line="300" w:lineRule="auto"/>
        <w:jc w:val="left"/>
        <w:keepNext w:val="1"/>
        <w:keepLines w:val="1"/>
      </w:pPr>
      <w:r>
        <w:rPr>
          <w:rFonts w:ascii="Calibri" w:hAnsi="Calibri" w:eastAsia="Calibri"/>
          <w:b w:val="0"/>
          <w:i w:val="0"/>
          <w:color w:val="5F6B7A"/>
          <w:sz w:val="19"/>
        </w:rPr>
        <w:t>Visual direction: Use synchronized prosthetic, coronal, sagittal, axial and 3D views from one approved case. Blue marks the proposed route; anatomy remains neutral.</w:t>
      </w:r>
    </w:p>
    <w:p>
      <w:pPr>
        <w:spacing w:before="0" w:after="60" w:line="300" w:lineRule="auto"/>
        <w:jc w:val="left"/>
        <w:keepNext w:val="1"/>
        <w:keepLines w:val="1"/>
      </w:pPr>
      <w:r>
        <w:rPr>
          <w:rFonts w:ascii="Calibri" w:hAnsi="Calibri" w:eastAsia="Calibri"/>
          <w:b w:val="0"/>
          <w:i w:val="0"/>
          <w:color w:val="5F6B7A"/>
          <w:sz w:val="19"/>
        </w:rPr>
        <w:t>Mobile: Prioritise the prosthetic-to-anatomical relationship. Detailed views may expand, but critical notes remain visible.</w:t>
      </w:r>
    </w:p>
    <w:p>
      <w:pPr>
        <w:spacing w:before="0" w:after="140" w:line="300" w:lineRule="auto"/>
        <w:jc w:val="left"/>
        <w:keepLines w:val="1"/>
      </w:pPr>
      <w:r>
        <w:rPr>
          <w:rFonts w:ascii="Calibri" w:hAnsi="Calibri" w:eastAsia="Calibri"/>
          <w:b w:val="0"/>
          <w:i w:val="0"/>
          <w:color w:val="5F6B7A"/>
          <w:sz w:val="19"/>
        </w:rPr>
        <w:t>Implementation: Do not expose patient identifiers, unsupported segmentation certainty or hidden safety assumptions.</w:t>
      </w:r>
    </w:p>
    <w:p>
      <w:pPr>
        <w:pStyle w:val="Heading2"/>
        <w:keepNext w:val="1"/>
        <w:keepLines w:val="1"/>
      </w:pPr>
      <w:r>
        <w:t>Section 6 - Workflow sequence</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From advanced records to a reviewed workflow.</w:t>
      </w:r>
    </w:p>
    <w:p>
      <w:pPr>
        <w:numPr>
          <w:ilvl w:val="0"/>
          <w:numId w:val="15"/>
        </w:numPr>
        <w:spacing w:before="0" w:after="100" w:line="300" w:lineRule="auto"/>
        <w:keepLines w:val="1"/>
      </w:pPr>
      <w:r>
        <w:rPr>
          <w:rFonts w:ascii="Calibri" w:hAnsi="Calibri" w:eastAsia="Calibri"/>
          <w:b/>
          <w:color w:val="162236"/>
          <w:sz w:val="22"/>
        </w:rPr>
        <w:t xml:space="preserve">Discuss the pathway. </w:t>
      </w:r>
      <w:r>
        <w:rPr>
          <w:rFonts w:ascii="Calibri" w:hAnsi="Calibri" w:eastAsia="Calibri"/>
          <w:color w:val="162236"/>
          <w:sz w:val="22"/>
        </w:rPr>
        <w:t>Confirm the clinical team, treatment objective, intended anchorage concept and required planning or delivery scope without transferring patient data publicly.</w:t>
      </w:r>
    </w:p>
    <w:p>
      <w:pPr>
        <w:numPr>
          <w:ilvl w:val="0"/>
          <w:numId w:val="15"/>
        </w:numPr>
        <w:spacing w:before="0" w:after="100" w:line="300" w:lineRule="auto"/>
        <w:keepLines w:val="1"/>
      </w:pPr>
      <w:r>
        <w:rPr>
          <w:rFonts w:ascii="Calibri" w:hAnsi="Calibri" w:eastAsia="Calibri"/>
          <w:b/>
          <w:color w:val="162236"/>
          <w:sz w:val="22"/>
        </w:rPr>
        <w:t xml:space="preserve">Submit securely. </w:t>
      </w:r>
      <w:r>
        <w:rPr>
          <w:rFonts w:ascii="Calibri" w:hAnsi="Calibri" w:eastAsia="Calibri"/>
          <w:color w:val="162236"/>
          <w:sz w:val="22"/>
        </w:rPr>
        <w:t>Use the authenticated Case Portal for the prescription, DICOM, surface records, photographs, prosthetic reference and component information.</w:t>
      </w:r>
    </w:p>
    <w:p>
      <w:pPr>
        <w:numPr>
          <w:ilvl w:val="0"/>
          <w:numId w:val="15"/>
        </w:numPr>
        <w:spacing w:before="0" w:after="100" w:line="300" w:lineRule="auto"/>
        <w:keepLines w:val="1"/>
      </w:pPr>
      <w:r>
        <w:rPr>
          <w:rFonts w:ascii="Calibri" w:hAnsi="Calibri" w:eastAsia="Calibri"/>
          <w:b/>
          <w:color w:val="162236"/>
          <w:sz w:val="22"/>
        </w:rPr>
        <w:t xml:space="preserve">Validate the records. </w:t>
      </w:r>
      <w:r>
        <w:rPr>
          <w:rFonts w:ascii="Calibri" w:hAnsi="Calibri" w:eastAsia="Calibri"/>
          <w:color w:val="162236"/>
          <w:sz w:val="22"/>
        </w:rPr>
        <w:t>Check completeness, imaging coverage, scan usability, alignment requirements and missing decisions for the confirmed scope.</w:t>
      </w:r>
    </w:p>
    <w:p>
      <w:pPr>
        <w:numPr>
          <w:ilvl w:val="0"/>
          <w:numId w:val="15"/>
        </w:numPr>
        <w:spacing w:before="0" w:after="100" w:line="300" w:lineRule="auto"/>
        <w:keepLines w:val="1"/>
      </w:pPr>
      <w:r>
        <w:rPr>
          <w:rFonts w:ascii="Calibri" w:hAnsi="Calibri" w:eastAsia="Calibri"/>
          <w:b/>
          <w:color w:val="162236"/>
          <w:sz w:val="22"/>
        </w:rPr>
        <w:t xml:space="preserve">Establish the prosthetic endpoint. </w:t>
      </w:r>
      <w:r>
        <w:rPr>
          <w:rFonts w:ascii="Calibri" w:hAnsi="Calibri" w:eastAsia="Calibri"/>
          <w:color w:val="162236"/>
          <w:sz w:val="22"/>
        </w:rPr>
        <w:t>Align the facial, surface and restorative references required to frame the intended smile and functional prosthesis.</w:t>
      </w:r>
    </w:p>
    <w:p>
      <w:pPr>
        <w:numPr>
          <w:ilvl w:val="0"/>
          <w:numId w:val="15"/>
        </w:numPr>
        <w:spacing w:before="0" w:after="100" w:line="300" w:lineRule="auto"/>
        <w:keepLines w:val="1"/>
      </w:pPr>
      <w:r>
        <w:rPr>
          <w:rFonts w:ascii="Calibri" w:hAnsi="Calibri" w:eastAsia="Calibri"/>
          <w:b/>
          <w:color w:val="162236"/>
          <w:sz w:val="22"/>
        </w:rPr>
        <w:t xml:space="preserve">Develop the anatomical case view. </w:t>
      </w:r>
      <w:r>
        <w:rPr>
          <w:rFonts w:ascii="Calibri" w:hAnsi="Calibri" w:eastAsia="Calibri"/>
          <w:color w:val="162236"/>
          <w:sz w:val="22"/>
        </w:rPr>
        <w:t>Prepare the relevant anatomy, proposed implant routes, component relationships and guide concept for review.</w:t>
      </w:r>
    </w:p>
    <w:p>
      <w:pPr>
        <w:numPr>
          <w:ilvl w:val="0"/>
          <w:numId w:val="15"/>
        </w:numPr>
        <w:spacing w:before="0" w:after="100" w:line="300" w:lineRule="auto"/>
        <w:keepLines w:val="1"/>
      </w:pPr>
      <w:r>
        <w:rPr>
          <w:rFonts w:ascii="Calibri" w:hAnsi="Calibri" w:eastAsia="Calibri"/>
          <w:b/>
          <w:color w:val="162236"/>
          <w:sz w:val="22"/>
        </w:rPr>
        <w:t xml:space="preserve">Review versions and limitations. </w:t>
      </w:r>
      <w:r>
        <w:rPr>
          <w:rFonts w:ascii="Calibri" w:hAnsi="Calibri" w:eastAsia="Calibri"/>
          <w:color w:val="162236"/>
          <w:sz w:val="22"/>
        </w:rPr>
        <w:t>The clinician reviews the proposed setup, trajectories, access, support, fixation, components and unresolved considerations.</w:t>
      </w:r>
    </w:p>
    <w:p>
      <w:pPr>
        <w:numPr>
          <w:ilvl w:val="0"/>
          <w:numId w:val="15"/>
        </w:numPr>
        <w:spacing w:before="0" w:after="100" w:line="300" w:lineRule="auto"/>
        <w:keepLines w:val="1"/>
      </w:pPr>
      <w:r>
        <w:rPr>
          <w:rFonts w:ascii="Calibri" w:hAnsi="Calibri" w:eastAsia="Calibri"/>
          <w:b/>
          <w:color w:val="162236"/>
          <w:sz w:val="22"/>
        </w:rPr>
        <w:t xml:space="preserve">Approve the confirmed scope. </w:t>
      </w:r>
      <w:r>
        <w:rPr>
          <w:rFonts w:ascii="Calibri" w:hAnsi="Calibri" w:eastAsia="Calibri"/>
          <w:color w:val="162236"/>
          <w:sz w:val="22"/>
        </w:rPr>
        <w:t>Only the displayed version and agreed design or production scope proceed after clinician approval.</w:t>
      </w:r>
    </w:p>
    <w:p>
      <w:pPr>
        <w:numPr>
          <w:ilvl w:val="0"/>
          <w:numId w:val="15"/>
        </w:numPr>
        <w:spacing w:before="0" w:after="100" w:line="300" w:lineRule="auto"/>
        <w:keepLines w:val="1"/>
      </w:pPr>
      <w:r>
        <w:rPr>
          <w:rFonts w:ascii="Calibri" w:hAnsi="Calibri" w:eastAsia="Calibri"/>
          <w:b/>
          <w:color w:val="162236"/>
          <w:sz w:val="22"/>
        </w:rPr>
        <w:t xml:space="preserve">Produce or hand off. </w:t>
      </w:r>
      <w:r>
        <w:rPr>
          <w:rFonts w:ascii="Calibri" w:hAnsi="Calibri" w:eastAsia="Calibri"/>
          <w:color w:val="162236"/>
          <w:sz w:val="22"/>
        </w:rPr>
        <w:t>Deliver ready-to-produce files or coordinate the verified production and delivery route according to the case agreement.</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Discuss an Advanced Case</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See How It Works</w:t>
      </w:r>
    </w:p>
    <w:p>
      <w:pPr>
        <w:spacing w:before="0" w:after="60" w:line="300" w:lineRule="auto"/>
        <w:jc w:val="left"/>
        <w:keepNext w:val="1"/>
        <w:keepLines w:val="1"/>
      </w:pPr>
      <w:r>
        <w:rPr>
          <w:rFonts w:ascii="Calibri" w:hAnsi="Calibri" w:eastAsia="Calibri"/>
          <w:b w:val="0"/>
          <w:i/>
          <w:color w:val="5F6B7A"/>
          <w:sz w:val="19"/>
        </w:rPr>
        <w:t>Psychological job: Turn remote advanced-case work into a controlled sequence with explicit gates before data transfer, planning and production.</w:t>
      </w:r>
    </w:p>
    <w:p>
      <w:pPr>
        <w:spacing w:before="0" w:after="60" w:line="300" w:lineRule="auto"/>
        <w:jc w:val="left"/>
        <w:keepNext w:val="1"/>
        <w:keepLines w:val="1"/>
      </w:pPr>
      <w:r>
        <w:rPr>
          <w:rFonts w:ascii="Calibri" w:hAnsi="Calibri" w:eastAsia="Calibri"/>
          <w:b w:val="0"/>
          <w:i w:val="0"/>
          <w:color w:val="5F6B7A"/>
          <w:sz w:val="19"/>
        </w:rPr>
        <w:t>Visual direction: Use eight vertical stages. The smile/setup appears before anatomy; the approval gate receives the only strong blue emphasis.</w:t>
      </w:r>
    </w:p>
    <w:p>
      <w:pPr>
        <w:spacing w:before="0" w:after="60" w:line="300" w:lineRule="auto"/>
        <w:jc w:val="left"/>
        <w:keepNext w:val="1"/>
        <w:keepLines w:val="1"/>
      </w:pPr>
      <w:r>
        <w:rPr>
          <w:rFonts w:ascii="Calibri" w:hAnsi="Calibri" w:eastAsia="Calibri"/>
          <w:b w:val="0"/>
          <w:i w:val="0"/>
          <w:color w:val="5F6B7A"/>
          <w:sz w:val="19"/>
        </w:rPr>
        <w:t>Mobile: One stage per block with its required input or decision visible.</w:t>
      </w:r>
    </w:p>
    <w:p>
      <w:pPr>
        <w:spacing w:before="0" w:after="140" w:line="300" w:lineRule="auto"/>
        <w:jc w:val="left"/>
        <w:keepLines w:val="1"/>
      </w:pPr>
      <w:r>
        <w:rPr>
          <w:rFonts w:ascii="Calibri" w:hAnsi="Calibri" w:eastAsia="Calibri"/>
          <w:b w:val="0"/>
          <w:i w:val="0"/>
          <w:color w:val="5F6B7A"/>
          <w:sz w:val="19"/>
        </w:rPr>
        <w:t>Implementation: Public stage names must match the live portal and operating SOP. Do not promise a separate approval that the portal cannot record.</w:t>
      </w:r>
    </w:p>
    <w:p>
      <w:pPr>
        <w:pStyle w:val="Heading2"/>
        <w:keepNext w:val="1"/>
        <w:keepLines w:val="1"/>
      </w:pPr>
      <w:r>
        <w:t>Section 7 - Advanced review</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Review the decisions, not only the implant positions.</w:t>
      </w:r>
    </w:p>
    <w:p>
      <w:pPr>
        <w:spacing w:before="0" w:after="80"/>
        <w:keepNext w:val="1"/>
      </w:pPr>
      <w:r>
        <w:rPr>
          <w:rFonts w:ascii="Calibri" w:hAnsi="Calibri" w:eastAsia="Calibri"/>
          <w:b/>
          <w:color w:val="2E74B5"/>
          <w:sz w:val="19"/>
        </w:rPr>
        <w:t>INTERFACE MESSAGE</w:t>
      </w:r>
    </w:p>
    <w:p>
      <w:pPr>
        <w:spacing w:before="0" w:after="100" w:line="300" w:lineRule="auto"/>
        <w:jc w:val="left"/>
        <w:keepLines w:val="1"/>
      </w:pPr>
      <w:r>
        <w:rPr>
          <w:rFonts w:ascii="Calibri" w:hAnsi="Calibri" w:eastAsia="Calibri"/>
          <w:b w:val="0"/>
          <w:i w:val="0"/>
          <w:color w:val="162236"/>
          <w:sz w:val="24"/>
        </w:rPr>
        <w:t>Review the prosthetic setup, functional relationship, proposed implant routes, anatomical notes, component access, guide concept, limitations and confirmed delivery scope before approval.</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Approve This Version</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Request Changes</w:t>
      </w:r>
    </w:p>
    <w:p>
      <w:pPr>
        <w:pStyle w:val="Heading3"/>
        <w:keepNext w:val="1"/>
        <w:keepLines w:val="1"/>
      </w:pPr>
      <w:r>
        <w:t>Review prompts</w:t>
      </w:r>
    </w:p>
    <w:p>
      <w:pPr>
        <w:numPr>
          <w:ilvl w:val="0"/>
          <w:numId w:val="16"/>
        </w:numPr>
        <w:spacing w:before="0" w:after="80" w:line="300" w:lineRule="auto"/>
        <w:keepLines w:val="1"/>
      </w:pPr>
      <w:r>
        <w:rPr>
          <w:rFonts w:ascii="Calibri" w:hAnsi="Calibri" w:eastAsia="Calibri"/>
          <w:color w:val="162236"/>
          <w:sz w:val="22"/>
        </w:rPr>
        <w:t>Patient and arch identity, case pathway and treatment objective.</w:t>
      </w:r>
    </w:p>
    <w:p>
      <w:pPr>
        <w:numPr>
          <w:ilvl w:val="0"/>
          <w:numId w:val="16"/>
        </w:numPr>
        <w:spacing w:before="0" w:after="80" w:line="300" w:lineRule="auto"/>
        <w:keepLines w:val="1"/>
      </w:pPr>
      <w:r>
        <w:rPr>
          <w:rFonts w:ascii="Calibri" w:hAnsi="Calibri" w:eastAsia="Calibri"/>
          <w:color w:val="162236"/>
          <w:sz w:val="22"/>
        </w:rPr>
        <w:t>Smile/facial reference, tooth setup, transition and prosthetic form.</w:t>
      </w:r>
    </w:p>
    <w:p>
      <w:pPr>
        <w:numPr>
          <w:ilvl w:val="0"/>
          <w:numId w:val="16"/>
        </w:numPr>
        <w:spacing w:before="0" w:after="80" w:line="300" w:lineRule="auto"/>
        <w:keepLines w:val="1"/>
      </w:pPr>
      <w:r>
        <w:rPr>
          <w:rFonts w:ascii="Calibri" w:hAnsi="Calibri" w:eastAsia="Calibri"/>
          <w:color w:val="162236"/>
          <w:sz w:val="22"/>
        </w:rPr>
        <w:t>Occlusion, vertical relationship, restorative space and access.</w:t>
      </w:r>
    </w:p>
    <w:p>
      <w:pPr>
        <w:numPr>
          <w:ilvl w:val="0"/>
          <w:numId w:val="16"/>
        </w:numPr>
        <w:spacing w:before="0" w:after="80" w:line="300" w:lineRule="auto"/>
        <w:keepLines w:val="1"/>
      </w:pPr>
      <w:r>
        <w:rPr>
          <w:rFonts w:ascii="Calibri" w:hAnsi="Calibri" w:eastAsia="Calibri"/>
          <w:color w:val="162236"/>
          <w:sz w:val="22"/>
        </w:rPr>
        <w:t>Relevant anatomy, image quality and segmentation limitations.</w:t>
      </w:r>
    </w:p>
    <w:p>
      <w:pPr>
        <w:numPr>
          <w:ilvl w:val="0"/>
          <w:numId w:val="16"/>
        </w:numPr>
        <w:spacing w:before="0" w:after="80" w:line="300" w:lineRule="auto"/>
        <w:keepLines w:val="1"/>
      </w:pPr>
      <w:r>
        <w:rPr>
          <w:rFonts w:ascii="Calibri" w:hAnsi="Calibri" w:eastAsia="Calibri"/>
          <w:color w:val="162236"/>
          <w:sz w:val="22"/>
        </w:rPr>
        <w:t>Implant route, dimensions, emergence and component relationship.</w:t>
      </w:r>
    </w:p>
    <w:p>
      <w:pPr>
        <w:numPr>
          <w:ilvl w:val="0"/>
          <w:numId w:val="16"/>
        </w:numPr>
        <w:spacing w:before="0" w:after="80" w:line="300" w:lineRule="auto"/>
        <w:keepLines w:val="1"/>
      </w:pPr>
      <w:r>
        <w:rPr>
          <w:rFonts w:ascii="Calibri" w:hAnsi="Calibri" w:eastAsia="Calibri"/>
          <w:color w:val="162236"/>
          <w:sz w:val="22"/>
        </w:rPr>
        <w:t>Guide support, fixation, access and instrumentation where included.</w:t>
      </w:r>
    </w:p>
    <w:p>
      <w:pPr>
        <w:numPr>
          <w:ilvl w:val="0"/>
          <w:numId w:val="16"/>
        </w:numPr>
        <w:spacing w:before="0" w:after="80" w:line="300" w:lineRule="auto"/>
        <w:keepLines w:val="1"/>
      </w:pPr>
      <w:r>
        <w:rPr>
          <w:rFonts w:ascii="Calibri" w:hAnsi="Calibri" w:eastAsia="Calibri"/>
          <w:color w:val="162236"/>
          <w:sz w:val="22"/>
        </w:rPr>
        <w:t>Provisional or immediate-loading pathway where included.</w:t>
      </w:r>
    </w:p>
    <w:p>
      <w:pPr>
        <w:numPr>
          <w:ilvl w:val="0"/>
          <w:numId w:val="16"/>
        </w:numPr>
        <w:spacing w:before="0" w:after="80" w:line="300" w:lineRule="auto"/>
        <w:keepLines w:val="1"/>
      </w:pPr>
      <w:r>
        <w:rPr>
          <w:rFonts w:ascii="Calibri" w:hAnsi="Calibri" w:eastAsia="Calibri"/>
          <w:color w:val="162236"/>
          <w:sz w:val="22"/>
        </w:rPr>
        <w:t>Unresolved clinical decisions, warnings and required intraoperative verification.</w:t>
      </w:r>
    </w:p>
    <w:p>
      <w:pPr>
        <w:numPr>
          <w:ilvl w:val="0"/>
          <w:numId w:val="16"/>
        </w:numPr>
        <w:spacing w:before="0" w:after="80" w:line="300" w:lineRule="auto"/>
        <w:keepLines w:val="1"/>
      </w:pPr>
      <w:r>
        <w:rPr>
          <w:rFonts w:ascii="Calibri" w:hAnsi="Calibri" w:eastAsia="Calibri"/>
          <w:color w:val="162236"/>
          <w:sz w:val="22"/>
        </w:rPr>
        <w:t>Exact plan version and design or production scope being approved.</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APPROVAL MEANING  </w:t>
      </w:r>
      <w:r>
        <w:rPr>
          <w:rFonts w:ascii="Calibri" w:hAnsi="Calibri" w:eastAsia="Calibri"/>
          <w:b w:val="0"/>
          <w:color w:val="162236"/>
          <w:sz w:val="22"/>
        </w:rPr>
        <w:t>Approval records the treating clinician’s decision to proceed with the displayed version and agreed scope. It does not guarantee guide seating, implant position, primary stability, loading, complication avoidance or treatment outcome.</w:t>
      </w:r>
    </w:p>
    <w:p>
      <w:pPr>
        <w:spacing w:before="0" w:after="60" w:line="300" w:lineRule="auto"/>
        <w:jc w:val="left"/>
        <w:keepNext w:val="1"/>
        <w:keepLines w:val="1"/>
      </w:pPr>
      <w:r>
        <w:rPr>
          <w:rFonts w:ascii="Calibri" w:hAnsi="Calibri" w:eastAsia="Calibri"/>
          <w:b w:val="0"/>
          <w:i/>
          <w:color w:val="5F6B7A"/>
          <w:sz w:val="19"/>
        </w:rPr>
        <w:t>Psychological job: Advanced clinicians trust a system that exposes uncertainty and decision ownership more than one that hides both behind a final render.</w:t>
      </w:r>
    </w:p>
    <w:p>
      <w:pPr>
        <w:spacing w:before="0" w:after="60" w:line="300" w:lineRule="auto"/>
        <w:jc w:val="left"/>
        <w:keepNext w:val="1"/>
        <w:keepLines w:val="1"/>
      </w:pPr>
      <w:r>
        <w:rPr>
          <w:rFonts w:ascii="Calibri" w:hAnsi="Calibri" w:eastAsia="Calibri"/>
          <w:b w:val="0"/>
          <w:i w:val="0"/>
          <w:color w:val="5F6B7A"/>
          <w:sz w:val="19"/>
        </w:rPr>
        <w:t>Visual direction: Show one de-identified review screen with version, unresolved notes and the prosthetic/anatomical views visible together.</w:t>
      </w:r>
    </w:p>
    <w:p>
      <w:pPr>
        <w:spacing w:before="0" w:after="60" w:line="300" w:lineRule="auto"/>
        <w:jc w:val="left"/>
        <w:keepNext w:val="1"/>
        <w:keepLines w:val="1"/>
      </w:pPr>
      <w:r>
        <w:rPr>
          <w:rFonts w:ascii="Calibri" w:hAnsi="Calibri" w:eastAsia="Calibri"/>
          <w:b w:val="0"/>
          <w:i w:val="0"/>
          <w:color w:val="5F6B7A"/>
          <w:sz w:val="19"/>
        </w:rPr>
        <w:t>Mobile: Place unresolved notes and version above approval. Keep revision and approval actions physically separate.</w:t>
      </w:r>
    </w:p>
    <w:p>
      <w:pPr>
        <w:spacing w:before="0" w:after="140" w:line="300" w:lineRule="auto"/>
        <w:jc w:val="left"/>
        <w:keepLines w:val="1"/>
      </w:pPr>
      <w:r>
        <w:rPr>
          <w:rFonts w:ascii="Calibri" w:hAnsi="Calibri" w:eastAsia="Calibri"/>
          <w:b w:val="0"/>
          <w:i w:val="0"/>
          <w:color w:val="5F6B7A"/>
          <w:sz w:val="19"/>
        </w:rPr>
        <w:t>Implementation: Any change after approval must create a visible reapproval rule and impact notice.</w:t>
      </w:r>
    </w:p>
    <w:p>
      <w:pPr>
        <w:pStyle w:val="Heading2"/>
        <w:pageBreakBefore w:val="1"/>
        <w:keepNext w:val="1"/>
        <w:keepLines w:val="1"/>
      </w:pPr>
      <w:r>
        <w:t>Section 8 - Advanced requirements</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Advanced cases need complete records.</w:t>
      </w:r>
    </w:p>
    <w:p>
      <w:pPr>
        <w:spacing w:before="0" w:after="80"/>
        <w:keepNext w:val="1"/>
      </w:pPr>
      <w:r>
        <w:rPr>
          <w:rFonts w:ascii="Calibri" w:hAnsi="Calibri" w:eastAsia="Calibri"/>
          <w:b/>
          <w:color w:val="2E74B5"/>
          <w:sz w:val="19"/>
        </w:rPr>
        <w:t>INTRO</w:t>
      </w:r>
    </w:p>
    <w:p>
      <w:pPr>
        <w:spacing w:before="0" w:after="100" w:line="300" w:lineRule="auto"/>
        <w:jc w:val="left"/>
        <w:keepLines w:val="1"/>
      </w:pPr>
      <w:r>
        <w:rPr>
          <w:rFonts w:ascii="Calibri" w:hAnsi="Calibri" w:eastAsia="Calibri"/>
          <w:b w:val="0"/>
          <w:i w:val="0"/>
          <w:color w:val="162236"/>
          <w:sz w:val="24"/>
        </w:rPr>
        <w:t>The exact requirements depend on the planned pathway and delivery scope. The operations and clinical review teams confirm the case-specific list before planning begins.</w:t>
      </w:r>
    </w:p>
    <w:p>
      <w:pPr>
        <w:spacing w:before="80" w:after="40"/>
        <w:keepNext w:val="1"/>
      </w:pPr>
      <w:r>
        <w:rPr>
          <w:rFonts w:ascii="Calibri" w:hAnsi="Calibri" w:eastAsia="Calibri"/>
          <w:b/>
          <w:color w:val="1F4D78"/>
          <w:sz w:val="23"/>
        </w:rPr>
        <w:t>Complete CBCT DICOM series</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Original data with the anatomical coverage and image quality required for the proposed advanced review. The current imaging protocol must be followed.</w:t>
      </w:r>
    </w:p>
    <w:p>
      <w:pPr>
        <w:spacing w:before="80" w:after="40"/>
        <w:keepNext w:val="1"/>
      </w:pPr>
      <w:r>
        <w:rPr>
          <w:rFonts w:ascii="Calibri" w:hAnsi="Calibri" w:eastAsia="Calibri"/>
          <w:b/>
          <w:color w:val="1F4D78"/>
          <w:sz w:val="23"/>
        </w:rPr>
        <w:t>Complete-arch surface records</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Accepted intraoral, model, denture or verified reference scans for the involved arch, supporting tissues and relevant prosthetic references.</w:t>
      </w:r>
    </w:p>
    <w:p>
      <w:pPr>
        <w:spacing w:before="80" w:after="40"/>
        <w:keepNext w:val="1"/>
      </w:pPr>
      <w:r>
        <w:rPr>
          <w:rFonts w:ascii="Calibri" w:hAnsi="Calibri" w:eastAsia="Calibri"/>
          <w:b/>
          <w:color w:val="1F4D78"/>
          <w:sz w:val="23"/>
        </w:rPr>
        <w:t>Opposing arch and jaw relation</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Bite and occlusal records needed to place the intended restoration in its functional relationship.</w:t>
      </w:r>
    </w:p>
    <w:p>
      <w:pPr>
        <w:spacing w:before="80" w:after="40"/>
        <w:keepNext w:val="1"/>
      </w:pPr>
      <w:r>
        <w:rPr>
          <w:rFonts w:ascii="Calibri" w:hAnsi="Calibri" w:eastAsia="Calibri"/>
          <w:b/>
          <w:color w:val="1F4D78"/>
          <w:sz w:val="23"/>
        </w:rPr>
        <w:t>Smile, facial and prosthetic references</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Consented clinical photographs or approved facial records, plus a tooth setup, denture, provisional, wax-up or other clear restorative objective.</w:t>
      </w:r>
    </w:p>
    <w:p>
      <w:pPr>
        <w:spacing w:before="80" w:after="40"/>
        <w:keepNext w:val="1"/>
      </w:pPr>
      <w:r>
        <w:rPr>
          <w:rFonts w:ascii="Calibri" w:hAnsi="Calibri" w:eastAsia="Calibri"/>
          <w:b/>
          <w:color w:val="1F4D78"/>
          <w:sz w:val="23"/>
        </w:rPr>
        <w:t>Implant and component details</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Proposed implant system, dimensions where known, restorative components, guided instrumentation and items available to the surgical team.</w:t>
      </w:r>
    </w:p>
    <w:p>
      <w:pPr>
        <w:spacing w:before="80" w:after="40"/>
        <w:keepNext w:val="1"/>
      </w:pPr>
      <w:r>
        <w:rPr>
          <w:rFonts w:ascii="Calibri" w:hAnsi="Calibri" w:eastAsia="Calibri"/>
          <w:b/>
          <w:color w:val="1F4D78"/>
          <w:sz w:val="23"/>
        </w:rPr>
        <w:t>Specialist prescription</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Intended pathway, surgical approach, loading intention, known anatomical or medical considerations, fixation concept and decisions requiring review.</w:t>
      </w:r>
    </w:p>
    <w:p>
      <w:pPr>
        <w:spacing w:before="80" w:after="40"/>
        <w:keepNext w:val="1"/>
      </w:pPr>
      <w:r>
        <w:rPr>
          <w:rFonts w:ascii="Calibri" w:hAnsi="Calibri" w:eastAsia="Calibri"/>
          <w:b/>
          <w:color w:val="1F4D78"/>
          <w:sz w:val="23"/>
        </w:rPr>
        <w:t>Production and delivery route</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Design-only or coordinated delivery, validated local manufacturing details where applicable, destination country and proposed surgical date.</w:t>
      </w:r>
    </w:p>
    <w:p>
      <w:pPr>
        <w:spacing w:before="80" w:after="40"/>
        <w:keepNext w:val="1"/>
      </w:pPr>
      <w:r>
        <w:rPr>
          <w:rFonts w:ascii="Calibri" w:hAnsi="Calibri" w:eastAsia="Calibri"/>
          <w:b/>
          <w:color w:val="1F4D78"/>
          <w:sz w:val="23"/>
        </w:rPr>
        <w:t>Additional records when requested</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A scan appliance, existing prosthesis, model, verification index, medical imaging or other case-specific reference may be required before the scope is accepted.</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View Complete Advanced Requirements</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Discuss an Advanced Case</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PATIENT-DATA BOUNDARY  </w:t>
      </w:r>
      <w:r>
        <w:rPr>
          <w:rFonts w:ascii="Calibri" w:hAnsi="Calibri" w:eastAsia="Calibri"/>
          <w:b w:val="0"/>
          <w:color w:val="162236"/>
          <w:sz w:val="22"/>
        </w:rPr>
        <w:t>Do not email or attach patient records through this public page. Use the authenticated Case Portal only after the appropriate professional pathway is confirmed.</w:t>
      </w:r>
    </w:p>
    <w:p>
      <w:pPr>
        <w:spacing w:before="0" w:after="60" w:line="300" w:lineRule="auto"/>
        <w:jc w:val="left"/>
        <w:keepNext w:val="1"/>
        <w:keepLines w:val="1"/>
      </w:pPr>
      <w:r>
        <w:rPr>
          <w:rFonts w:ascii="Calibri" w:hAnsi="Calibri" w:eastAsia="Calibri"/>
          <w:b w:val="0"/>
          <w:i/>
          <w:color w:val="5F6B7A"/>
          <w:sz w:val="19"/>
        </w:rPr>
        <w:t>Psychological job: Set a specialist entry threshold and prevent incomplete international submissions from becoming false urgency.</w:t>
      </w:r>
    </w:p>
    <w:p>
      <w:pPr>
        <w:spacing w:before="0" w:after="60" w:line="300" w:lineRule="auto"/>
        <w:jc w:val="left"/>
        <w:keepNext w:val="1"/>
        <w:keepLines w:val="1"/>
      </w:pPr>
      <w:r>
        <w:rPr>
          <w:rFonts w:ascii="Calibri" w:hAnsi="Calibri" w:eastAsia="Calibri"/>
          <w:b w:val="0"/>
          <w:i w:val="0"/>
          <w:color w:val="5F6B7A"/>
          <w:sz w:val="19"/>
        </w:rPr>
        <w:t>Visual direction: Use actual de-identified record previews grouped as patient outcome, function, anatomy, components and logistics.</w:t>
      </w:r>
    </w:p>
    <w:p>
      <w:pPr>
        <w:spacing w:before="0" w:after="60" w:line="300" w:lineRule="auto"/>
        <w:jc w:val="left"/>
        <w:keepNext w:val="1"/>
        <w:keepLines w:val="1"/>
      </w:pPr>
      <w:r>
        <w:rPr>
          <w:rFonts w:ascii="Calibri" w:hAnsi="Calibri" w:eastAsia="Calibri"/>
          <w:b w:val="0"/>
          <w:i w:val="0"/>
          <w:color w:val="5F6B7A"/>
          <w:sz w:val="19"/>
        </w:rPr>
        <w:t>Mobile: Use expandable groups with the reason each record matters visible before expansion.</w:t>
      </w:r>
    </w:p>
    <w:p>
      <w:pPr>
        <w:spacing w:before="0" w:after="140" w:line="300" w:lineRule="auto"/>
        <w:jc w:val="left"/>
        <w:keepLines w:val="1"/>
      </w:pPr>
      <w:r>
        <w:rPr>
          <w:rFonts w:ascii="Calibri" w:hAnsi="Calibri" w:eastAsia="Calibri"/>
          <w:b w:val="0"/>
          <w:i w:val="0"/>
          <w:color w:val="5F6B7A"/>
          <w:sz w:val="19"/>
        </w:rPr>
        <w:t>Implementation: Exact imaging coverage, scan protocol, file formats, upload limits and cross-border data rules come only from the current operations standard.</w:t>
      </w:r>
    </w:p>
    <w:p>
      <w:pPr>
        <w:pStyle w:val="Heading2"/>
        <w:keepNext w:val="1"/>
        <w:keepLines w:val="1"/>
      </w:pPr>
      <w:r>
        <w:t>Section 9 - Global collaboration</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Built for specialist collaboration across borders.</w:t>
      </w:r>
    </w:p>
    <w:p>
      <w:pPr>
        <w:spacing w:before="0" w:after="80"/>
        <w:keepNext w:val="1"/>
      </w:pPr>
      <w:r>
        <w:rPr>
          <w:rFonts w:ascii="Calibri" w:hAnsi="Calibri" w:eastAsia="Calibri"/>
          <w:b/>
          <w:color w:val="2E74B5"/>
          <w:sz w:val="19"/>
        </w:rPr>
        <w:t>BODY COPY</w:t>
      </w:r>
    </w:p>
    <w:p>
      <w:pPr>
        <w:spacing w:before="0" w:after="100" w:line="300" w:lineRule="auto"/>
        <w:jc w:val="left"/>
        <w:keepLines w:val="1"/>
      </w:pPr>
      <w:r>
        <w:rPr>
          <w:rFonts w:ascii="Calibri" w:hAnsi="Calibri" w:eastAsia="Calibri"/>
          <w:b w:val="0"/>
          <w:i w:val="0"/>
          <w:color w:val="162236"/>
          <w:sz w:val="24"/>
        </w:rPr>
        <w:t>Advanced cases often involve a treating clinician, restorative team, laboratory and production partner in different locations. The workflow should give every authorised participant the same version, responsibility split and next decision.</w:t>
      </w:r>
    </w:p>
    <w:p>
      <w:pPr>
        <w:spacing w:before="80" w:after="40"/>
        <w:keepNext w:val="1"/>
      </w:pPr>
      <w:r>
        <w:rPr>
          <w:rFonts w:ascii="Calibri" w:hAnsi="Calibri" w:eastAsia="Calibri"/>
          <w:b/>
          <w:color w:val="1F4D78"/>
          <w:sz w:val="23"/>
        </w:rPr>
        <w:t>Design-only for validated local production</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Receive the agreed planning and ready-to-produce files for a confirmed local manufacturing route, with file inventory and production responsibility defined.</w:t>
      </w:r>
      <w:r>
        <w:rPr>
          <w:rFonts w:ascii="Calibri" w:hAnsi="Calibri" w:eastAsia="Calibri"/>
          <w:b/>
          <w:color w:val="2E74B5"/>
          <w:sz w:val="19"/>
        </w:rPr>
        <w:t xml:space="preserve">  Link label: Review Design-Only Support</w:t>
      </w:r>
    </w:p>
    <w:p>
      <w:pPr>
        <w:spacing w:before="80" w:after="40"/>
        <w:keepNext w:val="1"/>
      </w:pPr>
      <w:r>
        <w:rPr>
          <w:rFonts w:ascii="Calibri" w:hAnsi="Calibri" w:eastAsia="Calibri"/>
          <w:b/>
          <w:color w:val="1F4D78"/>
          <w:sz w:val="23"/>
        </w:rPr>
        <w:t>Design-to-delivery</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Coordinate the approved design, verified production scope and delivery through one visible case where the destination and service conditions are supported.</w:t>
      </w:r>
      <w:r>
        <w:rPr>
          <w:rFonts w:ascii="Calibri" w:hAnsi="Calibri" w:eastAsia="Calibri"/>
          <w:b/>
          <w:color w:val="2E74B5"/>
          <w:sz w:val="19"/>
        </w:rPr>
        <w:t xml:space="preserve">  Link label: Review Design-to-Delivery Support</w:t>
      </w:r>
    </w:p>
    <w:p>
      <w:pPr>
        <w:spacing w:before="80" w:after="40"/>
        <w:keepNext w:val="1"/>
      </w:pPr>
      <w:r>
        <w:rPr>
          <w:rFonts w:ascii="Calibri" w:hAnsi="Calibri" w:eastAsia="Calibri"/>
          <w:b/>
          <w:color w:val="1F4D78"/>
          <w:sz w:val="23"/>
        </w:rPr>
        <w:t>White-label or network partnership</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Add specialist planning capacity behind a laboratory, practice group, implant company or authorised regional workflow.</w:t>
      </w:r>
      <w:r>
        <w:rPr>
          <w:rFonts w:ascii="Calibri" w:hAnsi="Calibri" w:eastAsia="Calibri"/>
          <w:b/>
          <w:color w:val="2E74B5"/>
          <w:sz w:val="19"/>
        </w:rPr>
        <w:t xml:space="preserve">  Link label: Discuss a Workflow Partnership</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GLOBAL READINESS GATE  </w:t>
      </w:r>
      <w:r>
        <w:rPr>
          <w:rFonts w:ascii="Calibri" w:hAnsi="Calibri" w:eastAsia="Calibri"/>
          <w:b w:val="0"/>
          <w:color w:val="162236"/>
          <w:sz w:val="22"/>
        </w:rPr>
        <w:t>Before promotion, verify supported countries, languages, response windows, currencies, tax and shipping conditions, implant libraries, production routes, data safeguards, local regulatory responsibilities and escalation contacts.</w:t>
      </w:r>
    </w:p>
    <w:p>
      <w:pPr>
        <w:spacing w:before="0" w:after="60" w:line="300" w:lineRule="auto"/>
        <w:jc w:val="left"/>
        <w:keepNext w:val="1"/>
        <w:keepLines w:val="1"/>
      </w:pPr>
      <w:r>
        <w:rPr>
          <w:rFonts w:ascii="Calibri" w:hAnsi="Calibri" w:eastAsia="Calibri"/>
          <w:b w:val="0"/>
          <w:i/>
          <w:color w:val="5F6B7A"/>
          <w:sz w:val="19"/>
        </w:rPr>
        <w:t>Psychological job: Make remote collaboration feel governed rather than distant. The practice sees who does what, which version is current and how the case crosses organisational boundaries.</w:t>
      </w:r>
    </w:p>
    <w:p>
      <w:pPr>
        <w:spacing w:before="0" w:after="60" w:line="300" w:lineRule="auto"/>
        <w:jc w:val="left"/>
        <w:keepNext w:val="1"/>
        <w:keepLines w:val="1"/>
      </w:pPr>
      <w:r>
        <w:rPr>
          <w:rFonts w:ascii="Calibri" w:hAnsi="Calibri" w:eastAsia="Calibri"/>
          <w:b w:val="0"/>
          <w:i w:val="0"/>
          <w:color w:val="5F6B7A"/>
          <w:sz w:val="19"/>
        </w:rPr>
        <w:t>Visual direction: Show one real case moving between authorised practice review, Image3DConversion planning and local or coordinated production. Use no flags or decorative map pins.</w:t>
      </w:r>
    </w:p>
    <w:p>
      <w:pPr>
        <w:spacing w:before="0" w:after="60" w:line="300" w:lineRule="auto"/>
        <w:jc w:val="left"/>
        <w:keepNext w:val="1"/>
        <w:keepLines w:val="1"/>
      </w:pPr>
      <w:r>
        <w:rPr>
          <w:rFonts w:ascii="Calibri" w:hAnsi="Calibri" w:eastAsia="Calibri"/>
          <w:b w:val="0"/>
          <w:i w:val="0"/>
          <w:color w:val="5F6B7A"/>
          <w:sz w:val="19"/>
        </w:rPr>
        <w:t>Mobile: Stack the three routes and show the responsibility split under each title.</w:t>
      </w:r>
    </w:p>
    <w:p>
      <w:pPr>
        <w:spacing w:before="0" w:after="140" w:line="300" w:lineRule="auto"/>
        <w:jc w:val="left"/>
        <w:keepLines w:val="1"/>
      </w:pPr>
      <w:r>
        <w:rPr>
          <w:rFonts w:ascii="Calibri" w:hAnsi="Calibri" w:eastAsia="Calibri"/>
          <w:b w:val="0"/>
          <w:i w:val="0"/>
          <w:color w:val="5F6B7A"/>
          <w:sz w:val="19"/>
        </w:rPr>
        <w:t>Implementation: Do not publish a country, turnaround, currency, compliance or shipping claim until the operating owner verifies it.</w:t>
      </w:r>
    </w:p>
    <w:p>
      <w:pPr>
        <w:pStyle w:val="Heading2"/>
        <w:pageBreakBefore w:val="1"/>
        <w:keepNext w:val="1"/>
        <w:keepLines w:val="1"/>
      </w:pPr>
      <w:r>
        <w:t>Section 10 - Case evidence</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See one verified case as a complete decision trail.</w:t>
      </w:r>
    </w:p>
    <w:p>
      <w:pPr>
        <w:spacing w:before="0" w:after="80"/>
        <w:keepNext w:val="1"/>
      </w:pPr>
      <w:r>
        <w:rPr>
          <w:rFonts w:ascii="Calibri" w:hAnsi="Calibri" w:eastAsia="Calibri"/>
          <w:b/>
          <w:color w:val="2E74B5"/>
          <w:sz w:val="19"/>
        </w:rPr>
        <w:t>INTRO</w:t>
      </w:r>
    </w:p>
    <w:p>
      <w:pPr>
        <w:spacing w:before="0" w:after="100" w:line="300" w:lineRule="auto"/>
        <w:jc w:val="left"/>
        <w:keepLines w:val="1"/>
      </w:pPr>
      <w:r>
        <w:rPr>
          <w:rFonts w:ascii="Calibri" w:hAnsi="Calibri" w:eastAsia="Calibri"/>
          <w:b w:val="0"/>
          <w:i w:val="0"/>
          <w:color w:val="162236"/>
          <w:sz w:val="24"/>
        </w:rPr>
        <w:t>The strongest proof is one consented case showing how the intended smile, functional prosthesis, anatomical route, review decisions and delivered scope remained connected.</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700"/>
        <w:gridCol w:w="4200"/>
        <w:gridCol w:w="3460"/>
      </w:tblGrid>
      <w:tr>
        <w:trPr>
          <w:tblHeader w:val="true"/>
          <w:cantSplit/>
        </w:trPr>
        <w:tc>
          <w:tcPr>
            <w:tcW w:type="dxa" w:w="17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Evidence frame</w:t>
            </w:r>
          </w:p>
        </w:tc>
        <w:tc>
          <w:tcPr>
            <w:tcW w:type="dxa" w:w="42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Visible caption</w:t>
            </w:r>
          </w:p>
        </w:tc>
        <w:tc>
          <w:tcPr>
            <w:tcW w:type="dxa" w:w="34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Required proof</w:t>
            </w:r>
          </w:p>
        </w:tc>
      </w:tr>
      <w:tr>
        <w:trPr>
          <w:cantSplit/>
        </w:trPr>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1. Starting objective</w:t>
            </w:r>
          </w:p>
        </w:tc>
        <w:tc>
          <w:tcPr>
            <w:tcW w:type="dxa" w:w="42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What the treating team intended to restore.</w:t>
            </w:r>
          </w:p>
        </w:tc>
        <w:tc>
          <w:tcPr>
            <w:tcW w:type="dxa" w:w="3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Approved, de-identified professional brief.</w:t>
            </w:r>
          </w:p>
        </w:tc>
      </w:tr>
      <w:tr>
        <w:trPr>
          <w:cantSplit/>
        </w:trPr>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2. Smile and setup</w:t>
            </w:r>
          </w:p>
        </w:tc>
        <w:tc>
          <w:tcPr>
            <w:tcW w:type="dxa" w:w="42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How facial reference and prosthetic form defined the destination.</w:t>
            </w:r>
          </w:p>
        </w:tc>
        <w:tc>
          <w:tcPr>
            <w:tcW w:type="dxa" w:w="3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Consented reference and approved setup.</w:t>
            </w:r>
          </w:p>
        </w:tc>
      </w:tr>
      <w:tr>
        <w:trPr>
          <w:cantSplit/>
        </w:trPr>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3. Functional framework</w:t>
            </w:r>
          </w:p>
        </w:tc>
        <w:tc>
          <w:tcPr>
            <w:tcW w:type="dxa" w:w="42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How occlusion, space, access and maintainability shaped the plan.</w:t>
            </w:r>
          </w:p>
        </w:tc>
        <w:tc>
          <w:tcPr>
            <w:tcW w:type="dxa" w:w="3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Clinician-approved caption and records.</w:t>
            </w:r>
          </w:p>
        </w:tc>
      </w:tr>
      <w:tr>
        <w:trPr>
          <w:cantSplit/>
        </w:trPr>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4. Anatomical route</w:t>
            </w:r>
          </w:p>
        </w:tc>
        <w:tc>
          <w:tcPr>
            <w:tcW w:type="dxa" w:w="42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How the proposed pathway related to patient-specific anatomy.</w:t>
            </w:r>
          </w:p>
        </w:tc>
        <w:tc>
          <w:tcPr>
            <w:tcW w:type="dxa" w:w="3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Real plan version and clinical attribution.</w:t>
            </w:r>
          </w:p>
        </w:tc>
      </w:tr>
      <w:tr>
        <w:trPr>
          <w:cantSplit/>
        </w:trPr>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5. Review decisions</w:t>
            </w:r>
          </w:p>
        </w:tc>
        <w:tc>
          <w:tcPr>
            <w:tcW w:type="dxa" w:w="42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What changed, what remained unresolved and what the clinician approved.</w:t>
            </w:r>
          </w:p>
        </w:tc>
        <w:tc>
          <w:tcPr>
            <w:tcW w:type="dxa" w:w="3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Version history and approval evidence.</w:t>
            </w:r>
          </w:p>
        </w:tc>
      </w:tr>
      <w:tr>
        <w:trPr>
          <w:cantSplit/>
        </w:trPr>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6. Delivered scope</w:t>
            </w:r>
          </w:p>
        </w:tc>
        <w:tc>
          <w:tcPr>
            <w:tcW w:type="dxa" w:w="42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Which files, guides or production assets were supplied.</w:t>
            </w:r>
          </w:p>
        </w:tc>
        <w:tc>
          <w:tcPr>
            <w:tcW w:type="dxa" w:w="3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Final inventory and operations confirmation.</w:t>
            </w:r>
          </w:p>
        </w:tc>
      </w:tr>
    </w:tbl>
    <w:p>
      <w:pPr>
        <w:spacing w:before="0" w:after="80" w:line="300" w:lineRule="auto"/>
        <w:jc w:val="left"/>
      </w:pPr>
      <w:r>
        <w:rPr>
          <w:rFonts w:ascii="Calibri" w:hAnsi="Calibri" w:eastAsia="Calibri"/>
          <w:b w:val="0"/>
          <w:i w:val="0"/>
          <w:color w:val="162236"/>
          <w:sz w:val="22"/>
        </w:rPr>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PUBLICATION GATE  </w:t>
      </w:r>
      <w:r>
        <w:rPr>
          <w:rFonts w:ascii="Calibri" w:hAnsi="Calibri" w:eastAsia="Calibri"/>
          <w:b w:val="0"/>
          <w:color w:val="162236"/>
          <w:sz w:val="22"/>
        </w:rPr>
        <w:t>Do not publish this section until patient consent, de-identification, clinical authorship, plan accuracy, captions and delivered-scope inventory have all been verified.</w:t>
      </w:r>
    </w:p>
    <w:p>
      <w:pPr>
        <w:spacing w:before="0" w:after="60" w:line="300" w:lineRule="auto"/>
        <w:jc w:val="left"/>
        <w:keepNext w:val="1"/>
        <w:keepLines w:val="1"/>
      </w:pPr>
      <w:r>
        <w:rPr>
          <w:rFonts w:ascii="Calibri" w:hAnsi="Calibri" w:eastAsia="Calibri"/>
          <w:b w:val="0"/>
          <w:i/>
          <w:color w:val="5F6B7A"/>
          <w:sz w:val="19"/>
        </w:rPr>
        <w:t>Psychological job: Prove reasoning and coordination, not spectacle. The visitor should see why each decision followed the previous one.</w:t>
      </w:r>
    </w:p>
    <w:p>
      <w:pPr>
        <w:spacing w:before="0" w:after="60" w:line="300" w:lineRule="auto"/>
        <w:jc w:val="left"/>
        <w:keepNext w:val="1"/>
        <w:keepLines w:val="1"/>
      </w:pPr>
      <w:r>
        <w:rPr>
          <w:rFonts w:ascii="Calibri" w:hAnsi="Calibri" w:eastAsia="Calibri"/>
          <w:b w:val="0"/>
          <w:i w:val="0"/>
          <w:color w:val="5F6B7A"/>
          <w:sz w:val="19"/>
        </w:rPr>
        <w:t>Visual direction: Use one vertical case story. Blue connects the smile/setup to the functional and anatomical views.</w:t>
      </w:r>
    </w:p>
    <w:p>
      <w:pPr>
        <w:spacing w:before="0" w:after="60" w:line="300" w:lineRule="auto"/>
        <w:jc w:val="left"/>
        <w:keepNext w:val="1"/>
        <w:keepLines w:val="1"/>
      </w:pPr>
      <w:r>
        <w:rPr>
          <w:rFonts w:ascii="Calibri" w:hAnsi="Calibri" w:eastAsia="Calibri"/>
          <w:b w:val="0"/>
          <w:i w:val="0"/>
          <w:color w:val="5F6B7A"/>
          <w:sz w:val="19"/>
        </w:rPr>
        <w:t>Mobile: Keep the caption with every image and make detailed views optional.</w:t>
      </w:r>
    </w:p>
    <w:p>
      <w:pPr>
        <w:spacing w:before="0" w:after="140" w:line="300" w:lineRule="auto"/>
        <w:jc w:val="left"/>
        <w:keepLines w:val="1"/>
      </w:pPr>
      <w:r>
        <w:rPr>
          <w:rFonts w:ascii="Calibri" w:hAnsi="Calibri" w:eastAsia="Calibri"/>
          <w:b w:val="0"/>
          <w:i w:val="0"/>
          <w:color w:val="5F6B7A"/>
          <w:sz w:val="19"/>
        </w:rPr>
        <w:t>Implementation: Do not infer treatment success from a plan, guide, postoperative scan or delivered prosthesis without separate outcome evidence and consent.</w:t>
      </w:r>
    </w:p>
    <w:p>
      <w:pPr>
        <w:pStyle w:val="Heading2"/>
        <w:keepNext w:val="1"/>
        <w:keepLines w:val="1"/>
      </w:pPr>
      <w:r>
        <w:t>Section 11 - Boundaries</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Complex planning still requires clinical verification.</w:t>
      </w:r>
    </w:p>
    <w:p>
      <w:pPr>
        <w:spacing w:before="80" w:after="40"/>
        <w:keepNext w:val="1"/>
      </w:pPr>
      <w:r>
        <w:rPr>
          <w:rFonts w:ascii="Calibri" w:hAnsi="Calibri" w:eastAsia="Calibri"/>
          <w:b/>
          <w:color w:val="1F4D78"/>
          <w:sz w:val="23"/>
        </w:rPr>
        <w:t>What Image3DConversion coordinates</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Data checks for the confirmed scope, prosthetic and planning preparation, visualisation, guide or component design where included, review communication and the agreed delivery route.</w:t>
      </w:r>
    </w:p>
    <w:p>
      <w:pPr>
        <w:spacing w:before="80" w:after="40"/>
        <w:keepNext w:val="1"/>
      </w:pPr>
      <w:r>
        <w:rPr>
          <w:rFonts w:ascii="Calibri" w:hAnsi="Calibri" w:eastAsia="Calibri"/>
          <w:b/>
          <w:color w:val="1F4D78"/>
          <w:sz w:val="23"/>
        </w:rPr>
        <w:t>What the treating clinician decides</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Diagnosis, indication, medical and sinus assessment, surgical approach, implant and component choices, approval, surgery, loading and every intraoperative decision.</w:t>
      </w:r>
    </w:p>
    <w:p>
      <w:pPr>
        <w:spacing w:before="80" w:after="40"/>
        <w:keepNext w:val="1"/>
      </w:pPr>
      <w:r>
        <w:rPr>
          <w:rFonts w:ascii="Calibri" w:hAnsi="Calibri" w:eastAsia="Calibri"/>
          <w:b/>
          <w:color w:val="1F4D78"/>
          <w:sz w:val="23"/>
        </w:rPr>
        <w:t>What remains case-dependent</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Anatomical route, guide support, fixation, instrumentation, access, manufacturing, seating, primary stability, delivery timing and clinical outcome.</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AT SURGERY  </w:t>
      </w:r>
      <w:r>
        <w:rPr>
          <w:rFonts w:ascii="Calibri" w:hAnsi="Calibri" w:eastAsia="Calibri"/>
          <w:b w:val="0"/>
          <w:color w:val="162236"/>
          <w:sz w:val="22"/>
        </w:rPr>
        <w:t>The surgical team verifies patient identity, records, current plan version, instruments, components, guide seating and fixation, access, anatomical conditions and the need to modify or abandon the planned sequence.</w:t>
      </w:r>
    </w:p>
    <w:p>
      <w:pPr>
        <w:spacing w:before="0" w:after="60" w:line="300" w:lineRule="auto"/>
        <w:jc w:val="left"/>
        <w:keepNext w:val="1"/>
        <w:keepLines w:val="1"/>
      </w:pPr>
      <w:r>
        <w:rPr>
          <w:rFonts w:ascii="Calibri" w:hAnsi="Calibri" w:eastAsia="Calibri"/>
          <w:b w:val="0"/>
          <w:i/>
          <w:color w:val="5F6B7A"/>
          <w:sz w:val="19"/>
        </w:rPr>
        <w:t>Psychological job: Reassure through competent boundaries. Serious global partners recognise explicit ownership as a sign of maturity.</w:t>
      </w:r>
    </w:p>
    <w:p>
      <w:pPr>
        <w:spacing w:before="0" w:after="60" w:line="300" w:lineRule="auto"/>
        <w:jc w:val="left"/>
        <w:keepNext w:val="1"/>
        <w:keepLines w:val="1"/>
      </w:pPr>
      <w:r>
        <w:rPr>
          <w:rFonts w:ascii="Calibri" w:hAnsi="Calibri" w:eastAsia="Calibri"/>
          <w:b w:val="0"/>
          <w:i w:val="0"/>
          <w:color w:val="5F6B7A"/>
          <w:sz w:val="19"/>
        </w:rPr>
        <w:t>Visual direction: Three white responsibility panels with blue dividers, followed by one concise verification strip.</w:t>
      </w:r>
    </w:p>
    <w:p>
      <w:pPr>
        <w:spacing w:before="0" w:after="60" w:line="300" w:lineRule="auto"/>
        <w:jc w:val="left"/>
        <w:keepNext w:val="1"/>
        <w:keepLines w:val="1"/>
      </w:pPr>
      <w:r>
        <w:rPr>
          <w:rFonts w:ascii="Calibri" w:hAnsi="Calibri" w:eastAsia="Calibri"/>
          <w:b w:val="0"/>
          <w:i w:val="0"/>
          <w:color w:val="5F6B7A"/>
          <w:sz w:val="19"/>
        </w:rPr>
        <w:t>Mobile: Keep responsibility statements short and outside a legal accordion.</w:t>
      </w:r>
    </w:p>
    <w:p>
      <w:pPr>
        <w:spacing w:before="0" w:after="140" w:line="300" w:lineRule="auto"/>
        <w:jc w:val="left"/>
        <w:keepLines w:val="1"/>
      </w:pPr>
      <w:r>
        <w:rPr>
          <w:rFonts w:ascii="Calibri" w:hAnsi="Calibri" w:eastAsia="Calibri"/>
          <w:b w:val="0"/>
          <w:i w:val="0"/>
          <w:color w:val="5F6B7A"/>
          <w:sz w:val="19"/>
        </w:rPr>
        <w:t>Implementation: Clinical and legal reviewers may refine terms, but the responsibility split must remain understandable.</w:t>
      </w:r>
    </w:p>
    <w:p>
      <w:pPr>
        <w:pStyle w:val="Heading2"/>
        <w:keepNext w:val="1"/>
        <w:keepLines w:val="1"/>
      </w:pPr>
      <w:r>
        <w:t>Section 12 - FAQ</w:t>
      </w:r>
    </w:p>
    <w:p>
      <w:pPr>
        <w:spacing w:before="80" w:after="40"/>
        <w:keepNext w:val="1"/>
      </w:pPr>
      <w:r>
        <w:rPr>
          <w:rFonts w:ascii="Calibri" w:hAnsi="Calibri" w:eastAsia="Calibri"/>
          <w:b/>
          <w:color w:val="1F4D78"/>
          <w:sz w:val="23"/>
        </w:rPr>
        <w:t>Do you decide whether a patient is suitable for zygomatic or pterygoid implants?</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No. Diagnosis, indication and treatment selection belong to the treating clinician and specialist team. Image3DConversion supports the agreed digital planning and workflow scope.</w:t>
      </w:r>
    </w:p>
    <w:p>
      <w:pPr>
        <w:spacing w:before="80" w:after="40"/>
        <w:keepNext w:val="1"/>
      </w:pPr>
      <w:r>
        <w:rPr>
          <w:rFonts w:ascii="Calibri" w:hAnsi="Calibri" w:eastAsia="Calibri"/>
          <w:b/>
          <w:color w:val="1F4D78"/>
          <w:sz w:val="23"/>
        </w:rPr>
        <w:t>Can the smile and prosthetic setup be reviewed before the implant routes?</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Where the operating workflow supports a separate setup stage, the intended restorative endpoint should be reviewed before the final anatomical plan and production scope are approved.</w:t>
      </w:r>
    </w:p>
    <w:p>
      <w:pPr>
        <w:spacing w:before="80" w:after="40"/>
        <w:keepNext w:val="1"/>
      </w:pPr>
      <w:r>
        <w:rPr>
          <w:rFonts w:ascii="Calibri" w:hAnsi="Calibri" w:eastAsia="Calibri"/>
          <w:b/>
          <w:color w:val="1F4D78"/>
          <w:sz w:val="23"/>
        </w:rPr>
        <w:t>Can zygomatic and pterygoid implants be planned in one full-arch case?</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They may be coordinated when the treating clinician’s plan, records, component systems and confirmed workflow scope require a combined case view.</w:t>
      </w:r>
    </w:p>
    <w:p>
      <w:pPr>
        <w:spacing w:before="80" w:after="40"/>
        <w:keepNext w:val="1"/>
      </w:pPr>
      <w:r>
        <w:rPr>
          <w:rFonts w:ascii="Calibri" w:hAnsi="Calibri" w:eastAsia="Calibri"/>
          <w:b/>
          <w:color w:val="1F4D78"/>
          <w:sz w:val="23"/>
        </w:rPr>
        <w:t>Does a surgical guide guarantee the planned trajectory?</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No. Digital and physical transfer can deviate. The treating team must use appropriate margins and verify records, seating, fixation, access, instruments, anatomy and clinical conditions.</w:t>
      </w:r>
    </w:p>
    <w:p>
      <w:pPr>
        <w:spacing w:before="80" w:after="40"/>
        <w:keepNext w:val="1"/>
      </w:pPr>
      <w:r>
        <w:rPr>
          <w:rFonts w:ascii="Calibri" w:hAnsi="Calibri" w:eastAsia="Calibri"/>
          <w:b/>
          <w:color w:val="1F4D78"/>
          <w:sz w:val="23"/>
        </w:rPr>
        <w:t>Can immediate loading or a provisional prosthesis be included?</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Planning or provisional coordination may be included in a confirmed scope. Loading remains a clinical decision and is not guaranteed by the digital workflow.</w:t>
      </w:r>
    </w:p>
    <w:p>
      <w:pPr>
        <w:spacing w:before="80" w:after="40"/>
        <w:keepNext w:val="1"/>
      </w:pPr>
      <w:r>
        <w:rPr>
          <w:rFonts w:ascii="Calibri" w:hAnsi="Calibri" w:eastAsia="Calibri"/>
          <w:b/>
          <w:color w:val="1F4D78"/>
          <w:sz w:val="23"/>
        </w:rPr>
        <w:t>Can you work with my implant system and instruments?</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Compatibility depends on the current planning library, implant and component family, instrumentation, guide concept, production route and items available to the surgical team. Confirm them before planning.</w:t>
      </w:r>
    </w:p>
    <w:p>
      <w:pPr>
        <w:spacing w:before="80" w:after="40"/>
        <w:keepNext w:val="1"/>
      </w:pPr>
      <w:r>
        <w:rPr>
          <w:rFonts w:ascii="Calibri" w:hAnsi="Calibri" w:eastAsia="Calibri"/>
          <w:b/>
          <w:color w:val="1F4D78"/>
          <w:sz w:val="23"/>
        </w:rPr>
        <w:t>Can my local laboratory manufacture the guide or prosthetic assets?</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A design-only route may be available when the file package, validated manufacturing route, quality responsibility and local regulatory obligations are confirmed in advance.</w:t>
      </w:r>
    </w:p>
    <w:p>
      <w:pPr>
        <w:spacing w:before="80" w:after="40"/>
        <w:keepNext w:val="1"/>
      </w:pPr>
      <w:r>
        <w:rPr>
          <w:rFonts w:ascii="Calibri" w:hAnsi="Calibri" w:eastAsia="Calibri"/>
          <w:b/>
          <w:color w:val="1F4D78"/>
          <w:sz w:val="23"/>
        </w:rPr>
        <w:t>How do global teams review the same case?</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The intended workflow uses versioned plans, named notes, defined participant roles and recorded approvals. Publish this promise only when the live portal and operations process support it.</w:t>
      </w:r>
    </w:p>
    <w:p>
      <w:pPr>
        <w:spacing w:before="80" w:after="40"/>
        <w:keepNext w:val="1"/>
      </w:pPr>
      <w:r>
        <w:rPr>
          <w:rFonts w:ascii="Calibri" w:hAnsi="Calibri" w:eastAsia="Calibri"/>
          <w:b/>
          <w:color w:val="1F4D78"/>
          <w:sz w:val="23"/>
        </w:rPr>
        <w:t>Where do I upload patient records?</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Only through the authenticated Image3DConversion Case Portal after the professional pathway and data requirements are confirmed.</w:t>
      </w:r>
    </w:p>
    <w:p>
      <w:pPr>
        <w:spacing w:before="0" w:after="60" w:line="300" w:lineRule="auto"/>
        <w:jc w:val="left"/>
        <w:keepNext w:val="1"/>
        <w:keepLines w:val="1"/>
      </w:pPr>
      <w:r>
        <w:rPr>
          <w:rFonts w:ascii="Calibri" w:hAnsi="Calibri" w:eastAsia="Calibri"/>
          <w:b w:val="0"/>
          <w:i/>
          <w:color w:val="5F6B7A"/>
          <w:sz w:val="19"/>
        </w:rPr>
        <w:t>Psychological job: Resolve the questions that block a serious advanced-case discussion: indication ownership, restorative sequence, guidance limits, loading, compatibility, local production and cross-border review.</w:t>
      </w:r>
    </w:p>
    <w:p>
      <w:pPr>
        <w:spacing w:before="0" w:after="60" w:line="300" w:lineRule="auto"/>
        <w:jc w:val="left"/>
        <w:keepNext w:val="1"/>
        <w:keepLines w:val="1"/>
      </w:pPr>
      <w:r>
        <w:rPr>
          <w:rFonts w:ascii="Calibri" w:hAnsi="Calibri" w:eastAsia="Calibri"/>
          <w:b w:val="0"/>
          <w:i w:val="0"/>
          <w:color w:val="5F6B7A"/>
          <w:sz w:val="19"/>
        </w:rPr>
        <w:t>Visual direction: Use an accessible accordion with the first question open. White background and a blue active rule.</w:t>
      </w:r>
    </w:p>
    <w:p>
      <w:pPr>
        <w:spacing w:before="0" w:after="60" w:line="300" w:lineRule="auto"/>
        <w:jc w:val="left"/>
        <w:keepNext w:val="1"/>
        <w:keepLines w:val="1"/>
      </w:pPr>
      <w:r>
        <w:rPr>
          <w:rFonts w:ascii="Calibri" w:hAnsi="Calibri" w:eastAsia="Calibri"/>
          <w:b w:val="0"/>
          <w:i w:val="0"/>
          <w:color w:val="5F6B7A"/>
          <w:sz w:val="19"/>
        </w:rPr>
        <w:t>Mobile: Keep complete answers in the page HTML and use generous tap targets.</w:t>
      </w:r>
    </w:p>
    <w:p>
      <w:pPr>
        <w:spacing w:before="0" w:after="140" w:line="300" w:lineRule="auto"/>
        <w:jc w:val="left"/>
        <w:keepLines w:val="1"/>
      </w:pPr>
      <w:r>
        <w:rPr>
          <w:rFonts w:ascii="Calibri" w:hAnsi="Calibri" w:eastAsia="Calibri"/>
          <w:b w:val="0"/>
          <w:i w:val="0"/>
          <w:color w:val="5F6B7A"/>
          <w:sz w:val="19"/>
        </w:rPr>
        <w:t>Implementation: Review answers whenever scope, portal behaviour, compatibility, data handling or production capability changes.</w:t>
      </w:r>
    </w:p>
    <w:p>
      <w:pPr>
        <w:pStyle w:val="Heading2"/>
        <w:keepNext w:val="1"/>
        <w:keepLines w:val="1"/>
      </w:pPr>
      <w:r>
        <w:t>Section 13 - Final action</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Ready to review the pathway?</w:t>
      </w:r>
    </w:p>
    <w:p>
      <w:pPr>
        <w:spacing w:before="0" w:after="80"/>
        <w:keepNext w:val="1"/>
      </w:pPr>
      <w:r>
        <w:rPr>
          <w:rFonts w:ascii="Calibri" w:hAnsi="Calibri" w:eastAsia="Calibri"/>
          <w:b/>
          <w:color w:val="2E74B5"/>
          <w:sz w:val="19"/>
        </w:rPr>
        <w:t>BODY COPY</w:t>
      </w:r>
    </w:p>
    <w:p>
      <w:pPr>
        <w:spacing w:before="0" w:after="100" w:line="300" w:lineRule="auto"/>
        <w:jc w:val="left"/>
        <w:keepLines w:val="1"/>
      </w:pPr>
      <w:r>
        <w:rPr>
          <w:rFonts w:ascii="Calibri" w:hAnsi="Calibri" w:eastAsia="Calibri"/>
          <w:b w:val="0"/>
          <w:i w:val="0"/>
          <w:color w:val="162236"/>
          <w:sz w:val="24"/>
        </w:rPr>
        <w:t>Begin with the intended smile, prosthetic objective and a non-identifying case summary. Discuss the advanced workflow first, then submit records securely when the pathway, participants and scope are clear.</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Discuss an Advanced Case</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See Advanced Case Requirements</w:t>
      </w:r>
    </w:p>
    <w:p>
      <w:pPr>
        <w:spacing w:before="0" w:after="120" w:line="300" w:lineRule="auto"/>
        <w:jc w:val="left"/>
      </w:pPr>
      <w:r>
        <w:rPr>
          <w:rFonts w:ascii="Calibri" w:hAnsi="Calibri" w:eastAsia="Calibri"/>
          <w:b w:val="0"/>
          <w:i/>
          <w:color w:val="5F6B7A"/>
          <w:sz w:val="21"/>
        </w:rPr>
        <w:t>Established partner? Start an Advanced Case in the Case Portal.</w:t>
      </w:r>
    </w:p>
    <w:p>
      <w:pPr>
        <w:spacing w:before="0" w:after="60" w:line="300" w:lineRule="auto"/>
        <w:jc w:val="left"/>
        <w:keepNext w:val="1"/>
        <w:keepLines w:val="1"/>
      </w:pPr>
      <w:r>
        <w:rPr>
          <w:rFonts w:ascii="Calibri" w:hAnsi="Calibri" w:eastAsia="Calibri"/>
          <w:b w:val="0"/>
          <w:i/>
          <w:color w:val="5F6B7A"/>
          <w:sz w:val="19"/>
        </w:rPr>
        <w:t>Psychological job: Close with a safe specialist route: discuss before transfer, then submit only when the case is operationally ready.</w:t>
      </w:r>
    </w:p>
    <w:p>
      <w:pPr>
        <w:spacing w:before="0" w:after="60" w:line="300" w:lineRule="auto"/>
        <w:jc w:val="left"/>
        <w:keepNext w:val="1"/>
        <w:keepLines w:val="1"/>
      </w:pPr>
      <w:r>
        <w:rPr>
          <w:rFonts w:ascii="Calibri" w:hAnsi="Calibri" w:eastAsia="Calibri"/>
          <w:b w:val="0"/>
          <w:i w:val="0"/>
          <w:color w:val="5F6B7A"/>
          <w:sz w:val="19"/>
        </w:rPr>
        <w:t>Visual direction: Finish on white with a large blue heading and one solid-blue discussion button. Avoid urgency or procedure imagery.</w:t>
      </w:r>
    </w:p>
    <w:p>
      <w:pPr>
        <w:spacing w:before="0" w:after="60" w:line="300" w:lineRule="auto"/>
        <w:jc w:val="left"/>
        <w:keepNext w:val="1"/>
        <w:keepLines w:val="1"/>
      </w:pPr>
      <w:r>
        <w:rPr>
          <w:rFonts w:ascii="Calibri" w:hAnsi="Calibri" w:eastAsia="Calibri"/>
          <w:b w:val="0"/>
          <w:i w:val="0"/>
          <w:color w:val="5F6B7A"/>
          <w:sz w:val="19"/>
        </w:rPr>
        <w:t>Mobile: Use one full-width primary action, then requirements and portal links.</w:t>
      </w:r>
    </w:p>
    <w:p>
      <w:pPr>
        <w:spacing w:before="0" w:after="140" w:line="300" w:lineRule="auto"/>
        <w:jc w:val="left"/>
        <w:keepLines w:val="1"/>
      </w:pPr>
      <w:r>
        <w:rPr>
          <w:rFonts w:ascii="Calibri" w:hAnsi="Calibri" w:eastAsia="Calibri"/>
          <w:b w:val="0"/>
          <w:i w:val="0"/>
          <w:color w:val="5F6B7A"/>
          <w:sz w:val="19"/>
        </w:rPr>
        <w:t>Implementation: Preserve the pathway and destination through login or account creation. Never request clinical files in the public discussion form.</w:t>
      </w:r>
    </w:p>
    <w:p>
      <w:pPr>
        <w:pStyle w:val="Heading1"/>
        <w:pageBreakBefore w:val="1"/>
        <w:keepNext w:val="1"/>
        <w:keepLines w:val="1"/>
      </w:pPr>
      <w:r>
        <w:t>5. Design psychology and visual system</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440"/>
        <w:gridCol w:w="2480"/>
        <w:gridCol w:w="3740"/>
        <w:gridCol w:w="1700"/>
      </w:tblGrid>
      <w:tr>
        <w:trPr>
          <w:tblHeader w:val="true"/>
          <w:cantSplit/>
        </w:trPr>
        <w:tc>
          <w:tcPr>
            <w:tcW w:type="dxa" w:w="144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Page stage</w:t>
            </w:r>
          </w:p>
        </w:tc>
        <w:tc>
          <w:tcPr>
            <w:tcW w:type="dxa" w:w="248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Visitor state</w:t>
            </w:r>
          </w:p>
        </w:tc>
        <w:tc>
          <w:tcPr>
            <w:tcW w:type="dxa" w:w="374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Design response</w:t>
            </w:r>
          </w:p>
        </w:tc>
        <w:tc>
          <w:tcPr>
            <w:tcW w:type="dxa" w:w="17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Desired action</w:t>
            </w:r>
          </w:p>
        </w:tc>
      </w:tr>
      <w:tr>
        <w:trPr>
          <w:cantSplit/>
        </w:trP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Hero</w:t>
            </w:r>
          </w:p>
        </w:tc>
        <w:tc>
          <w:tcPr>
            <w:tcW w:type="dxa" w:w="248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Do they understand the patient outcome?</w:t>
            </w:r>
          </w:p>
        </w:tc>
        <w:tc>
          <w:tcPr>
            <w:tcW w:type="dxa" w:w="374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Smile/setup connected to anatomical route</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Stay and recognise expertise</w:t>
            </w:r>
          </w:p>
        </w:tc>
      </w:tr>
      <w:tr>
        <w:trPr>
          <w:cantSplit/>
        </w:trP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Outcome</w:t>
            </w:r>
          </w:p>
        </w:tc>
        <w:tc>
          <w:tcPr>
            <w:tcW w:type="dxa" w:w="248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Will aesthetics lead the plan?</w:t>
            </w:r>
          </w:p>
        </w:tc>
        <w:tc>
          <w:tcPr>
            <w:tcW w:type="dxa" w:w="374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Human reference before technical layers</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Understand the philosophy</w:t>
            </w:r>
          </w:p>
        </w:tc>
      </w:tr>
      <w:tr>
        <w:trPr>
          <w:cantSplit/>
        </w:trP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Function</w:t>
            </w:r>
          </w:p>
        </w:tc>
        <w:tc>
          <w:tcPr>
            <w:tcW w:type="dxa" w:w="248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Is this clinically grounded?</w:t>
            </w:r>
          </w:p>
        </w:tc>
        <w:tc>
          <w:tcPr>
            <w:tcW w:type="dxa" w:w="374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Occlusion, space, hygiene and access</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Trust the sequence</w:t>
            </w:r>
          </w:p>
        </w:tc>
      </w:tr>
      <w:tr>
        <w:trPr>
          <w:cantSplit/>
        </w:trP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Pathways</w:t>
            </w:r>
          </w:p>
        </w:tc>
        <w:tc>
          <w:tcPr>
            <w:tcW w:type="dxa" w:w="248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Does my case fit the discussion?</w:t>
            </w:r>
          </w:p>
        </w:tc>
        <w:tc>
          <w:tcPr>
            <w:tcW w:type="dxa" w:w="374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Four clinician-led planning questions</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Self-identify safely</w:t>
            </w:r>
          </w:p>
        </w:tc>
      </w:tr>
      <w:tr>
        <w:trPr>
          <w:cantSplit/>
        </w:trP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Anatomy</w:t>
            </w:r>
          </w:p>
        </w:tc>
        <w:tc>
          <w:tcPr>
            <w:tcW w:type="dxa" w:w="248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Can I review the route?</w:t>
            </w:r>
          </w:p>
        </w:tc>
        <w:tc>
          <w:tcPr>
            <w:tcW w:type="dxa" w:w="374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Synchronized views and named limitations</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Inspect the proposal</w:t>
            </w:r>
          </w:p>
        </w:tc>
      </w:tr>
      <w:tr>
        <w:trPr>
          <w:cantSplit/>
        </w:trP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Workflow</w:t>
            </w:r>
          </w:p>
        </w:tc>
        <w:tc>
          <w:tcPr>
            <w:tcW w:type="dxa" w:w="248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How will remote work proceed?</w:t>
            </w:r>
          </w:p>
        </w:tc>
        <w:tc>
          <w:tcPr>
            <w:tcW w:type="dxa" w:w="374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Visible stages and one approval gate</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Accept the process</w:t>
            </w:r>
          </w:p>
        </w:tc>
      </w:tr>
      <w:tr>
        <w:trPr>
          <w:cantSplit/>
        </w:trP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Requirements</w:t>
            </w:r>
          </w:p>
        </w:tc>
        <w:tc>
          <w:tcPr>
            <w:tcW w:type="dxa" w:w="248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Is the case ready?</w:t>
            </w:r>
          </w:p>
        </w:tc>
        <w:tc>
          <w:tcPr>
            <w:tcW w:type="dxa" w:w="374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Complete specialist record groups</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Prepare correctly</w:t>
            </w:r>
          </w:p>
        </w:tc>
      </w:tr>
      <w:tr>
        <w:trPr>
          <w:cantSplit/>
        </w:trP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Global fit</w:t>
            </w:r>
          </w:p>
        </w:tc>
        <w:tc>
          <w:tcPr>
            <w:tcW w:type="dxa" w:w="248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Can teams work across borders?</w:t>
            </w:r>
          </w:p>
        </w:tc>
        <w:tc>
          <w:tcPr>
            <w:tcW w:type="dxa" w:w="374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Routes and responsibility split</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Assess partnership</w:t>
            </w:r>
          </w:p>
        </w:tc>
      </w:tr>
      <w:tr>
        <w:trPr>
          <w:cantSplit/>
        </w:trP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Evidence</w:t>
            </w:r>
          </w:p>
        </w:tc>
        <w:tc>
          <w:tcPr>
            <w:tcW w:type="dxa" w:w="248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Can I verify capability?</w:t>
            </w:r>
          </w:p>
        </w:tc>
        <w:tc>
          <w:tcPr>
            <w:tcW w:type="dxa" w:w="374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One complete decision trail</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Inspect proof</w:t>
            </w:r>
          </w:p>
        </w:tc>
      </w:tr>
      <w:tr>
        <w:trPr>
          <w:cantSplit/>
        </w:trP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Boundary</w:t>
            </w:r>
          </w:p>
        </w:tc>
        <w:tc>
          <w:tcPr>
            <w:tcW w:type="dxa" w:w="248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Who owns the decision?</w:t>
            </w:r>
          </w:p>
        </w:tc>
        <w:tc>
          <w:tcPr>
            <w:tcW w:type="dxa" w:w="374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Three explicit responsibility panels</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Trust professional control</w:t>
            </w:r>
          </w:p>
        </w:tc>
      </w:tr>
      <w:tr>
        <w:trPr>
          <w:cantSplit/>
        </w:trP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Final action</w:t>
            </w:r>
          </w:p>
        </w:tc>
        <w:tc>
          <w:tcPr>
            <w:tcW w:type="dxa" w:w="248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What happens first?</w:t>
            </w:r>
          </w:p>
        </w:tc>
        <w:tc>
          <w:tcPr>
            <w:tcW w:type="dxa" w:w="374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Discussion before data transfer</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Discuss safely</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Founder-approved two-colour direction</w:t>
      </w:r>
    </w:p>
    <w:p>
      <w:pPr>
        <w:numPr>
          <w:ilvl w:val="0"/>
          <w:numId w:val="17"/>
        </w:numPr>
        <w:spacing w:before="0" w:after="80" w:line="300" w:lineRule="auto"/>
        <w:keepLines w:val="1"/>
      </w:pPr>
      <w:r>
        <w:rPr>
          <w:rFonts w:ascii="Calibri" w:hAnsi="Calibri" w:eastAsia="Calibri"/>
          <w:b/>
          <w:color w:val="162236"/>
          <w:sz w:val="22"/>
        </w:rPr>
        <w:t xml:space="preserve">Brand colours - </w:t>
      </w:r>
      <w:r>
        <w:rPr>
          <w:rFonts w:ascii="Calibri" w:hAnsi="Calibri" w:eastAsia="Calibri"/>
          <w:color w:val="162236"/>
          <w:sz w:val="22"/>
        </w:rPr>
        <w:t>Image3DConversion Blue and White only.</w:t>
      </w:r>
    </w:p>
    <w:p>
      <w:pPr>
        <w:numPr>
          <w:ilvl w:val="0"/>
          <w:numId w:val="17"/>
        </w:numPr>
        <w:spacing w:before="0" w:after="80" w:line="300" w:lineRule="auto"/>
        <w:keepLines w:val="1"/>
      </w:pPr>
      <w:r>
        <w:rPr>
          <w:rFonts w:ascii="Calibri" w:hAnsi="Calibri" w:eastAsia="Calibri"/>
          <w:b/>
          <w:color w:val="162236"/>
          <w:sz w:val="22"/>
        </w:rPr>
        <w:t xml:space="preserve">Dominant field - </w:t>
      </w:r>
      <w:r>
        <w:rPr>
          <w:rFonts w:ascii="Calibri" w:hAnsi="Calibri" w:eastAsia="Calibri"/>
          <w:color w:val="162236"/>
          <w:sz w:val="22"/>
        </w:rPr>
        <w:t>White. The page must feel clinical, human and precise rather than dark, metallic or surgical-theatre led.</w:t>
      </w:r>
    </w:p>
    <w:p>
      <w:pPr>
        <w:numPr>
          <w:ilvl w:val="0"/>
          <w:numId w:val="17"/>
        </w:numPr>
        <w:spacing w:before="0" w:after="80" w:line="300" w:lineRule="auto"/>
        <w:keepLines w:val="1"/>
      </w:pPr>
      <w:r>
        <w:rPr>
          <w:rFonts w:ascii="Calibri" w:hAnsi="Calibri" w:eastAsia="Calibri"/>
          <w:b/>
          <w:color w:val="162236"/>
          <w:sz w:val="22"/>
        </w:rPr>
        <w:t xml:space="preserve">Derived values - </w:t>
      </w:r>
      <w:r>
        <w:rPr>
          <w:rFonts w:ascii="Calibri" w:hAnsi="Calibri" w:eastAsia="Calibri"/>
          <w:color w:val="162236"/>
          <w:sz w:val="22"/>
        </w:rPr>
        <w:t>Pale backgrounds, deeper text values, transparency and gradients derive only from the approved master blue.</w:t>
      </w:r>
    </w:p>
    <w:p>
      <w:pPr>
        <w:numPr>
          <w:ilvl w:val="0"/>
          <w:numId w:val="17"/>
        </w:numPr>
        <w:spacing w:before="0" w:after="80" w:line="300" w:lineRule="auto"/>
        <w:keepLines w:val="1"/>
      </w:pPr>
      <w:r>
        <w:rPr>
          <w:rFonts w:ascii="Calibri" w:hAnsi="Calibri" w:eastAsia="Calibri"/>
          <w:b/>
          <w:color w:val="162236"/>
          <w:sz w:val="22"/>
        </w:rPr>
        <w:t xml:space="preserve">Excluded accents - </w:t>
      </w:r>
      <w:r>
        <w:rPr>
          <w:rFonts w:ascii="Calibri" w:hAnsi="Calibri" w:eastAsia="Calibri"/>
          <w:color w:val="162236"/>
          <w:sz w:val="22"/>
        </w:rPr>
        <w:t>No lime, neon cyan, gold, purple, black-led theme or unrelated highlight colour.</w:t>
      </w:r>
    </w:p>
    <w:p>
      <w:pPr>
        <w:numPr>
          <w:ilvl w:val="0"/>
          <w:numId w:val="17"/>
        </w:numPr>
        <w:spacing w:before="0" w:after="80" w:line="300" w:lineRule="auto"/>
        <w:keepLines w:val="1"/>
      </w:pPr>
      <w:r>
        <w:rPr>
          <w:rFonts w:ascii="Calibri" w:hAnsi="Calibri" w:eastAsia="Calibri"/>
          <w:b/>
          <w:color w:val="162236"/>
          <w:sz w:val="22"/>
        </w:rPr>
        <w:t xml:space="preserve">Portal exception - </w:t>
      </w:r>
      <w:r>
        <w:rPr>
          <w:rFonts w:ascii="Calibri" w:hAnsi="Calibri" w:eastAsia="Calibri"/>
          <w:color w:val="162236"/>
          <w:sz w:val="22"/>
        </w:rPr>
        <w:t>Green, amber and red appear only as functional success, caution and error states.</w:t>
      </w:r>
    </w:p>
    <w:p>
      <w:pPr>
        <w:numPr>
          <w:ilvl w:val="0"/>
          <w:numId w:val="17"/>
        </w:numPr>
        <w:spacing w:before="0" w:after="80" w:line="300" w:lineRule="auto"/>
        <w:keepLines w:val="1"/>
      </w:pPr>
      <w:r>
        <w:rPr>
          <w:rFonts w:ascii="Calibri" w:hAnsi="Calibri" w:eastAsia="Calibri"/>
          <w:b/>
          <w:color w:val="162236"/>
          <w:sz w:val="22"/>
        </w:rPr>
        <w:t xml:space="preserve">Production gate - </w:t>
      </w:r>
      <w:r>
        <w:rPr>
          <w:rFonts w:ascii="Calibri" w:hAnsi="Calibri" w:eastAsia="Calibri"/>
          <w:color w:val="162236"/>
          <w:sz w:val="22"/>
        </w:rPr>
        <w:t>Extract the exact master-blue HEX from the approved original logo/vector. #2E74B5 remains a wireframe token.</w:t>
      </w:r>
    </w:p>
    <w:p>
      <w:pPr>
        <w:pStyle w:val="Heading2"/>
        <w:keepNext w:val="1"/>
        <w:keepLines w:val="1"/>
      </w:pPr>
      <w:r>
        <w:t>Layout and component direction</w:t>
      </w:r>
    </w:p>
    <w:p>
      <w:pPr>
        <w:numPr>
          <w:ilvl w:val="0"/>
          <w:numId w:val="18"/>
        </w:numPr>
        <w:spacing w:before="0" w:after="80" w:line="300" w:lineRule="auto"/>
        <w:keepLines w:val="1"/>
      </w:pPr>
      <w:r>
        <w:rPr>
          <w:rFonts w:ascii="Calibri" w:hAnsi="Calibri" w:eastAsia="Calibri"/>
          <w:b/>
          <w:color w:val="162236"/>
          <w:sz w:val="22"/>
        </w:rPr>
        <w:t xml:space="preserve">Grid - </w:t>
      </w:r>
      <w:r>
        <w:rPr>
          <w:rFonts w:ascii="Calibri" w:hAnsi="Calibri" w:eastAsia="Calibri"/>
          <w:color w:val="162236"/>
          <w:sz w:val="22"/>
        </w:rPr>
        <w:t>12-column desktop grid with a 1,200-1,280 px maximum; single-column mobile order.</w:t>
      </w:r>
    </w:p>
    <w:p>
      <w:pPr>
        <w:numPr>
          <w:ilvl w:val="0"/>
          <w:numId w:val="18"/>
        </w:numPr>
        <w:spacing w:before="0" w:after="80" w:line="300" w:lineRule="auto"/>
        <w:keepLines w:val="1"/>
      </w:pPr>
      <w:r>
        <w:rPr>
          <w:rFonts w:ascii="Calibri" w:hAnsi="Calibri" w:eastAsia="Calibri"/>
          <w:b/>
          <w:color w:val="162236"/>
          <w:sz w:val="22"/>
        </w:rPr>
        <w:t xml:space="preserve">Typography - </w:t>
      </w:r>
      <w:r>
        <w:rPr>
          <w:rFonts w:ascii="Calibri" w:hAnsi="Calibri" w:eastAsia="Calibri"/>
          <w:color w:val="162236"/>
          <w:sz w:val="22"/>
        </w:rPr>
        <w:t>Bricolage Grotesque 600 for display headings and Lato 400/700 for body and interface copy, subject to licensed webfont delivery.</w:t>
      </w:r>
    </w:p>
    <w:p>
      <w:pPr>
        <w:numPr>
          <w:ilvl w:val="0"/>
          <w:numId w:val="18"/>
        </w:numPr>
        <w:spacing w:before="0" w:after="80" w:line="300" w:lineRule="auto"/>
        <w:keepLines w:val="1"/>
      </w:pPr>
      <w:r>
        <w:rPr>
          <w:rFonts w:ascii="Calibri" w:hAnsi="Calibri" w:eastAsia="Calibri"/>
          <w:b/>
          <w:color w:val="162236"/>
          <w:sz w:val="22"/>
        </w:rPr>
        <w:t xml:space="preserve">Type scale - </w:t>
      </w:r>
      <w:r>
        <w:rPr>
          <w:rFonts w:ascii="Calibri" w:hAnsi="Calibri" w:eastAsia="Calibri"/>
          <w:color w:val="162236"/>
          <w:sz w:val="22"/>
        </w:rPr>
        <w:t>H1 approximately 52-60 px desktop and 36-42 px mobile; body 18 px desktop and 17 px mobile.</w:t>
      </w:r>
    </w:p>
    <w:p>
      <w:pPr>
        <w:numPr>
          <w:ilvl w:val="0"/>
          <w:numId w:val="18"/>
        </w:numPr>
        <w:spacing w:before="0" w:after="80" w:line="300" w:lineRule="auto"/>
        <w:keepLines w:val="1"/>
      </w:pPr>
      <w:r>
        <w:rPr>
          <w:rFonts w:ascii="Calibri" w:hAnsi="Calibri" w:eastAsia="Calibri"/>
          <w:b/>
          <w:color w:val="162236"/>
          <w:sz w:val="22"/>
        </w:rPr>
        <w:t xml:space="preserve">Buttons - </w:t>
      </w:r>
      <w:r>
        <w:rPr>
          <w:rFonts w:ascii="Calibri" w:hAnsi="Calibri" w:eastAsia="Calibri"/>
          <w:color w:val="162236"/>
          <w:sz w:val="22"/>
        </w:rPr>
        <w:t>Minimum 48 px high; primary solid master blue, secondary outline and utility actions as text links.</w:t>
      </w:r>
    </w:p>
    <w:p>
      <w:pPr>
        <w:numPr>
          <w:ilvl w:val="0"/>
          <w:numId w:val="18"/>
        </w:numPr>
        <w:spacing w:before="0" w:after="80" w:line="300" w:lineRule="auto"/>
        <w:keepLines w:val="1"/>
      </w:pPr>
      <w:r>
        <w:rPr>
          <w:rFonts w:ascii="Calibri" w:hAnsi="Calibri" w:eastAsia="Calibri"/>
          <w:b/>
          <w:color w:val="162236"/>
          <w:sz w:val="22"/>
        </w:rPr>
        <w:t xml:space="preserve">Visual sequence - </w:t>
      </w:r>
      <w:r>
        <w:rPr>
          <w:rFonts w:ascii="Calibri" w:hAnsi="Calibri" w:eastAsia="Calibri"/>
          <w:color w:val="162236"/>
          <w:sz w:val="22"/>
        </w:rPr>
        <w:t>The smile/setup always precedes anatomy. Master blue may trace the route, but it must not colour the anatomy as spectacle.</w:t>
      </w:r>
    </w:p>
    <w:p>
      <w:pPr>
        <w:numPr>
          <w:ilvl w:val="0"/>
          <w:numId w:val="18"/>
        </w:numPr>
        <w:spacing w:before="0" w:after="80" w:line="300" w:lineRule="auto"/>
        <w:keepLines w:val="1"/>
      </w:pPr>
      <w:r>
        <w:rPr>
          <w:rFonts w:ascii="Calibri" w:hAnsi="Calibri" w:eastAsia="Calibri"/>
          <w:b/>
          <w:color w:val="162236"/>
          <w:sz w:val="22"/>
        </w:rPr>
        <w:t xml:space="preserve">Spacing - </w:t>
      </w:r>
      <w:r>
        <w:rPr>
          <w:rFonts w:ascii="Calibri" w:hAnsi="Calibri" w:eastAsia="Calibri"/>
          <w:color w:val="162236"/>
          <w:sz w:val="22"/>
        </w:rPr>
        <w:t>Use 88-104 px between major desktop sections and 56-72 px on mobile.</w:t>
      </w:r>
    </w:p>
    <w:p>
      <w:pPr>
        <w:numPr>
          <w:ilvl w:val="0"/>
          <w:numId w:val="18"/>
        </w:numPr>
        <w:spacing w:before="0" w:after="80" w:line="300" w:lineRule="auto"/>
        <w:keepLines w:val="1"/>
      </w:pPr>
      <w:r>
        <w:rPr>
          <w:rFonts w:ascii="Calibri" w:hAnsi="Calibri" w:eastAsia="Calibri"/>
          <w:b/>
          <w:color w:val="162236"/>
          <w:sz w:val="22"/>
        </w:rPr>
        <w:t xml:space="preserve">Motion - </w:t>
      </w:r>
      <w:r>
        <w:rPr>
          <w:rFonts w:ascii="Calibri" w:hAnsi="Calibri" w:eastAsia="Calibri"/>
          <w:color w:val="162236"/>
          <w:sz w:val="22"/>
        </w:rPr>
        <w:t>If used, reveal layers from outcome to anatomy. Provide a complete static view and respect reduced motion.</w:t>
      </w:r>
    </w:p>
    <w:p>
      <w:pPr>
        <w:pStyle w:val="Heading2"/>
        <w:keepNext w:val="1"/>
        <w:keepLines w:val="1"/>
      </w:pPr>
      <w:r>
        <w:t>Image shot list</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600"/>
        <w:gridCol w:w="4560"/>
        <w:gridCol w:w="3200"/>
      </w:tblGrid>
      <w:tr>
        <w:trPr>
          <w:tblHeader w:val="true"/>
          <w:cantSplit/>
        </w:trPr>
        <w:tc>
          <w:tcPr>
            <w:tcW w:type="dxa" w:w="16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Asset</w:t>
            </w:r>
          </w:p>
        </w:tc>
        <w:tc>
          <w:tcPr>
            <w:tcW w:type="dxa" w:w="45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What to show</w:t>
            </w:r>
          </w:p>
        </w:tc>
        <w:tc>
          <w:tcPr>
            <w:tcW w:type="dxa" w:w="32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Avoid</w:t>
            </w:r>
          </w:p>
        </w:tc>
      </w:tr>
      <w:tr>
        <w:trPr>
          <w:cantSplit/>
        </w:trPr>
        <w:tc>
          <w:tcPr>
            <w:tcW w:type="dxa" w:w="1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Hero</w:t>
            </w:r>
          </w:p>
        </w:tc>
        <w:tc>
          <w:tcPr>
            <w:tcW w:type="dxa" w:w="45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One consented smile/setup connected to the real anatomical route</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Stock smile, generated patient, glowing skull</w:t>
            </w:r>
          </w:p>
        </w:tc>
      </w:tr>
      <w:tr>
        <w:trPr>
          <w:cantSplit/>
        </w:trPr>
        <w:tc>
          <w:tcPr>
            <w:tcW w:type="dxa" w:w="1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Outcome</w:t>
            </w:r>
          </w:p>
        </w:tc>
        <w:tc>
          <w:tcPr>
            <w:tcW w:type="dxa" w:w="45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Facial reference, tooth setup and prosthetic form from one case</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Unrelated before-and-after montage</w:t>
            </w:r>
          </w:p>
        </w:tc>
      </w:tr>
      <w:tr>
        <w:trPr>
          <w:cantSplit/>
        </w:trPr>
        <w:tc>
          <w:tcPr>
            <w:tcW w:type="dxa" w:w="1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Function</w:t>
            </w:r>
          </w:p>
        </w:tc>
        <w:tc>
          <w:tcPr>
            <w:tcW w:type="dxa" w:w="45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Occlusion, restorative space, access and tissue relationship</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Aesthetic image without functional context</w:t>
            </w:r>
          </w:p>
        </w:tc>
      </w:tr>
      <w:tr>
        <w:trPr>
          <w:cantSplit/>
        </w:trPr>
        <w:tc>
          <w:tcPr>
            <w:tcW w:type="dxa" w:w="1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Pathways</w:t>
            </w:r>
          </w:p>
        </w:tc>
        <w:tc>
          <w:tcPr>
            <w:tcW w:type="dxa" w:w="45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Verified zygomatic, pterygoid and combined planning views</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Generic implant icons or default indication</w:t>
            </w:r>
          </w:p>
        </w:tc>
      </w:tr>
      <w:tr>
        <w:trPr>
          <w:cantSplit/>
        </w:trPr>
        <w:tc>
          <w:tcPr>
            <w:tcW w:type="dxa" w:w="1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Anatomy</w:t>
            </w:r>
          </w:p>
        </w:tc>
        <w:tc>
          <w:tcPr>
            <w:tcW w:type="dxa" w:w="45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Synchronized case views, proposed route and visible limitations</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Invented segmentation or hidden caution</w:t>
            </w:r>
          </w:p>
        </w:tc>
      </w:tr>
      <w:tr>
        <w:trPr>
          <w:cantSplit/>
        </w:trPr>
        <w:tc>
          <w:tcPr>
            <w:tcW w:type="dxa" w:w="1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Review</w:t>
            </w:r>
          </w:p>
        </w:tc>
        <w:tc>
          <w:tcPr>
            <w:tcW w:type="dxa" w:w="45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Version, unresolved notes and exact approval scope</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Patient identifiers or one-click approval theatre</w:t>
            </w:r>
          </w:p>
        </w:tc>
      </w:tr>
      <w:tr>
        <w:trPr>
          <w:cantSplit/>
        </w:trPr>
        <w:tc>
          <w:tcPr>
            <w:tcW w:type="dxa" w:w="1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Global</w:t>
            </w:r>
          </w:p>
        </w:tc>
        <w:tc>
          <w:tcPr>
            <w:tcW w:type="dxa" w:w="45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Authorised practice review, planning and production handoff</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Flags, map pins or unsupported country count</w:t>
            </w:r>
          </w:p>
        </w:tc>
      </w:tr>
      <w:tr>
        <w:trPr>
          <w:cantSplit/>
        </w:trPr>
        <w:tc>
          <w:tcPr>
            <w:tcW w:type="dxa" w:w="1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Evidence</w:t>
            </w:r>
          </w:p>
        </w:tc>
        <w:tc>
          <w:tcPr>
            <w:tcW w:type="dxa" w:w="45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One case from outcome definition to delivered scope</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Disconnected screenshots presented as one case</w:t>
            </w:r>
          </w:p>
        </w:tc>
      </w:tr>
    </w:tbl>
    <w:p>
      <w:pPr>
        <w:spacing w:before="0" w:after="80" w:line="300" w:lineRule="auto"/>
        <w:jc w:val="left"/>
      </w:pPr>
      <w:r>
        <w:rPr>
          <w:rFonts w:ascii="Calibri" w:hAnsi="Calibri" w:eastAsia="Calibri"/>
          <w:b w:val="0"/>
          <w:i w:val="0"/>
          <w:color w:val="162236"/>
          <w:sz w:val="22"/>
        </w:rPr>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IMAGE INTEGRITY  </w:t>
      </w:r>
      <w:r>
        <w:rPr>
          <w:rFonts w:ascii="Calibri" w:hAnsi="Calibri" w:eastAsia="Calibri"/>
          <w:b w:val="0"/>
          <w:color w:val="162236"/>
          <w:sz w:val="22"/>
        </w:rPr>
        <w:t>Do not use generative imagery to represent a real patient, anatomy, trajectory, guide fit, surgical event or treatment outcome.</w:t>
      </w:r>
    </w:p>
    <w:p>
      <w:pPr>
        <w:pStyle w:val="Heading1"/>
        <w:keepNext w:val="1"/>
        <w:keepLines w:val="1"/>
      </w:pPr>
      <w:r>
        <w:t>6. Mobile, accessibility and interaction</w:t>
      </w:r>
    </w:p>
    <w:p>
      <w:pPr>
        <w:pStyle w:val="Heading2"/>
        <w:keepNext w:val="1"/>
        <w:keepLines w:val="1"/>
      </w:pPr>
      <w:r>
        <w:t>Mobile reading order</w:t>
      </w:r>
    </w:p>
    <w:p>
      <w:pPr>
        <w:numPr>
          <w:ilvl w:val="0"/>
          <w:numId w:val="19"/>
        </w:numPr>
        <w:spacing w:before="0" w:after="100" w:line="300" w:lineRule="auto"/>
        <w:keepLines w:val="1"/>
      </w:pPr>
      <w:r>
        <w:rPr>
          <w:rFonts w:ascii="Calibri" w:hAnsi="Calibri" w:eastAsia="Calibri"/>
          <w:b/>
          <w:color w:val="162236"/>
          <w:sz w:val="22"/>
        </w:rPr>
        <w:t xml:space="preserve">Patient outcome. </w:t>
      </w:r>
      <w:r>
        <w:rPr>
          <w:rFonts w:ascii="Calibri" w:hAnsi="Calibri" w:eastAsia="Calibri"/>
          <w:color w:val="162236"/>
          <w:sz w:val="22"/>
        </w:rPr>
        <w:t>Hero and smile/setup relationship.</w:t>
      </w:r>
    </w:p>
    <w:p>
      <w:pPr>
        <w:numPr>
          <w:ilvl w:val="0"/>
          <w:numId w:val="19"/>
        </w:numPr>
        <w:spacing w:before="0" w:after="100" w:line="300" w:lineRule="auto"/>
        <w:keepLines w:val="1"/>
      </w:pPr>
      <w:r>
        <w:rPr>
          <w:rFonts w:ascii="Calibri" w:hAnsi="Calibri" w:eastAsia="Calibri"/>
          <w:b/>
          <w:color w:val="162236"/>
          <w:sz w:val="22"/>
        </w:rPr>
        <w:t xml:space="preserve">Functional credibility. </w:t>
      </w:r>
      <w:r>
        <w:rPr>
          <w:rFonts w:ascii="Calibri" w:hAnsi="Calibri" w:eastAsia="Calibri"/>
          <w:color w:val="162236"/>
          <w:sz w:val="22"/>
        </w:rPr>
        <w:t>Occlusion, space, biology and access.</w:t>
      </w:r>
    </w:p>
    <w:p>
      <w:pPr>
        <w:numPr>
          <w:ilvl w:val="0"/>
          <w:numId w:val="19"/>
        </w:numPr>
        <w:spacing w:before="0" w:after="100" w:line="300" w:lineRule="auto"/>
        <w:keepLines w:val="1"/>
      </w:pPr>
      <w:r>
        <w:rPr>
          <w:rFonts w:ascii="Calibri" w:hAnsi="Calibri" w:eastAsia="Calibri"/>
          <w:b/>
          <w:color w:val="162236"/>
          <w:sz w:val="22"/>
        </w:rPr>
        <w:t xml:space="preserve">Case recognition. </w:t>
      </w:r>
      <w:r>
        <w:rPr>
          <w:rFonts w:ascii="Calibri" w:hAnsi="Calibri" w:eastAsia="Calibri"/>
          <w:color w:val="162236"/>
          <w:sz w:val="22"/>
        </w:rPr>
        <w:t>Zygomatic, pterygoid, combined and specialist pathways.</w:t>
      </w:r>
    </w:p>
    <w:p>
      <w:pPr>
        <w:numPr>
          <w:ilvl w:val="0"/>
          <w:numId w:val="19"/>
        </w:numPr>
        <w:spacing w:before="0" w:after="100" w:line="300" w:lineRule="auto"/>
        <w:keepLines w:val="1"/>
      </w:pPr>
      <w:r>
        <w:rPr>
          <w:rFonts w:ascii="Calibri" w:hAnsi="Calibri" w:eastAsia="Calibri"/>
          <w:b/>
          <w:color w:val="162236"/>
          <w:sz w:val="22"/>
        </w:rPr>
        <w:t xml:space="preserve">Anatomical review. </w:t>
      </w:r>
      <w:r>
        <w:rPr>
          <w:rFonts w:ascii="Calibri" w:hAnsi="Calibri" w:eastAsia="Calibri"/>
          <w:color w:val="162236"/>
          <w:sz w:val="22"/>
        </w:rPr>
        <w:t>Prosthetic and anatomical views together.</w:t>
      </w:r>
    </w:p>
    <w:p>
      <w:pPr>
        <w:numPr>
          <w:ilvl w:val="0"/>
          <w:numId w:val="19"/>
        </w:numPr>
        <w:spacing w:before="0" w:after="100" w:line="300" w:lineRule="auto"/>
        <w:keepLines w:val="1"/>
      </w:pPr>
      <w:r>
        <w:rPr>
          <w:rFonts w:ascii="Calibri" w:hAnsi="Calibri" w:eastAsia="Calibri"/>
          <w:b/>
          <w:color w:val="162236"/>
          <w:sz w:val="22"/>
        </w:rPr>
        <w:t xml:space="preserve">Workflow control. </w:t>
      </w:r>
      <w:r>
        <w:rPr>
          <w:rFonts w:ascii="Calibri" w:hAnsi="Calibri" w:eastAsia="Calibri"/>
          <w:color w:val="162236"/>
          <w:sz w:val="22"/>
        </w:rPr>
        <w:t>Stages, versioned review and approval meaning.</w:t>
      </w:r>
    </w:p>
    <w:p>
      <w:pPr>
        <w:numPr>
          <w:ilvl w:val="0"/>
          <w:numId w:val="19"/>
        </w:numPr>
        <w:spacing w:before="0" w:after="100" w:line="300" w:lineRule="auto"/>
        <w:keepLines w:val="1"/>
      </w:pPr>
      <w:r>
        <w:rPr>
          <w:rFonts w:ascii="Calibri" w:hAnsi="Calibri" w:eastAsia="Calibri"/>
          <w:b/>
          <w:color w:val="162236"/>
          <w:sz w:val="22"/>
        </w:rPr>
        <w:t xml:space="preserve">Readiness. </w:t>
      </w:r>
      <w:r>
        <w:rPr>
          <w:rFonts w:ascii="Calibri" w:hAnsi="Calibri" w:eastAsia="Calibri"/>
          <w:color w:val="162236"/>
          <w:sz w:val="22"/>
        </w:rPr>
        <w:t>Advanced requirements and secure-data boundary.</w:t>
      </w:r>
    </w:p>
    <w:p>
      <w:pPr>
        <w:numPr>
          <w:ilvl w:val="0"/>
          <w:numId w:val="19"/>
        </w:numPr>
        <w:spacing w:before="0" w:after="100" w:line="300" w:lineRule="auto"/>
        <w:keepLines w:val="1"/>
      </w:pPr>
      <w:r>
        <w:rPr>
          <w:rFonts w:ascii="Calibri" w:hAnsi="Calibri" w:eastAsia="Calibri"/>
          <w:b/>
          <w:color w:val="162236"/>
          <w:sz w:val="22"/>
        </w:rPr>
        <w:t xml:space="preserve">Global fit. </w:t>
      </w:r>
      <w:r>
        <w:rPr>
          <w:rFonts w:ascii="Calibri" w:hAnsi="Calibri" w:eastAsia="Calibri"/>
          <w:color w:val="162236"/>
          <w:sz w:val="22"/>
        </w:rPr>
        <w:t>Design-only, delivery and partnership routes.</w:t>
      </w:r>
    </w:p>
    <w:p>
      <w:pPr>
        <w:numPr>
          <w:ilvl w:val="0"/>
          <w:numId w:val="19"/>
        </w:numPr>
        <w:spacing w:before="0" w:after="100" w:line="300" w:lineRule="auto"/>
        <w:keepLines w:val="1"/>
      </w:pPr>
      <w:r>
        <w:rPr>
          <w:rFonts w:ascii="Calibri" w:hAnsi="Calibri" w:eastAsia="Calibri"/>
          <w:b/>
          <w:color w:val="162236"/>
          <w:sz w:val="22"/>
        </w:rPr>
        <w:t xml:space="preserve">Proof and boundary. </w:t>
      </w:r>
      <w:r>
        <w:rPr>
          <w:rFonts w:ascii="Calibri" w:hAnsi="Calibri" w:eastAsia="Calibri"/>
          <w:color w:val="162236"/>
          <w:sz w:val="22"/>
        </w:rPr>
        <w:t>Verified case trail and responsibility split.</w:t>
      </w:r>
    </w:p>
    <w:p>
      <w:pPr>
        <w:numPr>
          <w:ilvl w:val="0"/>
          <w:numId w:val="19"/>
        </w:numPr>
        <w:spacing w:before="0" w:after="100" w:line="300" w:lineRule="auto"/>
        <w:keepLines w:val="1"/>
      </w:pPr>
      <w:r>
        <w:rPr>
          <w:rFonts w:ascii="Calibri" w:hAnsi="Calibri" w:eastAsia="Calibri"/>
          <w:b/>
          <w:color w:val="162236"/>
          <w:sz w:val="22"/>
        </w:rPr>
        <w:t xml:space="preserve">Action. </w:t>
      </w:r>
      <w:r>
        <w:rPr>
          <w:rFonts w:ascii="Calibri" w:hAnsi="Calibri" w:eastAsia="Calibri"/>
          <w:color w:val="162236"/>
          <w:sz w:val="22"/>
        </w:rPr>
        <w:t>Discuss first, then portal entry for established workflows.</w:t>
      </w:r>
    </w:p>
    <w:p>
      <w:pPr>
        <w:pStyle w:val="Heading2"/>
        <w:keepNext w:val="1"/>
        <w:keepLines w:val="1"/>
      </w:pPr>
      <w:r>
        <w:t>Interaction requirements</w:t>
      </w:r>
    </w:p>
    <w:p>
      <w:pPr>
        <w:numPr>
          <w:ilvl w:val="0"/>
          <w:numId w:val="20"/>
        </w:numPr>
        <w:spacing w:before="0" w:after="80" w:line="300" w:lineRule="auto"/>
        <w:keepLines w:val="1"/>
      </w:pPr>
      <w:r>
        <w:rPr>
          <w:rFonts w:ascii="Calibri" w:hAnsi="Calibri" w:eastAsia="Calibri"/>
          <w:color w:val="162236"/>
          <w:sz w:val="22"/>
        </w:rPr>
        <w:t>Keep Discuss an Advanced Case visible after the hero; do not make Start a Case the dominant action for new advanced visitors.</w:t>
      </w:r>
    </w:p>
    <w:p>
      <w:pPr>
        <w:numPr>
          <w:ilvl w:val="0"/>
          <w:numId w:val="20"/>
        </w:numPr>
        <w:spacing w:before="0" w:after="80" w:line="300" w:lineRule="auto"/>
        <w:keepLines w:val="1"/>
      </w:pPr>
      <w:r>
        <w:rPr>
          <w:rFonts w:ascii="Calibri" w:hAnsi="Calibri" w:eastAsia="Calibri"/>
          <w:color w:val="162236"/>
          <w:sz w:val="22"/>
        </w:rPr>
        <w:t>Use at least 48 px tap targets and obvious keyboard focus states.</w:t>
      </w:r>
    </w:p>
    <w:p>
      <w:pPr>
        <w:numPr>
          <w:ilvl w:val="0"/>
          <w:numId w:val="20"/>
        </w:numPr>
        <w:spacing w:before="0" w:after="80" w:line="300" w:lineRule="auto"/>
        <w:keepLines w:val="1"/>
      </w:pPr>
      <w:r>
        <w:rPr>
          <w:rFonts w:ascii="Calibri" w:hAnsi="Calibri" w:eastAsia="Calibri"/>
          <w:color w:val="162236"/>
          <w:sz w:val="22"/>
        </w:rPr>
        <w:t>Do not use colour alone to distinguish proposed, approved, warning or unresolved states.</w:t>
      </w:r>
    </w:p>
    <w:p>
      <w:pPr>
        <w:numPr>
          <w:ilvl w:val="0"/>
          <w:numId w:val="20"/>
        </w:numPr>
        <w:spacing w:before="0" w:after="80" w:line="300" w:lineRule="auto"/>
        <w:keepLines w:val="1"/>
      </w:pPr>
      <w:r>
        <w:rPr>
          <w:rFonts w:ascii="Calibri" w:hAnsi="Calibri" w:eastAsia="Calibri"/>
          <w:color w:val="162236"/>
          <w:sz w:val="22"/>
        </w:rPr>
        <w:t>Synchronized imaging interactions require readable static alternatives.</w:t>
      </w:r>
    </w:p>
    <w:p>
      <w:pPr>
        <w:numPr>
          <w:ilvl w:val="0"/>
          <w:numId w:val="20"/>
        </w:numPr>
        <w:spacing w:before="0" w:after="80" w:line="300" w:lineRule="auto"/>
        <w:keepLines w:val="1"/>
      </w:pPr>
      <w:r>
        <w:rPr>
          <w:rFonts w:ascii="Calibri" w:hAnsi="Calibri" w:eastAsia="Calibri"/>
          <w:color w:val="162236"/>
          <w:sz w:val="22"/>
        </w:rPr>
        <w:t>Accordions expose state to assistive technology and remain usable without precise pointer control.</w:t>
      </w:r>
    </w:p>
    <w:p>
      <w:pPr>
        <w:numPr>
          <w:ilvl w:val="0"/>
          <w:numId w:val="20"/>
        </w:numPr>
        <w:spacing w:before="0" w:after="80" w:line="300" w:lineRule="auto"/>
        <w:keepLines w:val="1"/>
      </w:pPr>
      <w:r>
        <w:rPr>
          <w:rFonts w:ascii="Calibri" w:hAnsi="Calibri" w:eastAsia="Calibri"/>
          <w:color w:val="162236"/>
          <w:sz w:val="22"/>
        </w:rPr>
        <w:t>All informative images require meaningful alt text; decorative layers use empty alt attributes.</w:t>
      </w:r>
    </w:p>
    <w:p>
      <w:pPr>
        <w:numPr>
          <w:ilvl w:val="0"/>
          <w:numId w:val="20"/>
        </w:numPr>
        <w:spacing w:before="0" w:after="80" w:line="300" w:lineRule="auto"/>
        <w:keepLines w:val="1"/>
      </w:pPr>
      <w:r>
        <w:rPr>
          <w:rFonts w:ascii="Calibri" w:hAnsi="Calibri" w:eastAsia="Calibri"/>
          <w:color w:val="162236"/>
          <w:sz w:val="22"/>
        </w:rPr>
        <w:t>Maintain WCAG AA contrast after the production blue and derived values are finalised.</w:t>
      </w:r>
    </w:p>
    <w:p>
      <w:pPr>
        <w:numPr>
          <w:ilvl w:val="0"/>
          <w:numId w:val="20"/>
        </w:numPr>
        <w:spacing w:before="0" w:after="80" w:line="300" w:lineRule="auto"/>
        <w:keepLines w:val="1"/>
      </w:pPr>
      <w:r>
        <w:rPr>
          <w:rFonts w:ascii="Calibri" w:hAnsi="Calibri" w:eastAsia="Calibri"/>
          <w:color w:val="162236"/>
          <w:sz w:val="22"/>
        </w:rPr>
        <w:t>Respect reduced motion and never auto-play surgical or anatomical animation.</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CONTENT EQUIVALENCE  </w:t>
      </w:r>
      <w:r>
        <w:rPr>
          <w:rFonts w:ascii="Calibri" w:hAnsi="Calibri" w:eastAsia="Calibri"/>
          <w:b w:val="0"/>
          <w:color w:val="162236"/>
          <w:sz w:val="22"/>
        </w:rPr>
        <w:t>Mobile contains the same indexable headings, copy, captions, requirements, boundaries and links as desktop. Simplify layout, not meaning.</w:t>
      </w:r>
    </w:p>
    <w:p>
      <w:pPr>
        <w:pStyle w:val="Heading1"/>
        <w:keepNext w:val="1"/>
        <w:keepLines w:val="1"/>
      </w:pPr>
      <w:r>
        <w:t>7. Developer and SEO handoff</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900"/>
        <w:gridCol w:w="7460"/>
      </w:tblGrid>
      <w:tr>
        <w:trPr>
          <w:tblHeader w:val="true"/>
          <w:cantSplit/>
        </w:trPr>
        <w:tc>
          <w:tcPr>
            <w:tcW w:type="dxa" w:w="19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Control</w:t>
            </w:r>
          </w:p>
        </w:tc>
        <w:tc>
          <w:tcPr>
            <w:tcW w:type="dxa" w:w="74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Implementation requirement</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Canonical</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Self-referencing canonical on /zygoma-pterygoid-planning/.</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Indexing</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Index, follow only after clinical review, portal destinations and publication gates pass.</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Headings</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One H1; H2 sections in the published order; card titles use H3 only where structurally appropriate.</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Breadcrumbs</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Home &gt; Clinical Workflow Solutions &gt; Zygoma &amp; Pterygoid Planning.</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Structured data</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BreadcrumbList and visible, accurate Service information only. Do not add MedicalProcedure markup that suggests treatment provision.</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Open Graph</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the consented outcome-to-anatomy hero image and final copy; no generated clinical asset.</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Images</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Responsive AVIF/WebP where supported, explicit dimensions, lazy-load below the fold and meaningful alt text.</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Performance</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Do not make a heavy 3D skull viewer or autoplay video the Largest Contentful Paint element.</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Forms</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No clinical upload on the public page. The discussion form accepts professional details and a non-identifying summary only.</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Portal</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Carry workflow=zygoma-pterygoid and the agreed pathway into the authenticated case-start route.</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International</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Country or language alternates require real localized content and correct hreflang; never create thin translated doorway pages.</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Recommended analytics events</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800"/>
        <w:gridCol w:w="3100"/>
        <w:gridCol w:w="3460"/>
      </w:tblGrid>
      <w:tr>
        <w:trPr>
          <w:tblHeader w:val="true"/>
          <w:cantSplit/>
        </w:trPr>
        <w:tc>
          <w:tcPr>
            <w:tcW w:type="dxa" w:w="28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Event</w:t>
            </w:r>
          </w:p>
        </w:tc>
        <w:tc>
          <w:tcPr>
            <w:tcW w:type="dxa" w:w="31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Trigger</w:t>
            </w:r>
          </w:p>
        </w:tc>
        <w:tc>
          <w:tcPr>
            <w:tcW w:type="dxa" w:w="34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Useful property</w:t>
            </w:r>
          </w:p>
        </w:tc>
      </w:tr>
      <w:tr>
        <w:trPr>
          <w:cantSplit/>
        </w:trPr>
        <w:tc>
          <w:tcPr>
            <w:tcW w:type="dxa" w:w="2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advanced_case_discussion_click</w:t>
            </w:r>
          </w:p>
        </w:tc>
        <w:tc>
          <w:tcPr>
            <w:tcW w:type="dxa" w:w="31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Primary discussion CTA</w:t>
            </w:r>
          </w:p>
        </w:tc>
        <w:tc>
          <w:tcPr>
            <w:tcW w:type="dxa" w:w="3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placement; country; device</w:t>
            </w:r>
          </w:p>
        </w:tc>
      </w:tr>
      <w:tr>
        <w:trPr>
          <w:cantSplit/>
        </w:trPr>
        <w:tc>
          <w:tcPr>
            <w:tcW w:type="dxa" w:w="2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advanced_requirements_view</w:t>
            </w:r>
          </w:p>
        </w:tc>
        <w:tc>
          <w:tcPr>
            <w:tcW w:type="dxa" w:w="31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Requirements anchor or page link</w:t>
            </w:r>
          </w:p>
        </w:tc>
        <w:tc>
          <w:tcPr>
            <w:tcW w:type="dxa" w:w="3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source_section</w:t>
            </w:r>
          </w:p>
        </w:tc>
      </w:tr>
      <w:tr>
        <w:trPr>
          <w:cantSplit/>
        </w:trPr>
        <w:tc>
          <w:tcPr>
            <w:tcW w:type="dxa" w:w="2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advanced_pathway_view</w:t>
            </w:r>
          </w:p>
        </w:tc>
        <w:tc>
          <w:tcPr>
            <w:tcW w:type="dxa" w:w="31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Pathway card interaction</w:t>
            </w:r>
          </w:p>
        </w:tc>
        <w:tc>
          <w:tcPr>
            <w:tcW w:type="dxa" w:w="3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pathway_name</w:t>
            </w:r>
          </w:p>
        </w:tc>
      </w:tr>
      <w:tr>
        <w:trPr>
          <w:cantSplit/>
        </w:trPr>
        <w:tc>
          <w:tcPr>
            <w:tcW w:type="dxa" w:w="2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advanced_case_start_click</w:t>
            </w:r>
          </w:p>
        </w:tc>
        <w:tc>
          <w:tcPr>
            <w:tcW w:type="dxa" w:w="31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Portal CTA for established workflows</w:t>
            </w:r>
          </w:p>
        </w:tc>
        <w:tc>
          <w:tcPr>
            <w:tcW w:type="dxa" w:w="3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placement; logged_in_state</w:t>
            </w:r>
          </w:p>
        </w:tc>
      </w:tr>
      <w:tr>
        <w:trPr>
          <w:cantSplit/>
        </w:trPr>
        <w:tc>
          <w:tcPr>
            <w:tcW w:type="dxa" w:w="2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advanced_scope_select</w:t>
            </w:r>
          </w:p>
        </w:tc>
        <w:tc>
          <w:tcPr>
            <w:tcW w:type="dxa" w:w="31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Delivery-scope CTA</w:t>
            </w:r>
          </w:p>
        </w:tc>
        <w:tc>
          <w:tcPr>
            <w:tcW w:type="dxa" w:w="3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scope_name</w:t>
            </w:r>
          </w:p>
        </w:tc>
      </w:tr>
      <w:tr>
        <w:trPr>
          <w:cantSplit/>
        </w:trPr>
        <w:tc>
          <w:tcPr>
            <w:tcW w:type="dxa" w:w="2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advanced_portal_open</w:t>
            </w:r>
          </w:p>
        </w:tc>
        <w:tc>
          <w:tcPr>
            <w:tcW w:type="dxa" w:w="31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Returning-user portal link</w:t>
            </w:r>
          </w:p>
        </w:tc>
        <w:tc>
          <w:tcPr>
            <w:tcW w:type="dxa" w:w="3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source_section</w:t>
            </w:r>
          </w:p>
        </w:tc>
      </w:tr>
      <w:tr>
        <w:trPr>
          <w:cantSplit/>
        </w:trPr>
        <w:tc>
          <w:tcPr>
            <w:tcW w:type="dxa" w:w="2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advanced_faq_open</w:t>
            </w:r>
          </w:p>
        </w:tc>
        <w:tc>
          <w:tcPr>
            <w:tcW w:type="dxa" w:w="31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FAQ expansion</w:t>
            </w:r>
          </w:p>
        </w:tc>
        <w:tc>
          <w:tcPr>
            <w:tcW w:type="dxa" w:w="3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question_id</w:t>
            </w:r>
          </w:p>
        </w:tc>
      </w:tr>
    </w:tbl>
    <w:p>
      <w:pPr>
        <w:spacing w:before="0" w:after="80" w:line="300" w:lineRule="auto"/>
        <w:jc w:val="left"/>
      </w:pPr>
      <w:r>
        <w:rPr>
          <w:rFonts w:ascii="Calibri" w:hAnsi="Calibri" w:eastAsia="Calibri"/>
          <w:b w:val="0"/>
          <w:i w:val="0"/>
          <w:color w:val="162236"/>
          <w:sz w:val="22"/>
        </w:rPr>
      </w:r>
    </w:p>
    <w:p>
      <w:pPr>
        <w:spacing w:before="0" w:after="120" w:line="300" w:lineRule="auto"/>
        <w:jc w:val="left"/>
      </w:pPr>
      <w:r>
        <w:rPr>
          <w:rFonts w:ascii="Calibri" w:hAnsi="Calibri" w:eastAsia="Calibri"/>
          <w:b w:val="0"/>
          <w:i/>
          <w:color w:val="5F6B7A"/>
          <w:sz w:val="20"/>
        </w:rPr>
        <w:t>Analytics must not include patient names, clinical file names, diagnosis, case notes, DICOM metadata, plan values or other patient-level content.</w:t>
      </w:r>
    </w:p>
    <w:p>
      <w:pPr>
        <w:pStyle w:val="Heading1"/>
        <w:keepNext w:val="1"/>
        <w:keepLines w:val="1"/>
      </w:pPr>
      <w:r>
        <w:t>8. Case Portal alignment</w:t>
      </w:r>
    </w:p>
    <w:p>
      <w:pPr>
        <w:pStyle w:val="Heading2"/>
        <w:keepNext w:val="1"/>
        <w:keepLines w:val="1"/>
      </w:pPr>
      <w:r>
        <w:t>Case-start handoff</w:t>
      </w:r>
    </w:p>
    <w:p>
      <w:pPr>
        <w:numPr>
          <w:ilvl w:val="0"/>
          <w:numId w:val="21"/>
        </w:numPr>
        <w:spacing w:before="0" w:after="100" w:line="300" w:lineRule="auto"/>
        <w:keepLines w:val="1"/>
      </w:pPr>
      <w:r>
        <w:rPr>
          <w:rFonts w:ascii="Calibri" w:hAnsi="Calibri" w:eastAsia="Calibri"/>
          <w:b/>
          <w:color w:val="162236"/>
          <w:sz w:val="22"/>
        </w:rPr>
        <w:t xml:space="preserve">Preserve intent. </w:t>
      </w:r>
      <w:r>
        <w:rPr>
          <w:rFonts w:ascii="Calibri" w:hAnsi="Calibri" w:eastAsia="Calibri"/>
          <w:color w:val="162236"/>
          <w:sz w:val="22"/>
        </w:rPr>
        <w:t>The public discussion route records the requested advanced pathway without patient data.</w:t>
      </w:r>
    </w:p>
    <w:p>
      <w:pPr>
        <w:numPr>
          <w:ilvl w:val="0"/>
          <w:numId w:val="21"/>
        </w:numPr>
        <w:spacing w:before="0" w:after="100" w:line="300" w:lineRule="auto"/>
        <w:keepLines w:val="1"/>
      </w:pPr>
      <w:r>
        <w:rPr>
          <w:rFonts w:ascii="Calibri" w:hAnsi="Calibri" w:eastAsia="Calibri"/>
          <w:b/>
          <w:color w:val="162236"/>
          <w:sz w:val="22"/>
        </w:rPr>
        <w:t xml:space="preserve">Confirm the professional team. </w:t>
      </w:r>
      <w:r>
        <w:rPr>
          <w:rFonts w:ascii="Calibri" w:hAnsi="Calibri" w:eastAsia="Calibri"/>
          <w:color w:val="162236"/>
          <w:sz w:val="22"/>
        </w:rPr>
        <w:t>Record treating clinician, restorative lead, laboratory or production partner and authorised reviewers.</w:t>
      </w:r>
    </w:p>
    <w:p>
      <w:pPr>
        <w:numPr>
          <w:ilvl w:val="0"/>
          <w:numId w:val="21"/>
        </w:numPr>
        <w:spacing w:before="0" w:after="100" w:line="300" w:lineRule="auto"/>
        <w:keepLines w:val="1"/>
      </w:pPr>
      <w:r>
        <w:rPr>
          <w:rFonts w:ascii="Calibri" w:hAnsi="Calibri" w:eastAsia="Calibri"/>
          <w:b/>
          <w:color w:val="162236"/>
          <w:sz w:val="22"/>
        </w:rPr>
        <w:t xml:space="preserve">Confirm the pathway and scope. </w:t>
      </w:r>
      <w:r>
        <w:rPr>
          <w:rFonts w:ascii="Calibri" w:hAnsi="Calibri" w:eastAsia="Calibri"/>
          <w:color w:val="162236"/>
          <w:sz w:val="22"/>
        </w:rPr>
        <w:t>Zygomatic, pterygoid, combined or specialist review; design-only or coordinated delivery.</w:t>
      </w:r>
    </w:p>
    <w:p>
      <w:pPr>
        <w:numPr>
          <w:ilvl w:val="0"/>
          <w:numId w:val="21"/>
        </w:numPr>
        <w:spacing w:before="0" w:after="100" w:line="300" w:lineRule="auto"/>
        <w:keepLines w:val="1"/>
      </w:pPr>
      <w:r>
        <w:rPr>
          <w:rFonts w:ascii="Calibri" w:hAnsi="Calibri" w:eastAsia="Calibri"/>
          <w:b/>
          <w:color w:val="162236"/>
          <w:sz w:val="22"/>
        </w:rPr>
        <w:t xml:space="preserve">Authenticate safely. </w:t>
      </w:r>
      <w:r>
        <w:rPr>
          <w:rFonts w:ascii="Calibri" w:hAnsi="Calibri" w:eastAsia="Calibri"/>
          <w:color w:val="162236"/>
          <w:sz w:val="22"/>
        </w:rPr>
        <w:t>Only authorised professional users proceed to clinical record submission.</w:t>
      </w:r>
    </w:p>
    <w:p>
      <w:pPr>
        <w:numPr>
          <w:ilvl w:val="0"/>
          <w:numId w:val="21"/>
        </w:numPr>
        <w:spacing w:before="0" w:after="100" w:line="300" w:lineRule="auto"/>
        <w:keepLines w:val="1"/>
      </w:pPr>
      <w:r>
        <w:rPr>
          <w:rFonts w:ascii="Calibri" w:hAnsi="Calibri" w:eastAsia="Calibri"/>
          <w:b/>
          <w:color w:val="162236"/>
          <w:sz w:val="22"/>
        </w:rPr>
        <w:t xml:space="preserve">Collect the patient outcome. </w:t>
      </w:r>
      <w:r>
        <w:rPr>
          <w:rFonts w:ascii="Calibri" w:hAnsi="Calibri" w:eastAsia="Calibri"/>
          <w:color w:val="162236"/>
          <w:sz w:val="22"/>
        </w:rPr>
        <w:t>Structured fields capture smile/facial references, prosthetic concept, setup status and functional objective.</w:t>
      </w:r>
    </w:p>
    <w:p>
      <w:pPr>
        <w:numPr>
          <w:ilvl w:val="0"/>
          <w:numId w:val="21"/>
        </w:numPr>
        <w:spacing w:before="0" w:after="100" w:line="300" w:lineRule="auto"/>
        <w:keepLines w:val="1"/>
      </w:pPr>
      <w:r>
        <w:rPr>
          <w:rFonts w:ascii="Calibri" w:hAnsi="Calibri" w:eastAsia="Calibri"/>
          <w:b/>
          <w:color w:val="162236"/>
          <w:sz w:val="22"/>
        </w:rPr>
        <w:t xml:space="preserve">Collect clinical and component context. </w:t>
      </w:r>
      <w:r>
        <w:rPr>
          <w:rFonts w:ascii="Calibri" w:hAnsi="Calibri" w:eastAsia="Calibri"/>
          <w:color w:val="162236"/>
          <w:sz w:val="22"/>
        </w:rPr>
        <w:t>Record clinician-defined approach, implant system, components, instruments, loading intention and known constraints.</w:t>
      </w:r>
    </w:p>
    <w:p>
      <w:pPr>
        <w:numPr>
          <w:ilvl w:val="0"/>
          <w:numId w:val="21"/>
        </w:numPr>
        <w:spacing w:before="0" w:after="100" w:line="300" w:lineRule="auto"/>
        <w:keepLines w:val="1"/>
      </w:pPr>
      <w:r>
        <w:rPr>
          <w:rFonts w:ascii="Calibri" w:hAnsi="Calibri" w:eastAsia="Calibri"/>
          <w:b/>
          <w:color w:val="162236"/>
          <w:sz w:val="22"/>
        </w:rPr>
        <w:t xml:space="preserve">Validate records. </w:t>
      </w:r>
      <w:r>
        <w:rPr>
          <w:rFonts w:ascii="Calibri" w:hAnsi="Calibri" w:eastAsia="Calibri"/>
          <w:color w:val="162236"/>
          <w:sz w:val="22"/>
        </w:rPr>
        <w:t>Show received, missing or unreadable data without implying diagnosis or suitability.</w:t>
      </w:r>
    </w:p>
    <w:p>
      <w:pPr>
        <w:numPr>
          <w:ilvl w:val="0"/>
          <w:numId w:val="21"/>
        </w:numPr>
        <w:spacing w:before="0" w:after="100" w:line="300" w:lineRule="auto"/>
        <w:keepLines w:val="1"/>
      </w:pPr>
      <w:r>
        <w:rPr>
          <w:rFonts w:ascii="Calibri" w:hAnsi="Calibri" w:eastAsia="Calibri"/>
          <w:b/>
          <w:color w:val="162236"/>
          <w:sz w:val="22"/>
        </w:rPr>
        <w:t xml:space="preserve">Route versioned review. </w:t>
      </w:r>
      <w:r>
        <w:rPr>
          <w:rFonts w:ascii="Calibri" w:hAnsi="Calibri" w:eastAsia="Calibri"/>
          <w:color w:val="162236"/>
          <w:sz w:val="22"/>
        </w:rPr>
        <w:t>Use the same prosthetic, anatomical, revision and approval language promised publicly.</w:t>
      </w:r>
    </w:p>
    <w:p>
      <w:pPr>
        <w:pStyle w:val="Heading2"/>
        <w:keepNext w:val="1"/>
        <w:keepLines w:val="1"/>
      </w:pPr>
      <w:r>
        <w:t>Minimum advanced intake fields</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900"/>
        <w:gridCol w:w="3800"/>
        <w:gridCol w:w="3660"/>
      </w:tblGrid>
      <w:tr>
        <w:trPr>
          <w:tblHeader w:val="true"/>
          <w:cantSplit/>
        </w:trPr>
        <w:tc>
          <w:tcPr>
            <w:tcW w:type="dxa" w:w="19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Field group</w:t>
            </w:r>
          </w:p>
        </w:tc>
        <w:tc>
          <w:tcPr>
            <w:tcW w:type="dxa" w:w="38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Examples</w:t>
            </w:r>
          </w:p>
        </w:tc>
        <w:tc>
          <w:tcPr>
            <w:tcW w:type="dxa" w:w="36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Behaviour</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Professional team</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Treating clinician; restorative lead; lab; authorised reviewer; country</w:t>
            </w:r>
          </w:p>
        </w:tc>
        <w:tc>
          <w:tcPr>
            <w:tcW w:type="dxa" w:w="366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Verify role and access before sharing clinical content.</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Case objective</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Arch; restorative concept; intended pathway; loading intention</w:t>
            </w:r>
          </w:p>
        </w:tc>
        <w:tc>
          <w:tcPr>
            <w:tcW w:type="dxa" w:w="366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Use structured choices plus a concise specialist brief.</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Smile/prosthetic reference</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Facial records; denture; setup; wax-up; provisional</w:t>
            </w:r>
          </w:p>
        </w:tc>
        <w:tc>
          <w:tcPr>
            <w:tcW w:type="dxa" w:w="366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Show missing and needs-review states.</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Functional records</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Opposing arch; bite; vertical relation; occlusal objective</w:t>
            </w:r>
          </w:p>
        </w:tc>
        <w:tc>
          <w:tcPr>
            <w:tcW w:type="dxa" w:w="366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Do not infer a definitive relationship from one record.</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Anatomical data</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DICOM series; image date; imaging scope; known limitations</w:t>
            </w:r>
          </w:p>
        </w:tc>
        <w:tc>
          <w:tcPr>
            <w:tcW w:type="dxa" w:w="366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Validate file presence and usability, not clinical suitability.</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Implant and components</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Implant family; planned dimensions; abutments; instruments</w:t>
            </w:r>
          </w:p>
        </w:tc>
        <w:tc>
          <w:tcPr>
            <w:tcW w:type="dxa" w:w="366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Validate against current compatibility information.</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Production route</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Design-only; local production; coordinated delivery; white label</w:t>
            </w:r>
          </w:p>
        </w:tc>
        <w:tc>
          <w:tcPr>
            <w:tcW w:type="dxa" w:w="366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Expose responsibilities and acceptance checks.</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Timing and destination</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Proposed surgery date; destination country; contact window</w:t>
            </w:r>
          </w:p>
        </w:tc>
        <w:tc>
          <w:tcPr>
            <w:tcW w:type="dxa" w:w="366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Treat as planning information, not a promise.</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Shared terminology</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600"/>
        <w:gridCol w:w="2800"/>
        <w:gridCol w:w="3960"/>
      </w:tblGrid>
      <w:tr>
        <w:trPr>
          <w:tblHeader w:val="true"/>
          <w:cantSplit/>
        </w:trPr>
        <w:tc>
          <w:tcPr>
            <w:tcW w:type="dxa" w:w="26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Public page</w:t>
            </w:r>
          </w:p>
        </w:tc>
        <w:tc>
          <w:tcPr>
            <w:tcW w:type="dxa" w:w="28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Portal term</w:t>
            </w:r>
          </w:p>
        </w:tc>
        <w:tc>
          <w:tcPr>
            <w:tcW w:type="dxa" w:w="39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Rule</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Discuss an Advanced Case</w:t>
            </w:r>
          </w:p>
        </w:tc>
        <w:tc>
          <w:tcPr>
            <w:tcW w:type="dxa" w:w="28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Advanced Discussion Requested</w:t>
            </w:r>
          </w:p>
        </w:tc>
        <w:tc>
          <w:tcPr>
            <w:tcW w:type="dxa" w:w="396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No clinical files or identifiers are required publicly.</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Pathway confirmed</w:t>
            </w:r>
          </w:p>
        </w:tc>
        <w:tc>
          <w:tcPr>
            <w:tcW w:type="dxa" w:w="28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Advanced Pathway Confirmed</w:t>
            </w:r>
          </w:p>
        </w:tc>
        <w:tc>
          <w:tcPr>
            <w:tcW w:type="dxa" w:w="396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Records the agreed workflow route, not patient suitability.</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Records received</w:t>
            </w:r>
          </w:p>
        </w:tc>
        <w:tc>
          <w:tcPr>
            <w:tcW w:type="dxa" w:w="28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Files Received</w:t>
            </w:r>
          </w:p>
        </w:tc>
        <w:tc>
          <w:tcPr>
            <w:tcW w:type="dxa" w:w="396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Receipt is not usability or clinical review.</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Records usable</w:t>
            </w:r>
          </w:p>
        </w:tc>
        <w:tc>
          <w:tcPr>
            <w:tcW w:type="dxa" w:w="28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Data Check Complete</w:t>
            </w:r>
          </w:p>
        </w:tc>
        <w:tc>
          <w:tcPr>
            <w:tcW w:type="dxa" w:w="396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Use only after the stated operating check.</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Setup ready</w:t>
            </w:r>
          </w:p>
        </w:tc>
        <w:tc>
          <w:tcPr>
            <w:tcW w:type="dxa" w:w="28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Prosthetic Setup Ready for Review</w:t>
            </w:r>
          </w:p>
        </w:tc>
        <w:tc>
          <w:tcPr>
            <w:tcW w:type="dxa" w:w="396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Show exact version and unresolved notes.</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Advanced plan ready</w:t>
            </w:r>
          </w:p>
        </w:tc>
        <w:tc>
          <w:tcPr>
            <w:tcW w:type="dxa" w:w="28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Advanced Plan Ready for Review</w:t>
            </w:r>
          </w:p>
        </w:tc>
        <w:tc>
          <w:tcPr>
            <w:tcW w:type="dxa" w:w="396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Show pathway, route, components, limitations and scope.</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Request changes</w:t>
            </w:r>
          </w:p>
        </w:tc>
        <w:tc>
          <w:tcPr>
            <w:tcW w:type="dxa" w:w="28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Changes Requested</w:t>
            </w:r>
          </w:p>
        </w:tc>
        <w:tc>
          <w:tcPr>
            <w:tcW w:type="dxa" w:w="396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Preserve version history and impact.</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Approve version</w:t>
            </w:r>
          </w:p>
        </w:tc>
        <w:tc>
          <w:tcPr>
            <w:tcW w:type="dxa" w:w="28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Approved for Production</w:t>
            </w:r>
          </w:p>
        </w:tc>
        <w:tc>
          <w:tcPr>
            <w:tcW w:type="dxa" w:w="396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Record exact version, scope, clinician and time.</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Delivery complete</w:t>
            </w:r>
          </w:p>
        </w:tc>
        <w:tc>
          <w:tcPr>
            <w:tcW w:type="dxa" w:w="28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Delivered</w:t>
            </w:r>
          </w:p>
        </w:tc>
        <w:tc>
          <w:tcPr>
            <w:tcW w:type="dxa" w:w="396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Specify the files, components or shipment included.</w:t>
            </w:r>
          </w:p>
        </w:tc>
      </w:tr>
    </w:tbl>
    <w:p>
      <w:pPr>
        <w:spacing w:before="0" w:after="80" w:line="300" w:lineRule="auto"/>
        <w:jc w:val="left"/>
      </w:pPr>
      <w:r>
        <w:rPr>
          <w:rFonts w:ascii="Calibri" w:hAnsi="Calibri" w:eastAsia="Calibri"/>
          <w:b w:val="0"/>
          <w:i w:val="0"/>
          <w:color w:val="162236"/>
          <w:sz w:val="22"/>
        </w:rPr>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DO NOT OVER-PROMISE  </w:t>
      </w:r>
      <w:r>
        <w:rPr>
          <w:rFonts w:ascii="Calibri" w:hAnsi="Calibri" w:eastAsia="Calibri"/>
          <w:b w:val="0"/>
          <w:color w:val="162236"/>
          <w:sz w:val="22"/>
        </w:rPr>
        <w:t>Public copy and portal states must describe the live operating workflow. If versioned review, participant access, approval or international delivery controls are not implemented, revise the promise before publication.</w:t>
      </w:r>
    </w:p>
    <w:p>
      <w:pPr>
        <w:pStyle w:val="Heading1"/>
        <w:keepNext w:val="1"/>
        <w:keepLines w:val="1"/>
      </w:pPr>
      <w:r>
        <w:t>9. Evidence, clinical and publication controls</w:t>
      </w:r>
    </w:p>
    <w:p>
      <w:pPr>
        <w:pStyle w:val="Heading2"/>
        <w:keepNext w:val="1"/>
        <w:keepLines w:val="1"/>
      </w:pPr>
      <w:r>
        <w:t>Claims that remain blocked</w:t>
      </w:r>
    </w:p>
    <w:p>
      <w:pPr>
        <w:numPr>
          <w:ilvl w:val="0"/>
          <w:numId w:val="22"/>
        </w:numPr>
        <w:spacing w:before="0" w:after="80" w:line="300" w:lineRule="auto"/>
        <w:keepLines w:val="1"/>
      </w:pPr>
      <w:r>
        <w:rPr>
          <w:rFonts w:ascii="Calibri" w:hAnsi="Calibri" w:eastAsia="Calibri"/>
          <w:color w:val="162236"/>
          <w:sz w:val="22"/>
        </w:rPr>
        <w:t>Patient suitability, treatment recommendation or an indication determined by Image3DConversion.</w:t>
      </w:r>
    </w:p>
    <w:p>
      <w:pPr>
        <w:numPr>
          <w:ilvl w:val="0"/>
          <w:numId w:val="22"/>
        </w:numPr>
        <w:spacing w:before="0" w:after="80" w:line="300" w:lineRule="auto"/>
        <w:keepLines w:val="1"/>
      </w:pPr>
      <w:r>
        <w:rPr>
          <w:rFonts w:ascii="Calibri" w:hAnsi="Calibri" w:eastAsia="Calibri"/>
          <w:color w:val="162236"/>
          <w:sz w:val="22"/>
        </w:rPr>
        <w:t>Perfect accuracy, exact transfer, zero deviation, guaranteed guide fit or guaranteed implant position.</w:t>
      </w:r>
    </w:p>
    <w:p>
      <w:pPr>
        <w:numPr>
          <w:ilvl w:val="0"/>
          <w:numId w:val="22"/>
        </w:numPr>
        <w:spacing w:before="0" w:after="80" w:line="300" w:lineRule="auto"/>
        <w:keepLines w:val="1"/>
      </w:pPr>
      <w:r>
        <w:rPr>
          <w:rFonts w:ascii="Calibri" w:hAnsi="Calibri" w:eastAsia="Calibri"/>
          <w:color w:val="162236"/>
          <w:sz w:val="22"/>
        </w:rPr>
        <w:t>Universal safety, complication avoidance, minimally invasive treatment or predictable outcomes.</w:t>
      </w:r>
    </w:p>
    <w:p>
      <w:pPr>
        <w:numPr>
          <w:ilvl w:val="0"/>
          <w:numId w:val="22"/>
        </w:numPr>
        <w:spacing w:before="0" w:after="80" w:line="300" w:lineRule="auto"/>
        <w:keepLines w:val="1"/>
      </w:pPr>
      <w:r>
        <w:rPr>
          <w:rFonts w:ascii="Calibri" w:hAnsi="Calibri" w:eastAsia="Calibri"/>
          <w:color w:val="162236"/>
          <w:sz w:val="22"/>
        </w:rPr>
        <w:t>Guaranteed primary stability, immediate loading, same-day teeth, prosthetic fit or patient satisfaction.</w:t>
      </w:r>
    </w:p>
    <w:p>
      <w:pPr>
        <w:numPr>
          <w:ilvl w:val="0"/>
          <w:numId w:val="22"/>
        </w:numPr>
        <w:spacing w:before="0" w:after="80" w:line="300" w:lineRule="auto"/>
        <w:keepLines w:val="1"/>
      </w:pPr>
      <w:r>
        <w:rPr>
          <w:rFonts w:ascii="Calibri" w:hAnsi="Calibri" w:eastAsia="Calibri"/>
          <w:color w:val="162236"/>
          <w:sz w:val="22"/>
        </w:rPr>
        <w:t>Universal compatibility with every implant system, component, instrument or guide concept.</w:t>
      </w:r>
    </w:p>
    <w:p>
      <w:pPr>
        <w:numPr>
          <w:ilvl w:val="0"/>
          <w:numId w:val="22"/>
        </w:numPr>
        <w:spacing w:before="0" w:after="80" w:line="300" w:lineRule="auto"/>
        <w:keepLines w:val="1"/>
      </w:pPr>
      <w:r>
        <w:rPr>
          <w:rFonts w:ascii="Calibri" w:hAnsi="Calibri" w:eastAsia="Calibri"/>
          <w:color w:val="162236"/>
          <w:sz w:val="22"/>
        </w:rPr>
        <w:t>A fixed guide design or surgical pathway claimed to suit every zygomatic or pterygoid case.</w:t>
      </w:r>
    </w:p>
    <w:p>
      <w:pPr>
        <w:numPr>
          <w:ilvl w:val="0"/>
          <w:numId w:val="22"/>
        </w:numPr>
        <w:spacing w:before="0" w:after="80" w:line="300" w:lineRule="auto"/>
        <w:keepLines w:val="1"/>
      </w:pPr>
      <w:r>
        <w:rPr>
          <w:rFonts w:ascii="Calibri" w:hAnsi="Calibri" w:eastAsia="Calibri"/>
          <w:color w:val="162236"/>
          <w:sz w:val="22"/>
        </w:rPr>
        <w:t>Universal turnaround, country coverage, shipping, currency or local-production claims not verified by scope.</w:t>
      </w:r>
    </w:p>
    <w:p>
      <w:pPr>
        <w:numPr>
          <w:ilvl w:val="0"/>
          <w:numId w:val="22"/>
        </w:numPr>
        <w:spacing w:before="0" w:after="80" w:line="300" w:lineRule="auto"/>
        <w:keepLines w:val="1"/>
      </w:pPr>
      <w:r>
        <w:rPr>
          <w:rFonts w:ascii="Calibri" w:hAnsi="Calibri" w:eastAsia="Calibri"/>
          <w:color w:val="162236"/>
          <w:sz w:val="22"/>
        </w:rPr>
        <w:t>HIPAA, GDPR, ISO, medical-device or other compliance language not verified for the live entity, data path, destination and product scope.</w:t>
      </w:r>
    </w:p>
    <w:p>
      <w:pPr>
        <w:numPr>
          <w:ilvl w:val="0"/>
          <w:numId w:val="22"/>
        </w:numPr>
        <w:spacing w:before="0" w:after="80" w:line="300" w:lineRule="auto"/>
        <w:keepLines w:val="1"/>
      </w:pPr>
      <w:r>
        <w:rPr>
          <w:rFonts w:ascii="Calibri" w:hAnsi="Calibri" w:eastAsia="Calibri"/>
          <w:color w:val="162236"/>
          <w:sz w:val="22"/>
        </w:rPr>
        <w:t>AI-autonomous segmentation, planning, indication or clinical decision-making.</w:t>
      </w:r>
    </w:p>
    <w:p>
      <w:pPr>
        <w:numPr>
          <w:ilvl w:val="0"/>
          <w:numId w:val="22"/>
        </w:numPr>
        <w:spacing w:before="0" w:after="80" w:line="300" w:lineRule="auto"/>
        <w:keepLines w:val="1"/>
      </w:pPr>
      <w:r>
        <w:rPr>
          <w:rFonts w:ascii="Calibri" w:hAnsi="Calibri" w:eastAsia="Calibri"/>
          <w:color w:val="162236"/>
          <w:sz w:val="22"/>
        </w:rPr>
        <w:t>Use of published survival or accuracy data as proof of Image3DConversion-specific performance.</w:t>
      </w:r>
    </w:p>
    <w:p>
      <w:pPr>
        <w:pStyle w:val="Heading2"/>
        <w:keepNext w:val="1"/>
        <w:keepLines w:val="1"/>
      </w:pPr>
      <w:r>
        <w:t>Evidence that may be published after verification</w:t>
      </w:r>
    </w:p>
    <w:p>
      <w:pPr>
        <w:numPr>
          <w:ilvl w:val="0"/>
          <w:numId w:val="23"/>
        </w:numPr>
        <w:spacing w:before="0" w:after="80" w:line="300" w:lineRule="auto"/>
        <w:keepLines w:val="1"/>
      </w:pPr>
      <w:r>
        <w:rPr>
          <w:rFonts w:ascii="Calibri" w:hAnsi="Calibri" w:eastAsia="Calibri"/>
          <w:color w:val="162236"/>
          <w:sz w:val="22"/>
        </w:rPr>
        <w:t>One complete, consented and de-identified case from smile objective to delivered scope.</w:t>
      </w:r>
    </w:p>
    <w:p>
      <w:pPr>
        <w:numPr>
          <w:ilvl w:val="0"/>
          <w:numId w:val="23"/>
        </w:numPr>
        <w:spacing w:before="0" w:after="80" w:line="300" w:lineRule="auto"/>
        <w:keepLines w:val="1"/>
      </w:pPr>
      <w:r>
        <w:rPr>
          <w:rFonts w:ascii="Calibri" w:hAnsi="Calibri" w:eastAsia="Calibri"/>
          <w:color w:val="162236"/>
          <w:sz w:val="22"/>
        </w:rPr>
        <w:t>A documented prosthetic and advanced-plan review path matching the live portal.</w:t>
      </w:r>
    </w:p>
    <w:p>
      <w:pPr>
        <w:numPr>
          <w:ilvl w:val="0"/>
          <w:numId w:val="23"/>
        </w:numPr>
        <w:spacing w:before="0" w:after="80" w:line="300" w:lineRule="auto"/>
        <w:keepLines w:val="1"/>
      </w:pPr>
      <w:r>
        <w:rPr>
          <w:rFonts w:ascii="Calibri" w:hAnsi="Calibri" w:eastAsia="Calibri"/>
          <w:color w:val="162236"/>
          <w:sz w:val="22"/>
        </w:rPr>
        <w:t>Current implant, component, instrument and production compatibility by verified pathway.</w:t>
      </w:r>
    </w:p>
    <w:p>
      <w:pPr>
        <w:numPr>
          <w:ilvl w:val="0"/>
          <w:numId w:val="23"/>
        </w:numPr>
        <w:spacing w:before="0" w:after="80" w:line="300" w:lineRule="auto"/>
        <w:keepLines w:val="1"/>
      </w:pPr>
      <w:r>
        <w:rPr>
          <w:rFonts w:ascii="Calibri" w:hAnsi="Calibri" w:eastAsia="Calibri"/>
          <w:color w:val="162236"/>
          <w:sz w:val="22"/>
        </w:rPr>
        <w:t>Verified service regions, languages, currencies, production routes, shipping conditions and turnaround bands.</w:t>
      </w:r>
    </w:p>
    <w:p>
      <w:pPr>
        <w:numPr>
          <w:ilvl w:val="0"/>
          <w:numId w:val="23"/>
        </w:numPr>
        <w:spacing w:before="0" w:after="80" w:line="300" w:lineRule="auto"/>
        <w:keepLines w:val="1"/>
      </w:pPr>
      <w:r>
        <w:rPr>
          <w:rFonts w:ascii="Calibri" w:hAnsi="Calibri" w:eastAsia="Calibri"/>
          <w:color w:val="162236"/>
          <w:sz w:val="22"/>
        </w:rPr>
        <w:t>Named clinical and technical review roles matching current operations.</w:t>
      </w:r>
    </w:p>
    <w:p>
      <w:pPr>
        <w:numPr>
          <w:ilvl w:val="0"/>
          <w:numId w:val="23"/>
        </w:numPr>
        <w:spacing w:before="0" w:after="80" w:line="300" w:lineRule="auto"/>
        <w:keepLines w:val="1"/>
      </w:pPr>
      <w:r>
        <w:rPr>
          <w:rFonts w:ascii="Calibri" w:hAnsi="Calibri" w:eastAsia="Calibri"/>
          <w:color w:val="162236"/>
          <w:sz w:val="22"/>
        </w:rPr>
        <w:t>Defined version control, participant access, escalation and post-approval change rules.</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EVIDENCE POSTURE  </w:t>
      </w:r>
      <w:r>
        <w:rPr>
          <w:rFonts w:ascii="Calibri" w:hAnsi="Calibri" w:eastAsia="Calibri"/>
          <w:b w:val="0"/>
          <w:color w:val="162236"/>
          <w:sz w:val="22"/>
        </w:rPr>
        <w:t>Published literature supports the complexity, indications, outcomes and limitations of advanced implant treatment. It does not validate an Image3DConversion-specific accuracy, safety, timing or outcome claim without company evidence.</w:t>
      </w:r>
    </w:p>
    <w:p>
      <w:pPr>
        <w:pStyle w:val="Heading1"/>
        <w:keepNext w:val="1"/>
        <w:keepLines w:val="1"/>
      </w:pPr>
      <w:r>
        <w:t>10. Release acceptance checklist</w:t>
      </w:r>
    </w:p>
    <w:p>
      <w:pPr>
        <w:numPr>
          <w:ilvl w:val="0"/>
          <w:numId w:val="24"/>
        </w:numPr>
        <w:spacing w:before="0" w:after="80" w:line="300" w:lineRule="auto"/>
        <w:keepLines w:val="1"/>
      </w:pPr>
      <w:r>
        <w:rPr>
          <w:rFonts w:ascii="Calibri" w:hAnsi="Calibri" w:eastAsia="Calibri"/>
          <w:color w:val="162236"/>
          <w:sz w:val="22"/>
        </w:rPr>
        <w:t>The H1, SEO title, meta description and canonical URL match this specification.</w:t>
      </w:r>
    </w:p>
    <w:p>
      <w:pPr>
        <w:numPr>
          <w:ilvl w:val="0"/>
          <w:numId w:val="24"/>
        </w:numPr>
        <w:spacing w:before="0" w:after="80" w:line="300" w:lineRule="auto"/>
        <w:keepLines w:val="1"/>
      </w:pPr>
      <w:r>
        <w:rPr>
          <w:rFonts w:ascii="Calibri" w:hAnsi="Calibri" w:eastAsia="Calibri"/>
          <w:color w:val="162236"/>
          <w:sz w:val="22"/>
        </w:rPr>
        <w:t>The page opens with a consented smile/prosthetic reference before anatomy, implant trajectory or guide components.</w:t>
      </w:r>
    </w:p>
    <w:p>
      <w:pPr>
        <w:numPr>
          <w:ilvl w:val="0"/>
          <w:numId w:val="24"/>
        </w:numPr>
        <w:spacing w:before="0" w:after="80" w:line="300" w:lineRule="auto"/>
        <w:keepLines w:val="1"/>
      </w:pPr>
      <w:r>
        <w:rPr>
          <w:rFonts w:ascii="Calibri" w:hAnsi="Calibri" w:eastAsia="Calibri"/>
          <w:color w:val="162236"/>
          <w:sz w:val="22"/>
        </w:rPr>
        <w:t>The copy states that aesthetics establishes the destination while function, biology and anatomy determine the route.</w:t>
      </w:r>
    </w:p>
    <w:p>
      <w:pPr>
        <w:numPr>
          <w:ilvl w:val="0"/>
          <w:numId w:val="24"/>
        </w:numPr>
        <w:spacing w:before="0" w:after="80" w:line="300" w:lineRule="auto"/>
        <w:keepLines w:val="1"/>
      </w:pPr>
      <w:r>
        <w:rPr>
          <w:rFonts w:ascii="Calibri" w:hAnsi="Calibri" w:eastAsia="Calibri"/>
          <w:color w:val="162236"/>
          <w:sz w:val="22"/>
        </w:rPr>
        <w:t>The hero and evidence visuals come from approved real cases; no generated clinical imagery is used.</w:t>
      </w:r>
    </w:p>
    <w:p>
      <w:pPr>
        <w:numPr>
          <w:ilvl w:val="0"/>
          <w:numId w:val="24"/>
        </w:numPr>
        <w:spacing w:before="0" w:after="80" w:line="300" w:lineRule="auto"/>
        <w:keepLines w:val="1"/>
      </w:pPr>
      <w:r>
        <w:rPr>
          <w:rFonts w:ascii="Calibri" w:hAnsi="Calibri" w:eastAsia="Calibri"/>
          <w:color w:val="162236"/>
          <w:sz w:val="22"/>
        </w:rPr>
        <w:t>The page uses Image3DConversion Blue and White only; all derived values come from the master blue.</w:t>
      </w:r>
    </w:p>
    <w:p>
      <w:pPr>
        <w:numPr>
          <w:ilvl w:val="0"/>
          <w:numId w:val="24"/>
        </w:numPr>
        <w:spacing w:before="0" w:after="80" w:line="300" w:lineRule="auto"/>
        <w:keepLines w:val="1"/>
      </w:pPr>
      <w:r>
        <w:rPr>
          <w:rFonts w:ascii="Calibri" w:hAnsi="Calibri" w:eastAsia="Calibri"/>
          <w:color w:val="162236"/>
          <w:sz w:val="22"/>
        </w:rPr>
        <w:t>The exact production blue is extracted from the approved original logo/vector asset.</w:t>
      </w:r>
    </w:p>
    <w:p>
      <w:pPr>
        <w:numPr>
          <w:ilvl w:val="0"/>
          <w:numId w:val="24"/>
        </w:numPr>
        <w:spacing w:before="0" w:after="80" w:line="300" w:lineRule="auto"/>
        <w:keepLines w:val="1"/>
      </w:pPr>
      <w:r>
        <w:rPr>
          <w:rFonts w:ascii="Calibri" w:hAnsi="Calibri" w:eastAsia="Calibri"/>
          <w:color w:val="162236"/>
          <w:sz w:val="22"/>
        </w:rPr>
        <w:t>Discuss an Advanced Case is the primary action for new visitors.</w:t>
      </w:r>
    </w:p>
    <w:p>
      <w:pPr>
        <w:numPr>
          <w:ilvl w:val="0"/>
          <w:numId w:val="24"/>
        </w:numPr>
        <w:spacing w:before="0" w:after="80" w:line="300" w:lineRule="auto"/>
        <w:keepLines w:val="1"/>
      </w:pPr>
      <w:r>
        <w:rPr>
          <w:rFonts w:ascii="Calibri" w:hAnsi="Calibri" w:eastAsia="Calibri"/>
          <w:color w:val="162236"/>
          <w:sz w:val="22"/>
        </w:rPr>
        <w:t>No public form accepts patient files, images or identifiers.</w:t>
      </w:r>
    </w:p>
    <w:p>
      <w:pPr>
        <w:numPr>
          <w:ilvl w:val="0"/>
          <w:numId w:val="24"/>
        </w:numPr>
        <w:spacing w:before="0" w:after="80" w:line="300" w:lineRule="auto"/>
        <w:keepLines w:val="1"/>
      </w:pPr>
      <w:r>
        <w:rPr>
          <w:rFonts w:ascii="Calibri" w:hAnsi="Calibri" w:eastAsia="Calibri"/>
          <w:color w:val="162236"/>
          <w:sz w:val="22"/>
        </w:rPr>
        <w:t>Patient suitability, diagnosis, indication, surgery and loading remain explicitly clinician-owned.</w:t>
      </w:r>
    </w:p>
    <w:p>
      <w:pPr>
        <w:numPr>
          <w:ilvl w:val="0"/>
          <w:numId w:val="24"/>
        </w:numPr>
        <w:spacing w:before="0" w:after="80" w:line="300" w:lineRule="auto"/>
        <w:keepLines w:val="1"/>
      </w:pPr>
      <w:r>
        <w:rPr>
          <w:rFonts w:ascii="Calibri" w:hAnsi="Calibri" w:eastAsia="Calibri"/>
          <w:color w:val="162236"/>
          <w:sz w:val="22"/>
        </w:rPr>
        <w:t>Every pathway, component, instrument and guide term matches the displayed case and current operations.</w:t>
      </w:r>
    </w:p>
    <w:p>
      <w:pPr>
        <w:numPr>
          <w:ilvl w:val="0"/>
          <w:numId w:val="24"/>
        </w:numPr>
        <w:spacing w:before="0" w:after="80" w:line="300" w:lineRule="auto"/>
        <w:keepLines w:val="1"/>
      </w:pPr>
      <w:r>
        <w:rPr>
          <w:rFonts w:ascii="Calibri" w:hAnsi="Calibri" w:eastAsia="Calibri"/>
          <w:color w:val="162236"/>
          <w:sz w:val="22"/>
        </w:rPr>
        <w:t>Advanced requirements match the current clinical and technical standard.</w:t>
      </w:r>
    </w:p>
    <w:p>
      <w:pPr>
        <w:numPr>
          <w:ilvl w:val="0"/>
          <w:numId w:val="24"/>
        </w:numPr>
        <w:spacing w:before="0" w:after="80" w:line="300" w:lineRule="auto"/>
        <w:keepLines w:val="1"/>
      </w:pPr>
      <w:r>
        <w:rPr>
          <w:rFonts w:ascii="Calibri" w:hAnsi="Calibri" w:eastAsia="Calibri"/>
          <w:color w:val="162236"/>
          <w:sz w:val="22"/>
        </w:rPr>
        <w:t>Versioned review, participant access, revision and approval language matches live portal behaviour.</w:t>
      </w:r>
    </w:p>
    <w:p>
      <w:pPr>
        <w:numPr>
          <w:ilvl w:val="0"/>
          <w:numId w:val="24"/>
        </w:numPr>
        <w:spacing w:before="0" w:after="80" w:line="300" w:lineRule="auto"/>
        <w:keepLines w:val="1"/>
      </w:pPr>
      <w:r>
        <w:rPr>
          <w:rFonts w:ascii="Calibri" w:hAnsi="Calibri" w:eastAsia="Calibri"/>
          <w:color w:val="162236"/>
          <w:sz w:val="22"/>
        </w:rPr>
        <w:t>Approval is attached to a visible version and confirmed production scope.</w:t>
      </w:r>
    </w:p>
    <w:p>
      <w:pPr>
        <w:numPr>
          <w:ilvl w:val="0"/>
          <w:numId w:val="24"/>
        </w:numPr>
        <w:spacing w:before="0" w:after="80" w:line="300" w:lineRule="auto"/>
        <w:keepLines w:val="1"/>
      </w:pPr>
      <w:r>
        <w:rPr>
          <w:rFonts w:ascii="Calibri" w:hAnsi="Calibri" w:eastAsia="Calibri"/>
          <w:color w:val="162236"/>
          <w:sz w:val="22"/>
        </w:rPr>
        <w:t>Global-practice claims are operationally verified; no flags, country count or vague worldwide promise substitutes for evidence.</w:t>
      </w:r>
    </w:p>
    <w:p>
      <w:pPr>
        <w:numPr>
          <w:ilvl w:val="0"/>
          <w:numId w:val="24"/>
        </w:numPr>
        <w:spacing w:before="0" w:after="80" w:line="300" w:lineRule="auto"/>
        <w:keepLines w:val="1"/>
      </w:pPr>
      <w:r>
        <w:rPr>
          <w:rFonts w:ascii="Calibri" w:hAnsi="Calibri" w:eastAsia="Calibri"/>
          <w:color w:val="162236"/>
          <w:sz w:val="22"/>
        </w:rPr>
        <w:t>No guaranteed safety, accuracy, fit, loading, timing, compliance, AI or outcome claim appears.</w:t>
      </w:r>
    </w:p>
    <w:p>
      <w:pPr>
        <w:numPr>
          <w:ilvl w:val="0"/>
          <w:numId w:val="24"/>
        </w:numPr>
        <w:spacing w:before="0" w:after="80" w:line="300" w:lineRule="auto"/>
        <w:keepLines w:val="1"/>
      </w:pPr>
      <w:r>
        <w:rPr>
          <w:rFonts w:ascii="Calibri" w:hAnsi="Calibri" w:eastAsia="Calibri"/>
          <w:color w:val="162236"/>
          <w:sz w:val="22"/>
        </w:rPr>
        <w:t>The evidence module is removed unless consent, de-identification, authorship, plan accuracy and captions pass review.</w:t>
      </w:r>
    </w:p>
    <w:p>
      <w:pPr>
        <w:numPr>
          <w:ilvl w:val="0"/>
          <w:numId w:val="24"/>
        </w:numPr>
        <w:spacing w:before="0" w:after="80" w:line="300" w:lineRule="auto"/>
        <w:keepLines w:val="1"/>
      </w:pPr>
      <w:r>
        <w:rPr>
          <w:rFonts w:ascii="Calibri" w:hAnsi="Calibri" w:eastAsia="Calibri"/>
          <w:color w:val="162236"/>
          <w:sz w:val="22"/>
        </w:rPr>
        <w:t>Desktop and mobile contain equivalent indexable meaning.</w:t>
      </w:r>
    </w:p>
    <w:p>
      <w:pPr>
        <w:numPr>
          <w:ilvl w:val="0"/>
          <w:numId w:val="24"/>
        </w:numPr>
        <w:spacing w:before="0" w:after="80" w:line="300" w:lineRule="auto"/>
        <w:keepLines w:val="1"/>
      </w:pPr>
      <w:r>
        <w:rPr>
          <w:rFonts w:ascii="Calibri" w:hAnsi="Calibri" w:eastAsia="Calibri"/>
          <w:color w:val="162236"/>
          <w:sz w:val="22"/>
        </w:rPr>
        <w:t>Keyboard navigation, focus, contrast, headings, alt text, accordions and imaging interactions pass accessibility QA.</w:t>
      </w:r>
    </w:p>
    <w:p>
      <w:pPr>
        <w:numPr>
          <w:ilvl w:val="0"/>
          <w:numId w:val="24"/>
        </w:numPr>
        <w:spacing w:before="0" w:after="80" w:line="300" w:lineRule="auto"/>
        <w:keepLines w:val="1"/>
      </w:pPr>
      <w:r>
        <w:rPr>
          <w:rFonts w:ascii="Calibri" w:hAnsi="Calibri" w:eastAsia="Calibri"/>
          <w:color w:val="162236"/>
          <w:sz w:val="22"/>
        </w:rPr>
        <w:t>Responsive images, dimensions and loading behaviour pass performance QA.</w:t>
      </w:r>
    </w:p>
    <w:p>
      <w:pPr>
        <w:numPr>
          <w:ilvl w:val="0"/>
          <w:numId w:val="24"/>
        </w:numPr>
        <w:spacing w:before="0" w:after="80" w:line="300" w:lineRule="auto"/>
        <w:keepLines w:val="1"/>
      </w:pPr>
      <w:r>
        <w:rPr>
          <w:rFonts w:ascii="Calibri" w:hAnsi="Calibri" w:eastAsia="Calibri"/>
          <w:color w:val="162236"/>
          <w:sz w:val="22"/>
        </w:rPr>
        <w:t>Analytics contain no patient or clinical data.</w:t>
      </w:r>
    </w:p>
    <w:p>
      <w:pPr>
        <w:numPr>
          <w:ilvl w:val="0"/>
          <w:numId w:val="24"/>
        </w:numPr>
        <w:spacing w:before="0" w:after="80" w:line="300" w:lineRule="auto"/>
        <w:keepLines w:val="1"/>
      </w:pPr>
      <w:r>
        <w:rPr>
          <w:rFonts w:ascii="Calibri" w:hAnsi="Calibri" w:eastAsia="Calibri"/>
          <w:color w:val="162236"/>
          <w:sz w:val="22"/>
        </w:rPr>
        <w:t>The journey is tested from search landing through discussion, authentication and successful advanced-case initiation.</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RELEASE RULE  </w:t>
      </w:r>
      <w:r>
        <w:rPr>
          <w:rFonts w:ascii="Calibri" w:hAnsi="Calibri" w:eastAsia="Calibri"/>
          <w:b w:val="0"/>
          <w:color w:val="162236"/>
          <w:sz w:val="22"/>
        </w:rPr>
        <w:t>Do not publish because the page looks specialist. Publish when the clinical boundaries, portal path, operational scope, global-service details and evidence are all true.</w:t>
      </w:r>
    </w:p>
    <w:p>
      <w:pPr>
        <w:pStyle w:val="Heading2"/>
        <w:pageBreakBefore w:val="1"/>
        <w:keepNext w:val="1"/>
        <w:keepLines w:val="1"/>
      </w:pPr>
      <w:r>
        <w:t>Reference links</w:t>
      </w:r>
    </w:p>
    <w:p>
      <w:pPr>
        <w:numPr>
          <w:ilvl w:val="0"/>
          <w:numId w:val="25"/>
        </w:numPr>
        <w:spacing w:after="80" w:line="300" w:lineRule="auto"/>
      </w:pPr>
      <w:hyperlink r:id="rId11">
        <w:r>
          <w:rPr>
            <w:rFonts w:ascii="Calibri" w:hAnsi="Calibri"/>
            <w:color w:val="2E74B5"/>
            <w:u w:val="single"/>
          </w:rPr>
          <w:t>ITI consensus: Indications for Zygomatic Implants</w:t>
        </w:r>
      </w:hyperlink>
      <w:r>
        <w:rPr>
          <w:rFonts w:ascii="Calibri" w:hAnsi="Calibri" w:eastAsia="Calibri"/>
          <w:color w:val="162236"/>
          <w:sz w:val="21"/>
        </w:rPr>
        <w:t xml:space="preserve"> — indication ownership, clinical complexity and surgical/restorative expertise</w:t>
      </w:r>
    </w:p>
    <w:p>
      <w:pPr>
        <w:numPr>
          <w:ilvl w:val="0"/>
          <w:numId w:val="26"/>
        </w:numPr>
        <w:spacing w:after="80" w:line="300" w:lineRule="auto"/>
      </w:pPr>
      <w:hyperlink r:id="rId12">
        <w:r>
          <w:rPr>
            <w:rFonts w:ascii="Calibri" w:hAnsi="Calibri"/>
            <w:color w:val="2E74B5"/>
            <w:u w:val="single"/>
          </w:rPr>
          <w:t>ITI consensus: Long-term Treatment Outcomes with Zygomatic Implants</w:t>
        </w:r>
      </w:hyperlink>
      <w:r>
        <w:rPr>
          <w:rFonts w:ascii="Calibri" w:hAnsi="Calibri" w:eastAsia="Calibri"/>
          <w:color w:val="162236"/>
          <w:sz w:val="21"/>
        </w:rPr>
        <w:t xml:space="preserve"> — long-term outcomes and reported biological complications; not a company claim</w:t>
      </w:r>
    </w:p>
    <w:p>
      <w:pPr>
        <w:numPr>
          <w:ilvl w:val="0"/>
          <w:numId w:val="27"/>
        </w:numPr>
        <w:spacing w:after="80" w:line="300" w:lineRule="auto"/>
      </w:pPr>
      <w:hyperlink r:id="rId13">
        <w:r>
          <w:rPr>
            <w:rFonts w:ascii="Calibri" w:hAnsi="Calibri"/>
            <w:color w:val="2E74B5"/>
            <w:u w:val="single"/>
          </w:rPr>
          <w:t>ITI consensus: Evaluation of Surgical Techniques for Zygomatic Implants</w:t>
        </w:r>
      </w:hyperlink>
      <w:r>
        <w:rPr>
          <w:rFonts w:ascii="Calibri" w:hAnsi="Calibri" w:eastAsia="Calibri"/>
          <w:color w:val="162236"/>
          <w:sz w:val="21"/>
        </w:rPr>
        <w:t xml:space="preserve"> — case-specific surgical considerations and complication context</w:t>
      </w:r>
    </w:p>
    <w:p>
      <w:pPr>
        <w:numPr>
          <w:ilvl w:val="0"/>
          <w:numId w:val="28"/>
        </w:numPr>
        <w:spacing w:after="80" w:line="300" w:lineRule="auto"/>
      </w:pPr>
      <w:hyperlink r:id="rId14">
        <w:r>
          <w:rPr>
            <w:rFonts w:ascii="Calibri" w:hAnsi="Calibri"/>
            <w:color w:val="2E74B5"/>
            <w:u w:val="single"/>
          </w:rPr>
          <w:t>Accuracy of Zygomatic Implant Placement Using a Full Digital Planning and Customised Drill Guide</w:t>
        </w:r>
      </w:hyperlink>
      <w:r>
        <w:rPr>
          <w:rFonts w:ascii="Calibri" w:hAnsi="Calibri" w:eastAsia="Calibri"/>
          <w:color w:val="162236"/>
          <w:sz w:val="21"/>
        </w:rPr>
        <w:t xml:space="preserve"> — guided-placement accuracy evidence and the need to avoid zero-deviation claims</w:t>
      </w:r>
    </w:p>
    <w:p>
      <w:pPr>
        <w:numPr>
          <w:ilvl w:val="0"/>
          <w:numId w:val="29"/>
        </w:numPr>
        <w:spacing w:after="80" w:line="300" w:lineRule="auto"/>
      </w:pPr>
      <w:hyperlink r:id="rId15">
        <w:r>
          <w:rPr>
            <w:rFonts w:ascii="Calibri" w:hAnsi="Calibri"/>
            <w:color w:val="2E74B5"/>
            <w:u w:val="single"/>
          </w:rPr>
          <w:t>Implants in the Pterygoid Region: An Updated Systematic Review</w:t>
        </w:r>
      </w:hyperlink>
      <w:r>
        <w:rPr>
          <w:rFonts w:ascii="Calibri" w:hAnsi="Calibri" w:eastAsia="Calibri"/>
          <w:color w:val="162236"/>
          <w:sz w:val="21"/>
        </w:rPr>
        <w:t xml:space="preserve"> — pterygoid outcome evidence and limitations; not a company performance claim</w:t>
      </w:r>
    </w:p>
    <w:p>
      <w:pPr>
        <w:numPr>
          <w:ilvl w:val="0"/>
          <w:numId w:val="30"/>
        </w:numPr>
        <w:spacing w:after="80" w:line="300" w:lineRule="auto"/>
      </w:pPr>
      <w:hyperlink r:id="rId16">
        <w:r>
          <w:rPr>
            <w:rFonts w:ascii="Calibri" w:hAnsi="Calibri"/>
            <w:color w:val="2E74B5"/>
            <w:u w:val="single"/>
          </w:rPr>
          <w:t>Google Search SEO Starter Guide</w:t>
        </w:r>
      </w:hyperlink>
      <w:r>
        <w:rPr>
          <w:rFonts w:ascii="Calibri" w:hAnsi="Calibri" w:eastAsia="Calibri"/>
          <w:color w:val="162236"/>
          <w:sz w:val="21"/>
        </w:rPr>
        <w:t xml:space="preserve"> — useful page structure, descriptive titles, internal links and image guidance</w:t>
      </w:r>
    </w:p>
    <w:p>
      <w:pPr>
        <w:numPr>
          <w:ilvl w:val="0"/>
          <w:numId w:val="31"/>
        </w:numPr>
        <w:spacing w:after="80" w:line="300" w:lineRule="auto"/>
      </w:pPr>
      <w:hyperlink r:id="rId17">
        <w:r>
          <w:rPr>
            <w:rFonts w:ascii="Calibri" w:hAnsi="Calibri"/>
            <w:color w:val="2E74B5"/>
            <w:u w:val="single"/>
          </w:rPr>
          <w:t>Google Search: Introduction to Structured Data</w:t>
        </w:r>
      </w:hyperlink>
      <w:r>
        <w:rPr>
          <w:rFonts w:ascii="Calibri" w:hAnsi="Calibri" w:eastAsia="Calibri"/>
          <w:color w:val="162236"/>
          <w:sz w:val="21"/>
        </w:rPr>
        <w:t xml:space="preserve"> — visible and accurate structured-data guidance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Calibri"/>
        <w:b/>
        <w:color w:val="5F6B7A"/>
        <w:sz w:val="17"/>
      </w:rPr>
      <w:t>IMAGE3DCONVERSION  /  ZYGOMA &amp; PTERYGOID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pPr>
      <w:rPr>
        <w:rFonts w:ascii="Calibri" w:hAnsi="Calibri" w:hint="default"/>
      </w:rPr>
    </w:lvl>
  </w:abstractNum>
  <w:num w:numId="10">
    <w:abstractNumId w:val="9"/>
  </w:num>
  <w:abstractNum w:abstractNumId="10">
    <w:multiLevelType w:val="singleLevel"/>
    <w:lvl w:ilvl="0">
      <w:start w:val="1"/>
      <w:numFmt w:val="decimal"/>
      <w:lvlText w:val="%1."/>
      <w:suff w:val="tab"/>
      <w:lvlJc w:val="left"/>
      <w:pPr>
        <w:tabs>
          <w:tab w:val="num" w:pos="540"/>
        </w:tabs>
        <w:ind w:left="540" w:hanging="270"/>
      </w:pPr>
      <w:rPr>
        <w:rFonts w:ascii="Calibri" w:hAnsi="Calibri" w:hint="default"/>
      </w:rPr>
    </w:lvl>
  </w:abstractNum>
  <w:num w:numId="11">
    <w:abstractNumId w:val="10"/>
  </w:num>
  <w:abstractNum w:abstractNumId="11">
    <w:multiLevelType w:val="singleLevel"/>
    <w:lvl w:ilvl="0">
      <w:start w:val="1"/>
      <w:numFmt w:val="bullet"/>
      <w:lvlText w:val="•"/>
      <w:suff w:val="tab"/>
      <w:lvlJc w:val="left"/>
      <w:pPr>
        <w:tabs>
          <w:tab w:val="num" w:pos="540"/>
        </w:tabs>
        <w:ind w:left="540" w:hanging="270"/>
      </w:pPr>
      <w:rPr>
        <w:rFonts w:ascii="Calibri" w:hAnsi="Calibri" w:hint="default"/>
      </w:rPr>
    </w:lvl>
  </w:abstractNum>
  <w:num w:numId="12">
    <w:abstractNumId w:val="11"/>
  </w:num>
  <w:abstractNum w:abstractNumId="12">
    <w:multiLevelType w:val="singleLevel"/>
    <w:lvl w:ilvl="0">
      <w:start w:val="1"/>
      <w:numFmt w:val="bullet"/>
      <w:lvlText w:val="•"/>
      <w:suff w:val="tab"/>
      <w:lvlJc w:val="left"/>
      <w:pPr>
        <w:tabs>
          <w:tab w:val="num" w:pos="540"/>
        </w:tabs>
        <w:ind w:left="540" w:hanging="270"/>
      </w:pPr>
      <w:rPr>
        <w:rFonts w:ascii="Calibri" w:hAnsi="Calibri" w:hint="default"/>
      </w:rPr>
    </w:lvl>
  </w:abstractNum>
  <w:num w:numId="13">
    <w:abstractNumId w:val="12"/>
  </w:num>
  <w:abstractNum w:abstractNumId="13">
    <w:multiLevelType w:val="singleLevel"/>
    <w:lvl w:ilvl="0">
      <w:start w:val="1"/>
      <w:numFmt w:val="bullet"/>
      <w:lvlText w:val="•"/>
      <w:suff w:val="tab"/>
      <w:lvlJc w:val="left"/>
      <w:pPr>
        <w:tabs>
          <w:tab w:val="num" w:pos="540"/>
        </w:tabs>
        <w:ind w:left="540" w:hanging="270"/>
      </w:pPr>
      <w:rPr>
        <w:rFonts w:ascii="Calibri" w:hAnsi="Calibri" w:hint="default"/>
      </w:rPr>
    </w:lvl>
  </w:abstractNum>
  <w:num w:numId="14">
    <w:abstractNumId w:val="13"/>
  </w:num>
  <w:abstractNum w:abstractNumId="14">
    <w:multiLevelType w:val="singleLevel"/>
    <w:lvl w:ilvl="0">
      <w:start w:val="1"/>
      <w:numFmt w:val="decimal"/>
      <w:lvlText w:val="%1."/>
      <w:suff w:val="tab"/>
      <w:lvlJc w:val="left"/>
      <w:pPr>
        <w:tabs>
          <w:tab w:val="num" w:pos="540"/>
        </w:tabs>
        <w:ind w:left="540" w:hanging="270"/>
      </w:pPr>
      <w:rPr>
        <w:rFonts w:ascii="Calibri" w:hAnsi="Calibri" w:hint="default"/>
      </w:rPr>
    </w:lvl>
  </w:abstractNum>
  <w:num w:numId="15">
    <w:abstractNumId w:val="14"/>
  </w:num>
  <w:abstractNum w:abstractNumId="15">
    <w:multiLevelType w:val="singleLevel"/>
    <w:lvl w:ilvl="0">
      <w:start w:val="1"/>
      <w:numFmt w:val="bullet"/>
      <w:lvlText w:val="•"/>
      <w:suff w:val="tab"/>
      <w:lvlJc w:val="left"/>
      <w:pPr>
        <w:tabs>
          <w:tab w:val="num" w:pos="540"/>
        </w:tabs>
        <w:ind w:left="540" w:hanging="270"/>
      </w:pPr>
      <w:rPr>
        <w:rFonts w:ascii="Calibri" w:hAnsi="Calibri" w:hint="default"/>
      </w:rPr>
    </w:lvl>
  </w:abstractNum>
  <w:num w:numId="16">
    <w:abstractNumId w:val="15"/>
  </w:num>
  <w:abstractNum w:abstractNumId="16">
    <w:multiLevelType w:val="singleLevel"/>
    <w:lvl w:ilvl="0">
      <w:start w:val="1"/>
      <w:numFmt w:val="bullet"/>
      <w:lvlText w:val="•"/>
      <w:suff w:val="tab"/>
      <w:lvlJc w:val="left"/>
      <w:pPr>
        <w:tabs>
          <w:tab w:val="num" w:pos="540"/>
        </w:tabs>
        <w:ind w:left="540" w:hanging="270"/>
      </w:pPr>
      <w:rPr>
        <w:rFonts w:ascii="Calibri" w:hAnsi="Calibri" w:hint="default"/>
      </w:rPr>
    </w:lvl>
  </w:abstractNum>
  <w:num w:numId="17">
    <w:abstractNumId w:val="16"/>
  </w:num>
  <w:abstractNum w:abstractNumId="17">
    <w:multiLevelType w:val="singleLevel"/>
    <w:lvl w:ilvl="0">
      <w:start w:val="1"/>
      <w:numFmt w:val="bullet"/>
      <w:lvlText w:val="•"/>
      <w:suff w:val="tab"/>
      <w:lvlJc w:val="left"/>
      <w:pPr>
        <w:tabs>
          <w:tab w:val="num" w:pos="540"/>
        </w:tabs>
        <w:ind w:left="540" w:hanging="270"/>
      </w:pPr>
      <w:rPr>
        <w:rFonts w:ascii="Calibri" w:hAnsi="Calibri" w:hint="default"/>
      </w:rPr>
    </w:lvl>
  </w:abstractNum>
  <w:num w:numId="18">
    <w:abstractNumId w:val="17"/>
  </w:num>
  <w:abstractNum w:abstractNumId="18">
    <w:multiLevelType w:val="singleLevel"/>
    <w:lvl w:ilvl="0">
      <w:start w:val="1"/>
      <w:numFmt w:val="decimal"/>
      <w:lvlText w:val="%1."/>
      <w:suff w:val="tab"/>
      <w:lvlJc w:val="left"/>
      <w:pPr>
        <w:tabs>
          <w:tab w:val="num" w:pos="540"/>
        </w:tabs>
        <w:ind w:left="540" w:hanging="270"/>
      </w:pPr>
      <w:rPr>
        <w:rFonts w:ascii="Calibri" w:hAnsi="Calibri" w:hint="default"/>
      </w:rPr>
    </w:lvl>
  </w:abstractNum>
  <w:num w:numId="19">
    <w:abstractNumId w:val="18"/>
  </w:num>
  <w:abstractNum w:abstractNumId="19">
    <w:multiLevelType w:val="singleLevel"/>
    <w:lvl w:ilvl="0">
      <w:start w:val="1"/>
      <w:numFmt w:val="bullet"/>
      <w:lvlText w:val="•"/>
      <w:suff w:val="tab"/>
      <w:lvlJc w:val="left"/>
      <w:pPr>
        <w:tabs>
          <w:tab w:val="num" w:pos="540"/>
        </w:tabs>
        <w:ind w:left="540" w:hanging="270"/>
      </w:pPr>
      <w:rPr>
        <w:rFonts w:ascii="Calibri" w:hAnsi="Calibri" w:hint="default"/>
      </w:rPr>
    </w:lvl>
  </w:abstractNum>
  <w:num w:numId="20">
    <w:abstractNumId w:val="19"/>
  </w:num>
  <w:abstractNum w:abstractNumId="20">
    <w:multiLevelType w:val="singleLevel"/>
    <w:lvl w:ilvl="0">
      <w:start w:val="1"/>
      <w:numFmt w:val="decimal"/>
      <w:lvlText w:val="%1."/>
      <w:suff w:val="tab"/>
      <w:lvlJc w:val="left"/>
      <w:pPr>
        <w:tabs>
          <w:tab w:val="num" w:pos="540"/>
        </w:tabs>
        <w:ind w:left="540" w:hanging="270"/>
      </w:pPr>
      <w:rPr>
        <w:rFonts w:ascii="Calibri" w:hAnsi="Calibri" w:hint="default"/>
      </w:rPr>
    </w:lvl>
  </w:abstractNum>
  <w:num w:numId="21">
    <w:abstractNumId w:val="20"/>
  </w:num>
  <w:abstractNum w:abstractNumId="21">
    <w:multiLevelType w:val="singleLevel"/>
    <w:lvl w:ilvl="0">
      <w:start w:val="1"/>
      <w:numFmt w:val="bullet"/>
      <w:lvlText w:val="•"/>
      <w:suff w:val="tab"/>
      <w:lvlJc w:val="left"/>
      <w:pPr>
        <w:tabs>
          <w:tab w:val="num" w:pos="540"/>
        </w:tabs>
        <w:ind w:left="540" w:hanging="270"/>
      </w:pPr>
      <w:rPr>
        <w:rFonts w:ascii="Calibri" w:hAnsi="Calibri" w:hint="default"/>
      </w:rPr>
    </w:lvl>
  </w:abstractNum>
  <w:num w:numId="22">
    <w:abstractNumId w:val="21"/>
  </w:num>
  <w:abstractNum w:abstractNumId="22">
    <w:multiLevelType w:val="singleLevel"/>
    <w:lvl w:ilvl="0">
      <w:start w:val="1"/>
      <w:numFmt w:val="bullet"/>
      <w:lvlText w:val="•"/>
      <w:suff w:val="tab"/>
      <w:lvlJc w:val="left"/>
      <w:pPr>
        <w:tabs>
          <w:tab w:val="num" w:pos="540"/>
        </w:tabs>
        <w:ind w:left="540" w:hanging="270"/>
      </w:pPr>
      <w:rPr>
        <w:rFonts w:ascii="Calibri" w:hAnsi="Calibri" w:hint="default"/>
      </w:rPr>
    </w:lvl>
  </w:abstractNum>
  <w:num w:numId="23">
    <w:abstractNumId w:val="22"/>
  </w:num>
  <w:abstractNum w:abstractNumId="23">
    <w:multiLevelType w:val="singleLevel"/>
    <w:lvl w:ilvl="0">
      <w:start w:val="1"/>
      <w:numFmt w:val="bullet"/>
      <w:lvlText w:val="•"/>
      <w:suff w:val="tab"/>
      <w:lvlJc w:val="left"/>
      <w:pPr>
        <w:tabs>
          <w:tab w:val="num" w:pos="540"/>
        </w:tabs>
        <w:ind w:left="540" w:hanging="270"/>
      </w:pPr>
      <w:rPr>
        <w:rFonts w:ascii="Calibri" w:hAnsi="Calibri" w:hint="default"/>
      </w:rPr>
    </w:lvl>
  </w:abstractNum>
  <w:num w:numId="24">
    <w:abstractNumId w:val="23"/>
  </w:num>
  <w:abstractNum w:abstractNumId="24">
    <w:multiLevelType w:val="singleLevel"/>
    <w:lvl w:ilvl="0">
      <w:start w:val="1"/>
      <w:numFmt w:val="bullet"/>
      <w:lvlText w:val="•"/>
      <w:suff w:val="tab"/>
      <w:lvlJc w:val="left"/>
      <w:pPr>
        <w:tabs>
          <w:tab w:val="num" w:pos="540"/>
        </w:tabs>
        <w:ind w:left="540" w:hanging="270"/>
      </w:pPr>
      <w:rPr>
        <w:rFonts w:ascii="Calibri" w:hAnsi="Calibri" w:hint="default"/>
      </w:rPr>
    </w:lvl>
  </w:abstractNum>
  <w:num w:numId="25">
    <w:abstractNumId w:val="24"/>
  </w:num>
  <w:abstractNum w:abstractNumId="25">
    <w:multiLevelType w:val="singleLevel"/>
    <w:lvl w:ilvl="0">
      <w:start w:val="1"/>
      <w:numFmt w:val="bullet"/>
      <w:lvlText w:val="•"/>
      <w:suff w:val="tab"/>
      <w:lvlJc w:val="left"/>
      <w:pPr>
        <w:tabs>
          <w:tab w:val="num" w:pos="540"/>
        </w:tabs>
        <w:ind w:left="540" w:hanging="270"/>
      </w:pPr>
      <w:rPr>
        <w:rFonts w:ascii="Calibri" w:hAnsi="Calibri" w:hint="default"/>
      </w:rPr>
    </w:lvl>
  </w:abstractNum>
  <w:num w:numId="26">
    <w:abstractNumId w:val="25"/>
  </w:num>
  <w:abstractNum w:abstractNumId="26">
    <w:multiLevelType w:val="singleLevel"/>
    <w:lvl w:ilvl="0">
      <w:start w:val="1"/>
      <w:numFmt w:val="bullet"/>
      <w:lvlText w:val="•"/>
      <w:suff w:val="tab"/>
      <w:lvlJc w:val="left"/>
      <w:pPr>
        <w:tabs>
          <w:tab w:val="num" w:pos="540"/>
        </w:tabs>
        <w:ind w:left="540" w:hanging="270"/>
      </w:pPr>
      <w:rPr>
        <w:rFonts w:ascii="Calibri" w:hAnsi="Calibri" w:hint="default"/>
      </w:rPr>
    </w:lvl>
  </w:abstractNum>
  <w:num w:numId="27">
    <w:abstractNumId w:val="26"/>
  </w:num>
  <w:abstractNum w:abstractNumId="27">
    <w:multiLevelType w:val="singleLevel"/>
    <w:lvl w:ilvl="0">
      <w:start w:val="1"/>
      <w:numFmt w:val="bullet"/>
      <w:lvlText w:val="•"/>
      <w:suff w:val="tab"/>
      <w:lvlJc w:val="left"/>
      <w:pPr>
        <w:tabs>
          <w:tab w:val="num" w:pos="540"/>
        </w:tabs>
        <w:ind w:left="540" w:hanging="270"/>
      </w:pPr>
      <w:rPr>
        <w:rFonts w:ascii="Calibri" w:hAnsi="Calibri" w:hint="default"/>
      </w:rPr>
    </w:lvl>
  </w:abstractNum>
  <w:num w:numId="28">
    <w:abstractNumId w:val="27"/>
  </w:num>
  <w:abstractNum w:abstractNumId="28">
    <w:multiLevelType w:val="singleLevel"/>
    <w:lvl w:ilvl="0">
      <w:start w:val="1"/>
      <w:numFmt w:val="bullet"/>
      <w:lvlText w:val="•"/>
      <w:suff w:val="tab"/>
      <w:lvlJc w:val="left"/>
      <w:pPr>
        <w:tabs>
          <w:tab w:val="num" w:pos="540"/>
        </w:tabs>
        <w:ind w:left="540" w:hanging="270"/>
      </w:pPr>
      <w:rPr>
        <w:rFonts w:ascii="Calibri" w:hAnsi="Calibri" w:hint="default"/>
      </w:rPr>
    </w:lvl>
  </w:abstractNum>
  <w:num w:numId="29">
    <w:abstractNumId w:val="28"/>
  </w:num>
  <w:abstractNum w:abstractNumId="29">
    <w:multiLevelType w:val="singleLevel"/>
    <w:lvl w:ilvl="0">
      <w:start w:val="1"/>
      <w:numFmt w:val="bullet"/>
      <w:lvlText w:val="•"/>
      <w:suff w:val="tab"/>
      <w:lvlJc w:val="left"/>
      <w:pPr>
        <w:tabs>
          <w:tab w:val="num" w:pos="540"/>
        </w:tabs>
        <w:ind w:left="540" w:hanging="270"/>
      </w:pPr>
      <w:rPr>
        <w:rFonts w:ascii="Calibri" w:hAnsi="Calibri" w:hint="default"/>
      </w:rPr>
    </w:lvl>
  </w:abstractNum>
  <w:num w:numId="30">
    <w:abstractNumId w:val="29"/>
  </w:num>
  <w:abstractNum w:abstractNumId="30">
    <w:multiLevelType w:val="singleLevel"/>
    <w:lvl w:ilvl="0">
      <w:start w:val="1"/>
      <w:numFmt w:val="bullet"/>
      <w:lvlText w:val="•"/>
      <w:suff w:val="tab"/>
      <w:lvlJc w:val="left"/>
      <w:pPr>
        <w:tabs>
          <w:tab w:val="num" w:pos="540"/>
        </w:tabs>
        <w:ind w:left="540" w:hanging="270"/>
      </w:pPr>
      <w:rPr>
        <w:rFonts w:ascii="Calibri" w:hAnsi="Calibri" w:hint="default"/>
      </w:rPr>
    </w:lvl>
  </w:abstract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622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36" w:hanging="259"/>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ademy.iti.org/academy/consensus-database/consensus-statement/-/consensus/indications-for-zygomatic-implants/2401" TargetMode="External"/><Relationship Id="rId12" Type="http://schemas.openxmlformats.org/officeDocument/2006/relationships/hyperlink" Target="https://academy.iti.org/academy/consensus-database/consensus-statement/-/consensus/long-term-treatment-outcomes-with-zygomatic-implants/2403" TargetMode="External"/><Relationship Id="rId13" Type="http://schemas.openxmlformats.org/officeDocument/2006/relationships/hyperlink" Target="https://academy.iti.org/academy/consensus-database/consensus-statement/-/consensus/evaluation-of-surgical-techniques-in-survival-rate-and-complications-of-zygomatic-implants-for-the-rehabilitation-of-the-atrophic-edentulous-maxilla/2402" TargetMode="External"/><Relationship Id="rId14" Type="http://schemas.openxmlformats.org/officeDocument/2006/relationships/hyperlink" Target="https://pubmed.ncbi.nlm.nih.gov/37232774/" TargetMode="External"/><Relationship Id="rId15" Type="http://schemas.openxmlformats.org/officeDocument/2006/relationships/hyperlink" Target="https://pubmed.ncbi.nlm.nih.gov/36069239/" TargetMode="External"/><Relationship Id="rId16" Type="http://schemas.openxmlformats.org/officeDocument/2006/relationships/hyperlink" Target="https://developers.google.com/search/docs/fundamentals/seo-starter-guide" TargetMode="External"/><Relationship Id="rId17" Type="http://schemas.openxmlformats.org/officeDocument/2006/relationships/hyperlink" Target="https://developers.google.com/search/docs/appearance/structured-data/intro-structured-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Image3DConversion Zygoma &amp; Pterygoid Planning Content &amp; Design Psychology Specification</dc:title>
  <dc:subject>Release 1 advanced workflow page copy, SEO, design psychology, global-practice positioning, Case Portal alignment and clinical handoff</dc:subject>
  <dc:creator>Image3DConversion</dc:creator>
  <cp:keywords>Image3DConversion, zygomatic implant planning, pterygoid implant planning, guided zygoma workflow, advanced maxillary implant planning, global dental practices, SEO</cp:keywords>
  <dc:description>Prepared for Founder approval and implementation handoff.</dc:description>
  <cp:lastModifiedBy/>
  <cp:revision>1</cp:revision>
  <dcterms:created xsi:type="dcterms:W3CDTF">2013-12-23T23:15:00Z</dcterms:created>
  <dcterms:modified xsi:type="dcterms:W3CDTF">2013-12-23T23:15:00Z</dcterms:modified>
  <cp:category/>
</cp:coreProperties>
</file>