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dTable4-Accent1"/>
        <w:tblpPr w:vertAnchor="margin" w:horzAnchor="margin" w:leftFromText="180" w:rightFromText="180" w:tblpX="0" w:tblpY="432"/>
        <w:tblW w:w="13888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7"/>
        <w:gridCol w:w="1775"/>
        <w:gridCol w:w="1439"/>
        <w:gridCol w:w="1261"/>
        <w:gridCol w:w="3419"/>
        <w:gridCol w:w="1800"/>
        <w:gridCol w:w="1440"/>
        <w:gridCol w:w="102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4F81BD"/>
              <w:start w:val="single" w:sz="4" w:space="0" w:color="4F81BD"/>
              <w:bottom w:val="single" w:sz="4" w:space="0" w:color="4F81BD"/>
              <w:end w:val="single" w:sz="4" w:space="0" w:color="4F81BD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before="40" w:after="40"/>
              <w:jc w:val="center"/>
              <w:rPr>
                <w:b w:val="false"/>
                <w:sz w:val="20"/>
              </w:rPr>
            </w:pPr>
            <w:r>
              <w:rPr>
                <w:b/>
                <w:bCs/>
                <w:color w:themeColor="background1" w:val="FFFFFF"/>
                <w:kern w:val="0"/>
                <w:sz w:val="20"/>
                <w:lang w:val="en-US" w:eastAsia="en-US" w:bidi="ar-SA"/>
              </w:rPr>
              <w:t>Weaknesses</w:t>
            </w:r>
          </w:p>
        </w:tc>
        <w:tc>
          <w:tcPr>
            <w:tcW w:w="1775" w:type="dxa"/>
            <w:tcBorders>
              <w:top w:val="single" w:sz="4" w:space="0" w:color="4F81BD"/>
              <w:start w:val="single" w:sz="4" w:space="0" w:color="4F81BD"/>
              <w:bottom w:val="single" w:sz="4" w:space="0" w:color="4F81BD"/>
              <w:end w:val="single" w:sz="4" w:space="0" w:color="4F81BD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sz w:val="20"/>
              </w:rPr>
            </w:pPr>
            <w:r>
              <w:rPr>
                <w:b/>
                <w:bCs/>
                <w:color w:themeColor="background1" w:val="FFFFFF"/>
                <w:kern w:val="0"/>
                <w:sz w:val="20"/>
                <w:lang w:val="en-US" w:eastAsia="en-US" w:bidi="ar-SA"/>
              </w:rPr>
              <w:t>Responsible</w:t>
            </w:r>
          </w:p>
          <w:p>
            <w:pPr>
              <w:pStyle w:val="Normal"/>
              <w:widowControl/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sz w:val="20"/>
              </w:rPr>
            </w:pPr>
            <w:r>
              <w:rPr>
                <w:b/>
                <w:bCs/>
                <w:color w:themeColor="background1" w:val="FFFFFF"/>
                <w:kern w:val="0"/>
                <w:sz w:val="20"/>
                <w:lang w:val="en-US" w:eastAsia="en-US" w:bidi="ar-SA"/>
              </w:rPr>
              <w:t xml:space="preserve">Office/ Organization </w:t>
            </w:r>
          </w:p>
        </w:tc>
        <w:tc>
          <w:tcPr>
            <w:tcW w:w="1439" w:type="dxa"/>
            <w:tcBorders>
              <w:top w:val="single" w:sz="4" w:space="0" w:color="4F81BD"/>
              <w:start w:val="single" w:sz="4" w:space="0" w:color="4F81BD"/>
              <w:bottom w:val="single" w:sz="4" w:space="0" w:color="4F81BD"/>
              <w:end w:val="single" w:sz="4" w:space="0" w:color="4F81BD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sz w:val="20"/>
              </w:rPr>
            </w:pPr>
            <w:r>
              <w:rPr>
                <w:b/>
                <w:bCs/>
                <w:color w:themeColor="background1" w:val="FFFFFF"/>
                <w:kern w:val="0"/>
                <w:sz w:val="20"/>
                <w:lang w:val="en-US" w:eastAsia="en-US" w:bidi="ar-SA"/>
              </w:rPr>
              <w:t>Resource Estimate</w:t>
            </w:r>
          </w:p>
          <w:p>
            <w:pPr>
              <w:pStyle w:val="Normal"/>
              <w:widowControl/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b/>
                <w:bCs/>
                <w:color w:themeColor="background1" w:val="FFFFFF"/>
                <w:kern w:val="0"/>
                <w:sz w:val="16"/>
                <w:szCs w:val="16"/>
                <w:lang w:val="en-US" w:eastAsia="en-US" w:bidi="ar-SA"/>
              </w:rPr>
              <w:t>(funded/ unfunded/ reallocation)</w:t>
            </w:r>
          </w:p>
        </w:tc>
        <w:tc>
          <w:tcPr>
            <w:tcW w:w="1261" w:type="dxa"/>
            <w:tcBorders>
              <w:top w:val="single" w:sz="4" w:space="0" w:color="4F81BD"/>
              <w:start w:val="single" w:sz="4" w:space="0" w:color="4F81BD"/>
              <w:bottom w:val="single" w:sz="4" w:space="0" w:color="4F81BD"/>
              <w:end w:val="single" w:sz="4" w:space="0" w:color="4F81BD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sz w:val="20"/>
              </w:rPr>
            </w:pPr>
            <w:r>
              <w:rPr>
                <w:b/>
                <w:bCs/>
                <w:color w:themeColor="background1" w:val="FFFFFF"/>
                <w:kern w:val="0"/>
                <w:sz w:val="20"/>
                <w:lang w:val="en-US" w:eastAsia="en-US" w:bidi="ar-SA"/>
              </w:rPr>
              <w:t>Scheduled Completion Date</w:t>
            </w:r>
          </w:p>
        </w:tc>
        <w:tc>
          <w:tcPr>
            <w:tcW w:w="3419" w:type="dxa"/>
            <w:tcBorders>
              <w:top w:val="single" w:sz="4" w:space="0" w:color="4F81BD"/>
              <w:start w:val="single" w:sz="4" w:space="0" w:color="4F81BD"/>
              <w:bottom w:val="single" w:sz="4" w:space="0" w:color="4F81BD"/>
              <w:end w:val="single" w:sz="4" w:space="0" w:color="4F81BD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sz w:val="20"/>
              </w:rPr>
            </w:pPr>
            <w:r>
              <w:rPr>
                <w:b/>
                <w:bCs/>
                <w:color w:themeColor="background1" w:val="FFFFFF"/>
                <w:kern w:val="0"/>
                <w:sz w:val="20"/>
                <w:lang w:val="en-US" w:eastAsia="en-US" w:bidi="ar-SA"/>
              </w:rPr>
              <w:t>Milestones with Interim Completion Dates</w:t>
            </w:r>
          </w:p>
        </w:tc>
        <w:tc>
          <w:tcPr>
            <w:tcW w:w="1800" w:type="dxa"/>
            <w:tcBorders>
              <w:top w:val="single" w:sz="4" w:space="0" w:color="4F81BD"/>
              <w:start w:val="single" w:sz="4" w:space="0" w:color="4F81BD"/>
              <w:bottom w:val="single" w:sz="4" w:space="0" w:color="4F81BD"/>
              <w:end w:val="single" w:sz="4" w:space="0" w:color="4F81BD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sz w:val="20"/>
              </w:rPr>
            </w:pPr>
            <w:r>
              <w:rPr>
                <w:b/>
                <w:bCs/>
                <w:color w:themeColor="background1" w:val="FFFFFF"/>
                <w:kern w:val="0"/>
                <w:sz w:val="20"/>
                <w:lang w:val="en-US" w:eastAsia="en-US" w:bidi="ar-SA"/>
              </w:rPr>
              <w:t>Changes to Milestones</w:t>
            </w:r>
          </w:p>
        </w:tc>
        <w:tc>
          <w:tcPr>
            <w:tcW w:w="1440" w:type="dxa"/>
            <w:tcBorders>
              <w:top w:val="single" w:sz="4" w:space="0" w:color="4F81BD"/>
              <w:start w:val="single" w:sz="4" w:space="0" w:color="4F81BD"/>
              <w:bottom w:val="single" w:sz="4" w:space="0" w:color="4F81BD"/>
              <w:end w:val="single" w:sz="4" w:space="0" w:color="4F81BD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sz w:val="20"/>
              </w:rPr>
            </w:pPr>
            <w:r>
              <w:rPr>
                <w:b/>
                <w:bCs/>
                <w:color w:themeColor="background1" w:val="FFFFFF"/>
                <w:kern w:val="0"/>
                <w:sz w:val="20"/>
                <w:lang w:val="en-US" w:eastAsia="en-US" w:bidi="ar-SA"/>
              </w:rPr>
              <w:t>How was the weakness identified?</w:t>
            </w:r>
          </w:p>
        </w:tc>
        <w:tc>
          <w:tcPr>
            <w:tcW w:w="1027" w:type="dxa"/>
            <w:tcBorders>
              <w:top w:val="single" w:sz="4" w:space="0" w:color="4F81BD"/>
              <w:start w:val="single" w:sz="4" w:space="0" w:color="4F81BD"/>
              <w:bottom w:val="single" w:sz="4" w:space="0" w:color="4F81BD"/>
              <w:end w:val="single" w:sz="4" w:space="0" w:color="4F81BD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b/>
                <w:bCs/>
                <w:color w:themeColor="background1" w:val="FFFFFF"/>
                <w:kern w:val="0"/>
                <w:sz w:val="20"/>
                <w:lang w:val="en-US" w:eastAsia="en-US" w:bidi="ar-SA"/>
              </w:rPr>
              <w:t xml:space="preserve">Status </w:t>
            </w:r>
            <w:r>
              <w:rPr>
                <w:b/>
                <w:bCs/>
                <w:i/>
                <w:color w:themeColor="background1" w:val="FFFFFF"/>
                <w:kern w:val="0"/>
                <w:sz w:val="16"/>
                <w:szCs w:val="16"/>
                <w:lang w:val="en-US" w:eastAsia="en-US" w:bidi="ar-SA"/>
              </w:rPr>
              <w:t>(Ongoing or Complete)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  <w:t>IA-2 partially implemented; contractors and researchers are not always issued unique credentials. Shared accounts exist for temporary personnel.</w:t>
            </w:r>
          </w:p>
        </w:tc>
        <w:tc>
          <w:tcPr>
            <w:tcW w:w="1775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  <w:t>ISSO</w:t>
            </w:r>
          </w:p>
        </w:tc>
        <w:tc>
          <w:tcPr>
            <w:tcW w:w="143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  <w:t>Reallocation</w:t>
            </w:r>
          </w:p>
        </w:tc>
        <w:tc>
          <w:tcPr>
            <w:tcW w:w="1261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  <w:t>05/15/2026</w:t>
            </w:r>
          </w:p>
        </w:tc>
        <w:tc>
          <w:tcPr>
            <w:tcW w:w="341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  <w:t>04/10: Inventory all contractor accounts, 04/25: Create unique accounts for each contractor, 05/15: Disable shared accounts, enforce unique identification</w:t>
            </w:r>
          </w:p>
        </w:tc>
        <w:tc>
          <w:tcPr>
            <w:tcW w:w="180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  <w:t>None</w:t>
            </w:r>
          </w:p>
        </w:tc>
        <w:tc>
          <w:tcPr>
            <w:tcW w:w="144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  <w:t>Account review during IA-2 implementation assessment</w:t>
            </w:r>
          </w:p>
        </w:tc>
        <w:tc>
          <w:tcPr>
            <w:tcW w:w="1027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  <w:t>In Progress</w:t>
            </w:r>
          </w:p>
        </w:tc>
      </w:tr>
      <w:tr>
        <w:trPr/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  <w:t>AC-3 partially implemented; legacy service accounts lack MFA enforcement.</w:t>
            </w:r>
          </w:p>
        </w:tc>
        <w:tc>
          <w:tcPr>
            <w:tcW w:w="177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  <w:t>ISSO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  <w:t>Reallocation</w:t>
            </w:r>
          </w:p>
        </w:tc>
        <w:tc>
          <w:tcPr>
            <w:tcW w:w="1261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  <w:t>05/30/2026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  <w:t>04/15: Identify all legacy accounts, 05/01: Migrate accounts to IAM roles, 05/30: Enforce MFA on all accounts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  <w:t>None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  <w:t>AC-3 implementation review</w:t>
            </w:r>
          </w:p>
        </w:tc>
        <w:tc>
          <w:tcPr>
            <w:tcW w:w="1027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  <w:t>In Progress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/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/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/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/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/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/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/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/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/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/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/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rPr>
                <w:sz w:val="20"/>
              </w:rPr>
            </w:pPr>
            <w:r>
              <w:rPr>
                <w:b/>
                <w:bCs/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775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3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261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3419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80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440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  <w:tc>
          <w:tcPr>
            <w:tcW w:w="1027" w:type="dxa"/>
            <w:tcBorders/>
            <w:shd w:color="auto" w:fill="DBE5F1" w:themeFill="accent1" w:themeFillTint="33" w:val="clear"/>
          </w:tcPr>
          <w:p>
            <w:pPr>
              <w:pStyle w:val="Normal"/>
              <w:widowControl/>
              <w:spacing w:before="40" w:after="4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kern w:val="0"/>
                <w:sz w:val="20"/>
                <w:lang w:val="en-US" w:eastAsia="en-US" w:bidi="ar-SA"/>
              </w:rPr>
            </w:r>
          </w:p>
        </w:tc>
      </w:tr>
    </w:tbl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5840" w:h="12240"/>
      <w:pgMar w:left="1080" w:right="1080" w:gutter="0" w:header="432" w:top="72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88242243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t xml:space="preserve">Page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88242243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t xml:space="preserve">Page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</w:rPr>
    </w:pPr>
    <w:r>
      <w:rPr/>
      <w:t xml:space="preserve">Controlled Unclassified Information Plan of Action for </w:t>
    </w:r>
    <w:r>
      <w:rPr>
        <w:b/>
      </w:rPr>
      <w:t>[</w:t>
    </w:r>
    <w:r>
      <w:rPr>
        <w:b/>
        <w:color w:val="FF0000"/>
      </w:rPr>
      <w:t>Load Tracking System</w:t>
    </w:r>
    <w:r>
      <w:rPr>
        <w:b/>
      </w:rPr>
      <w:t>]</w:t>
    </w:r>
  </w:p>
  <w:p>
    <w:pPr>
      <w:pStyle w:val="Header"/>
      <w:rPr/>
    </w:pPr>
    <w:r>
      <w:rPr/>
    </w:r>
    <w:bookmarkStart w:id="0" w:name="_GoBack"/>
    <w:bookmarkStart w:id="1" w:name="_GoBack"/>
    <w:bookmarkEnd w:id="1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</w:rPr>
    </w:pPr>
    <w:r>
      <w:rPr/>
      <w:t xml:space="preserve">Controlled Unclassified Information Plan of Action for </w:t>
    </w:r>
    <w:r>
      <w:rPr>
        <w:b/>
      </w:rPr>
      <w:t>[</w:t>
    </w:r>
    <w:r>
      <w:rPr>
        <w:b/>
        <w:color w:val="FF0000"/>
      </w:rPr>
      <w:t>Load Tracking System</w:t>
    </w:r>
    <w:r>
      <w:rPr>
        <w:b/>
      </w:rPr>
      <w:t>]</w:t>
    </w:r>
  </w:p>
  <w:p>
    <w:pPr>
      <w:pStyle w:val="Header"/>
      <w:rPr/>
    </w:pPr>
    <w:r>
      <w:rPr/>
    </w:r>
    <w:bookmarkStart w:id="2" w:name="_GoBack"/>
    <w:bookmarkStart w:id="3" w:name="_GoBack"/>
    <w:bookmarkEnd w:id="3"/>
  </w:p>
</w:hdr>
</file>

<file path=word/settings.xml><?xml version="1.0" encoding="utf-8"?>
<w:settings xmlns:w="http://schemas.openxmlformats.org/wordprocessingml/2006/main">
  <w:zoom w:percent="11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c170f7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ef5fa5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ef5fa5"/>
    <w:rPr>
      <w:rFonts w:ascii="Times New Roman" w:hAnsi="Times New Roman" w:eastAsia="Times New Roman" w:cs="Times New Roman"/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ef5fa5"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f5fa5"/>
    <w:rPr>
      <w:rFonts w:ascii="Segoe UI" w:hAnsi="Segoe UI" w:eastAsia="Times New Roman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f5fa5"/>
    <w:rPr>
      <w:rFonts w:ascii="Times New Roman" w:hAnsi="Times New Roman" w:eastAsia="Times New Roman" w:cs="Times New Roman"/>
      <w:sz w:val="24"/>
      <w:szCs w:val="20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f5fa5"/>
    <w:rPr>
      <w:rFonts w:ascii="Times New Roman" w:hAnsi="Times New Roman" w:eastAsia="Times New Roman" w:cs="Times New Roman"/>
      <w:sz w:val="24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5fa5"/>
    <w:pPr/>
    <w:rPr>
      <w:sz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ef5fa5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f5fa5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f5fa5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f5fa5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rsid w:val="00ef5fa5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36DDC62D2E614B8349009FA2B533FE" ma:contentTypeVersion="2" ma:contentTypeDescription="Create a new document." ma:contentTypeScope="" ma:versionID="1ee1d69afd195515b9a111f68316ca4d">
  <xsd:schema xmlns:xsd="http://www.w3.org/2001/XMLSchema" xmlns:xs="http://www.w3.org/2001/XMLSchema" xmlns:p="http://schemas.microsoft.com/office/2006/metadata/properties" xmlns:ns2="01fcfbda-9643-476e-88fb-ce7a1280f67e" targetNamespace="http://schemas.microsoft.com/office/2006/metadata/properties" ma:root="true" ma:fieldsID="a107d5cbf8f6fe1f188b873914e6d7c1" ns2:_="">
    <xsd:import namespace="01fcfbda-9643-476e-88fb-ce7a1280f6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fcfbda-9643-476e-88fb-ce7a1280f6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7AAD2-272C-4871-AA14-D7130871AD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869622-5E42-412F-AC6A-08D8DB4D11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fcfbda-9643-476e-88fb-ce7a1280f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6C9DE9-83AA-4826-820D-137758A7DD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612BB9A-B604-AD44-B13B-77C24CDAC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LibreOffice/25.8.5.2$Linux_X86_64 LibreOffice_project/580$Build-2</Application>
  <AppVersion>15.0000</AppVersion>
  <Pages>2</Pages>
  <Words>125</Words>
  <Characters>862</Characters>
  <CharactersWithSpaces>960</CharactersWithSpaces>
  <Paragraphs>28</Paragraphs>
  <Company>NIST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2018-02-16T16:11:00Z</dcterms:created>
  <dc:creator>Kelley L. Dempsey</dc:creator>
  <dc:description/>
  <dc:language>en-US</dc:language>
  <cp:lastModifiedBy/>
  <dcterms:modified xsi:type="dcterms:W3CDTF">2026-03-24T19:53:56Z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0x0101007B36DDC62D2E614B8349009FA2B533FE</vt:lpwstr>
  </property>
</Properties>
</file>